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B219B" w14:textId="7B6A2DC9" w:rsidR="00AD5798" w:rsidRDefault="00AD5798" w:rsidP="003C5C48">
      <w:pPr>
        <w:pStyle w:val="Title"/>
        <w:rPr>
          <w:rFonts w:eastAsia="Times New Roman"/>
          <w:sz w:val="48"/>
          <w:szCs w:val="48"/>
        </w:rPr>
      </w:pPr>
      <w:r>
        <w:rPr>
          <w:rFonts w:eastAsia="Times New Roman"/>
        </w:rPr>
        <w:t xml:space="preserve">The first 2 months of COVID-19 contact tracing in the Northern Territory of Australia, March-April 2020 </w:t>
      </w:r>
    </w:p>
    <w:p w14:paraId="59E4ECBB" w14:textId="77777777" w:rsidR="00AD5798" w:rsidRDefault="00AD5798" w:rsidP="003C5C48">
      <w:r>
        <w:t xml:space="preserve">Anthony DK Draper, Karen E Dempsey, Rowena H Boyd, Emma M Childs, Hayley M Black, Laura A Francis, Peter G Markey, Vicki L Krause </w:t>
      </w:r>
    </w:p>
    <w:p w14:paraId="3E5AAF54" w14:textId="77777777" w:rsidR="00AD5798" w:rsidRPr="003C5C48" w:rsidRDefault="00AD5798" w:rsidP="003C5C48">
      <w:pPr>
        <w:pStyle w:val="Heading1"/>
      </w:pPr>
      <w:r w:rsidRPr="003C5C48">
        <w:t xml:space="preserve">Abstract </w:t>
      </w:r>
    </w:p>
    <w:p w14:paraId="38050AD9" w14:textId="77777777" w:rsidR="00AD5798" w:rsidRDefault="00AD5798" w:rsidP="003C5C48">
      <w:r>
        <w:t xml:space="preserve">The Northern Territory (NT) Centre for Disease Control (CDC) undertook contact tracing of all notified cases of coronavirus disease 2019 (COVID-19) within the NT. There were 28 cases of COVID-19 notified in the NT between 1 March and 30 April 2020. In total 527 people were identified as close contacts over the same period; 493 were successfully contacted; 445 were located in the NT and were subsequently quarantined and monitored for disease symptoms daily for 14 days after contact with a confirmed COVID-19 case. Of these 445 close contacts, 4 tested positive for COVID-19 after developing symptoms; 2/46 contacts who were cruise ship passengers (4.3%, 95% CI 0.5–14.8%) and 2/51 household contacts (3.9%, 95% CI 0.5–13.5%). None of the 326 aircraft passengers or 4 healthcare workers who were being monitored in the NT as close contacts became cases. </w:t>
      </w:r>
    </w:p>
    <w:p w14:paraId="347DFECD" w14:textId="77777777" w:rsidR="00AD5798" w:rsidRDefault="00AD5798" w:rsidP="003C5C48">
      <w:r>
        <w:t>Key words: Coronavirus disease 2019;</w:t>
      </w:r>
      <w:r w:rsidR="00FF6F3B">
        <w:t xml:space="preserve"> </w:t>
      </w:r>
      <w:r>
        <w:t xml:space="preserve">COVID-19; contact tracing; Northern Territory; Australia. </w:t>
      </w:r>
    </w:p>
    <w:p w14:paraId="60A4BB63" w14:textId="77777777" w:rsidR="00AD5798" w:rsidRPr="003C5C48" w:rsidRDefault="00AD5798" w:rsidP="003C5C48">
      <w:pPr>
        <w:pStyle w:val="Heading1"/>
      </w:pPr>
      <w:r w:rsidRPr="003C5C48">
        <w:t xml:space="preserve">Background </w:t>
      </w:r>
    </w:p>
    <w:p w14:paraId="2AB5B8A8" w14:textId="77777777" w:rsidR="00AD5798" w:rsidRDefault="00AD5798" w:rsidP="003C5C48">
      <w:r>
        <w:t>On 31 December 2019, the World Health Organization (WHO) China Country Office was alerted to a cluster of pneumonia cases of unknown aetiology in Wuhan, Hubei Province, Peoples’ Republic of China.</w:t>
      </w:r>
      <w:r>
        <w:rPr>
          <w:vertAlign w:val="superscript"/>
        </w:rPr>
        <w:t>1</w:t>
      </w:r>
      <w:r>
        <w:t xml:space="preserve"> On 7 January 2020, a novel coronavirus was identified as the cause of the outbreak.</w:t>
      </w:r>
      <w:r>
        <w:rPr>
          <w:vertAlign w:val="superscript"/>
        </w:rPr>
        <w:t>2</w:t>
      </w:r>
      <w:r>
        <w:t xml:space="preserve"> This novel coronavirus has since been named severe acute respiratory syndrome coronavirus 2 (SARS-CoV-2); the disease it causes is named coronavirus disease 2019 (COVID-19).</w:t>
      </w:r>
      <w:r>
        <w:rPr>
          <w:vertAlign w:val="superscript"/>
        </w:rPr>
        <w:t>3</w:t>
      </w:r>
      <w:r>
        <w:t xml:space="preserve"> The disease has rapidly spread to countries around the world. On 30 January the WHO declared the outbreak a Public Health Emergency of International Concern,</w:t>
      </w:r>
      <w:r>
        <w:rPr>
          <w:vertAlign w:val="superscript"/>
        </w:rPr>
        <w:t>4</w:t>
      </w:r>
      <w:r>
        <w:t xml:space="preserve"> and on 11 March 2020 it was declared a global pandemic.</w:t>
      </w:r>
      <w:r>
        <w:rPr>
          <w:vertAlign w:val="superscript"/>
        </w:rPr>
        <w:t xml:space="preserve">5 </w:t>
      </w:r>
    </w:p>
    <w:p w14:paraId="1879C9E5" w14:textId="77777777" w:rsidR="00AD5798" w:rsidRDefault="00AD5798" w:rsidP="003C5C48">
      <w:r>
        <w:t>In Australia, the most commonly reported symptoms of COVID-19 have been cough (69%), fever (47%), sore throat (40%) and headache (36%). Pneumonia or acute respiratory disease has been reported in less than 3% of cases.</w:t>
      </w:r>
      <w:r>
        <w:rPr>
          <w:vertAlign w:val="superscript"/>
        </w:rPr>
        <w:t>6</w:t>
      </w:r>
      <w:r>
        <w:t xml:space="preserve"> The proportion of COVID-19 cases requiring intensive care unit (ICU) admission was 2.4% (124/5,074) and the mortality rate was 1.4% (98/6,971) as at 10 May 2020.</w:t>
      </w:r>
      <w:r>
        <w:rPr>
          <w:vertAlign w:val="superscript"/>
        </w:rPr>
        <w:t xml:space="preserve">6 </w:t>
      </w:r>
    </w:p>
    <w:p w14:paraId="134306E6" w14:textId="77777777" w:rsidR="00AD5798" w:rsidRDefault="00AD5798" w:rsidP="003C5C48">
      <w:r>
        <w:t>The Northern Territory made COVID-19 a notifiable condition on 6 February 2020.</w:t>
      </w:r>
      <w:r>
        <w:rPr>
          <w:vertAlign w:val="superscript"/>
        </w:rPr>
        <w:t xml:space="preserve">7 </w:t>
      </w:r>
      <w:r>
        <w:t xml:space="preserve">The first cases of COVID-19 notified in the NT were 8 passengers from the </w:t>
      </w:r>
      <w:r w:rsidRPr="00E974FF">
        <w:rPr>
          <w:rStyle w:val="Emphasis"/>
          <w:b w:val="0"/>
        </w:rPr>
        <w:t>Diamond Princess</w:t>
      </w:r>
      <w:r>
        <w:t xml:space="preserve"> cruise ship who were repatriated to Australia from Japan and cared for by members of an Australian Medical Assistance Team and by staff at the Royal Darwin Hospital in a dedicated quarantine facility. None of these cases were NT residents. </w:t>
      </w:r>
    </w:p>
    <w:p w14:paraId="0D6C5B95" w14:textId="77777777" w:rsidR="00AD5798" w:rsidRDefault="00AD5798" w:rsidP="003C5C48">
      <w:r>
        <w:t>On 4 March 2020, the first case of COVID-19 was notified in the NT community: a traveller who had come to Darwin from Indonesia, via Sydney. In response to the growing COVID-19 threat, a Public Health Emergency was declared in the NT on 18 March 2020.</w:t>
      </w:r>
      <w:r>
        <w:rPr>
          <w:vertAlign w:val="superscript"/>
        </w:rPr>
        <w:t xml:space="preserve">8 </w:t>
      </w:r>
      <w:r>
        <w:t xml:space="preserve">From 14 March 2020, all arrivals to the NT were required to undertake quarantine for 14 days at a location of their choice. On 28 March 2020, all overseas arrivals were required to undertake their quarantine in a hotel. Ultimately, from 3 April 2020, all arrivals to the NT, including residents, were required to undertake quarantine in hotels. </w:t>
      </w:r>
    </w:p>
    <w:p w14:paraId="1102152F" w14:textId="77777777" w:rsidR="00AD5798" w:rsidRPr="003C5C48" w:rsidRDefault="00AD5798" w:rsidP="003C5C48">
      <w:pPr>
        <w:pStyle w:val="Heading1"/>
      </w:pPr>
      <w:r w:rsidRPr="003C5C48">
        <w:lastRenderedPageBreak/>
        <w:t xml:space="preserve">Aim </w:t>
      </w:r>
    </w:p>
    <w:p w14:paraId="17F36C71" w14:textId="77777777" w:rsidR="00AD5798" w:rsidRDefault="00AD5798" w:rsidP="003C5C48">
      <w:r>
        <w:t xml:space="preserve">This paper aims to briefly describe (i) the contact tracing methods undertaken in response to cases of COVID-19 notified in the NT during the period 1 March to 30 April 2020 and (ii) the outcomes of those activities. </w:t>
      </w:r>
    </w:p>
    <w:p w14:paraId="7093DFA6" w14:textId="77777777" w:rsidR="00AD5798" w:rsidRPr="003C5C48" w:rsidRDefault="00AD5798" w:rsidP="003C5C48">
      <w:pPr>
        <w:pStyle w:val="Heading1"/>
      </w:pPr>
      <w:r w:rsidRPr="003C5C48">
        <w:t xml:space="preserve">Methods </w:t>
      </w:r>
    </w:p>
    <w:p w14:paraId="73F7D0C6" w14:textId="77777777" w:rsidR="00AD5798" w:rsidRDefault="00AD5798" w:rsidP="003C5C48">
      <w:r>
        <w:t>We undertook public health follow-up of cases according to Australian Government Department of Health guidelines.</w:t>
      </w:r>
      <w:r>
        <w:rPr>
          <w:vertAlign w:val="superscript"/>
        </w:rPr>
        <w:t>9</w:t>
      </w:r>
      <w:r>
        <w:t xml:space="preserve"> A confirmed case required detection of SARS-CoV-2 by a validated polymerase chain reaction assay from a nasal and/or oropharyngeal swab or sputum sample. Confirmed cases in the NT were isolated in a hospital facility at diagnosis. The strategy of Australian public health units to contain COVID-19 has been to rapidly detect and test suspected cases and isolate them to reduce the potential for community transmission.</w:t>
      </w:r>
      <w:r>
        <w:rPr>
          <w:vertAlign w:val="superscript"/>
        </w:rPr>
        <w:t>9</w:t>
      </w:r>
      <w:r>
        <w:t xml:space="preserve"> Rapid and thorough contact tracing of close contacts occurred to ensure quick entry into quarantine for 14 days and active daily monitoring for symptoms.</w:t>
      </w:r>
      <w:r>
        <w:rPr>
          <w:vertAlign w:val="superscript"/>
        </w:rPr>
        <w:t>9</w:t>
      </w:r>
      <w:r>
        <w:t xml:space="preserve"> A close contact was defined as anyone who had face-to-face contact with a confirmed COVID-19 case for more than 15 minutes cumulatively or continuously (e.g. household setting or healthcare setting without appropriate use of personal protective equipment) or who was in the same room with an infectious case for more than 2 hours (e.g. school room, workplace) while a case was symptomatic or during the 24 hours preceding symptom onset. Aircraft close contacts included passengers seated in the same row as, or in the two rows in front of or behind, an infectious case. If the case was a crew member, the passengers in the area in which the crew member worked were classified as close contacts. Passengers disembarking from cruise ships with high incidence of COVID-19 were also classified as close contacts for surveillance purposes.</w:t>
      </w:r>
      <w:r>
        <w:rPr>
          <w:vertAlign w:val="superscript"/>
        </w:rPr>
        <w:t xml:space="preserve">9 </w:t>
      </w:r>
    </w:p>
    <w:p w14:paraId="0511244F" w14:textId="77777777" w:rsidR="00AD5798" w:rsidRDefault="00AD5798" w:rsidP="003C5C48">
      <w:r>
        <w:t>Where a confirmed case travelled on an aircraft or cruise ship, a passenger manifest was obtained directly from the airline or from the Australian Government Department of Health National Incident Room (NIR). A team of contact tracers telephoned identified contacts to confirm the time, place and duration of contact, to determine whether they had any symptoms suggestive of COVID-19, and to inform them of the requirement to undergo quarantine until 14 days after their last contact with any infectious COVID-19 case. Close contacts were required to quarantine at home or in a hotel and to respond daily to a short message service (SMS) so as to declare whether they were well or had developed fever or respiratory symptoms. Compliance officers conducted random visits to those in quarantine to ensure adherence to the NT’s legislated quarantine requirements.</w:t>
      </w:r>
      <w:r>
        <w:rPr>
          <w:vertAlign w:val="superscript"/>
        </w:rPr>
        <w:t xml:space="preserve">10 </w:t>
      </w:r>
    </w:p>
    <w:p w14:paraId="7DAA9F38" w14:textId="77777777" w:rsidR="00AD5798" w:rsidRDefault="00AD5798" w:rsidP="003C5C48">
      <w:r>
        <w:t xml:space="preserve">Close contacts’ information was entered into </w:t>
      </w:r>
      <w:proofErr w:type="spellStart"/>
      <w:r>
        <w:t>NetEpi</w:t>
      </w:r>
      <w:proofErr w:type="spellEnd"/>
      <w:r>
        <w:rPr>
          <w:vertAlign w:val="superscript"/>
        </w:rPr>
        <w:t>©</w:t>
      </w:r>
      <w:r>
        <w:t xml:space="preserve">, an online epidemiological database available to jurisdictional public health units in Australia. Using </w:t>
      </w:r>
      <w:proofErr w:type="spellStart"/>
      <w:r>
        <w:t>NetEpi</w:t>
      </w:r>
      <w:proofErr w:type="spellEnd"/>
      <w:r>
        <w:rPr>
          <w:vertAlign w:val="superscript"/>
        </w:rPr>
        <w:t>©</w:t>
      </w:r>
      <w:r>
        <w:t xml:space="preserve"> we recorded the close contacts’ quarantine addresses and the outcomes of daily monitoring. </w:t>
      </w:r>
    </w:p>
    <w:p w14:paraId="15AB3436" w14:textId="77777777" w:rsidR="00AD5798" w:rsidRDefault="00AD5798" w:rsidP="003C5C48">
      <w:r>
        <w:t xml:space="preserve">Data were extracted daily from </w:t>
      </w:r>
      <w:proofErr w:type="spellStart"/>
      <w:r>
        <w:t>NetEpi</w:t>
      </w:r>
      <w:proofErr w:type="spellEnd"/>
      <w:r>
        <w:rPr>
          <w:vertAlign w:val="superscript"/>
        </w:rPr>
        <w:t>©</w:t>
      </w:r>
      <w:r>
        <w:t xml:space="preserve"> for contact monitoring, reporting and analysis from 1 March to 30 April 2020. Analysis was performed using Intercooled Stata 13.1 (</w:t>
      </w:r>
      <w:proofErr w:type="spellStart"/>
      <w:r>
        <w:t>StataCorp</w:t>
      </w:r>
      <w:proofErr w:type="spellEnd"/>
      <w:r>
        <w:t xml:space="preserve">, USA) and Microsoft Excel 2016 (Microsoft, USA). We calculated the proportion of contacts we monitored who became cases, with 95% confidence intervals. Daily extracts identified close contacts undergoing active monitoring for symptoms, their quarantine address (which was sent to compliance officers) and their mobile phone number. Close contacts were sent an initial SMS using Telstra Integrated Messaging at approximately 8:30 am every morning, a reminder at midday (if they were yet to respond) and a telephone call after 2 pm for those who had still not responded by that time. SMS and phone responses were recorded and testing for COVID-19 was arranged when symptoms consistent with acute respiratory infection or fever were reported. </w:t>
      </w:r>
    </w:p>
    <w:p w14:paraId="63FEC1AC" w14:textId="77777777" w:rsidR="00AD5798" w:rsidRDefault="00AD5798" w:rsidP="003C5C48">
      <w:r>
        <w:t>Ethics approval was not sought as our activities were conducted under the auspices of public health legislation.</w:t>
      </w:r>
      <w:r>
        <w:rPr>
          <w:vertAlign w:val="superscript"/>
        </w:rPr>
        <w:t xml:space="preserve">10 </w:t>
      </w:r>
    </w:p>
    <w:p w14:paraId="3F58DD51" w14:textId="77777777" w:rsidR="00AD5798" w:rsidRPr="003C5C48" w:rsidRDefault="00AD5798" w:rsidP="003C5C48">
      <w:pPr>
        <w:pStyle w:val="Heading1"/>
      </w:pPr>
      <w:r w:rsidRPr="003C5C48">
        <w:lastRenderedPageBreak/>
        <w:t xml:space="preserve">Results </w:t>
      </w:r>
    </w:p>
    <w:p w14:paraId="4F2F539A" w14:textId="77777777" w:rsidR="00AD5798" w:rsidRDefault="00AD5798" w:rsidP="003C5C48">
      <w:r>
        <w:t>There were 28 cases of COVID-19 notified in the NT between 1 March and 30 April 2020 (Figure 1).</w:t>
      </w:r>
    </w:p>
    <w:p w14:paraId="65A7195A" w14:textId="77777777" w:rsidR="00AD5798" w:rsidRDefault="00AD5798" w:rsidP="003C5C48">
      <w:pPr>
        <w:pStyle w:val="CDIFigures"/>
      </w:pPr>
      <w:r>
        <w:t>Figure 1. Epidemic curve of COVID-19 cases notified in the Northern Territory between 1 March and 30 April 2020,</w:t>
      </w:r>
      <w:r w:rsidRPr="00BF1276">
        <w:rPr>
          <w:vertAlign w:val="superscript"/>
        </w:rPr>
        <w:t>a</w:t>
      </w:r>
      <w:r>
        <w:t xml:space="preserve"> by notification date and by case </w:t>
      </w:r>
      <w:proofErr w:type="gramStart"/>
      <w:r>
        <w:t>type</w:t>
      </w:r>
      <w:proofErr w:type="gramEnd"/>
    </w:p>
    <w:p w14:paraId="56848CCD" w14:textId="77777777" w:rsidR="00AD5798" w:rsidRDefault="00AD5798">
      <w:pPr>
        <w:pStyle w:val="NormalWeb"/>
      </w:pPr>
      <w:r>
        <w:rPr>
          <w:noProof/>
        </w:rPr>
        <w:drawing>
          <wp:inline distT="0" distB="0" distL="0" distR="0" wp14:anchorId="638ECADC" wp14:editId="327D522D">
            <wp:extent cx="6629400" cy="4313606"/>
            <wp:effectExtent l="0" t="0" r="0" b="0"/>
            <wp:docPr id="4" name="Picture 4" descr="Epidemic curve of COVID-19 cases notified in the Northern Territory between 1 March and 30 April 2020 by notification date and by case type.&#10;&#10;Figure 1 shows the numbers of COVID-19 cases notified in the Northern Territory between 1 March and 30 April 2020 by notification date and case type. There were 23 cases who acquired their infection overseas, 1 case who acquired their infection interstate, 2 cases who were close contacts being monitored from a cruise ship and 2 cases who were close contacts being monitored from a househol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demic curve of COVID-19 cases notified in the Northern Territory between 1 March and 30 April 2020 by notification date and by case type.&#10;&#10;Figure 1 shows the numbers of COVID-19 cases notified in the Northern Territory between 1 March and 30 April 2020 by notification date and case type. There were 23 cases who acquired their infection overseas, 1 case who acquired their infection interstate, 2 cases who were close contacts being monitored from a cruise ship and 2 cases who were close contacts being monitored from a household.&#1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635475" cy="4317559"/>
                    </a:xfrm>
                    <a:prstGeom prst="rect">
                      <a:avLst/>
                    </a:prstGeom>
                  </pic:spPr>
                </pic:pic>
              </a:graphicData>
            </a:graphic>
          </wp:inline>
        </w:drawing>
      </w:r>
    </w:p>
    <w:p w14:paraId="361A7F06" w14:textId="77777777" w:rsidR="00AD5798" w:rsidRDefault="00AD5798" w:rsidP="003C5C48">
      <w:pPr>
        <w:pStyle w:val="CDIfootnotes"/>
      </w:pPr>
      <w:r>
        <w:t>a</w:t>
      </w:r>
      <w:r>
        <w:tab/>
        <w:t>Source: Northern Territory Notifiable Disease Surveillance System.</w:t>
      </w:r>
    </w:p>
    <w:p w14:paraId="3187C7E5" w14:textId="77777777" w:rsidR="00AD5798" w:rsidRDefault="00AD5798" w:rsidP="003C5C48">
      <w:r>
        <w:t>In total, we identified 527 close contacts of COVID-19 cases over the two-month period, of whom we were able to successfully contact 493 (94%). The majority were airline passengers (Table 1). The median interval between last exposure to a case and entry into quarantine was 7 days (interquartile range 4–8 days). This was skewed by the fact that 195 of the 493 contacts we were able to contact (40%) were from 2 flights for which there was a delay getting the manifests; for these 2 flights all passengers were deemed to be close contacts of an infectious crew member.</w:t>
      </w:r>
    </w:p>
    <w:p w14:paraId="410C774E" w14:textId="77777777" w:rsidR="00C829E6" w:rsidRDefault="00C829E6">
      <w:pPr>
        <w:rPr>
          <w:b/>
        </w:rPr>
      </w:pPr>
      <w:r>
        <w:br w:type="page"/>
      </w:r>
    </w:p>
    <w:p w14:paraId="1649C062" w14:textId="77777777" w:rsidR="00AD5798" w:rsidRDefault="00AD5798" w:rsidP="00C829E6">
      <w:pPr>
        <w:pStyle w:val="CDIFigures"/>
      </w:pPr>
      <w:r>
        <w:lastRenderedPageBreak/>
        <w:t>Table 1. Total number of close contacts identified by the NT CDC, 1 March – 30 April 2020</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1. Total number of close contacts identified by the Northern Territory Centre for Disease Control, 1 March – 30 April 2020.&#10;Table 1 shows that there were 527 contacts identified in the Northern Territory between 1 March and 30 April 2020. The majority (389; 74%) were aircraft passengers followed by 59 cruise ship passengers, 52 household contacts, 4 healthcare workers and 23 others."/>
      </w:tblPr>
      <w:tblGrid>
        <w:gridCol w:w="3480"/>
        <w:gridCol w:w="3480"/>
        <w:gridCol w:w="3480"/>
      </w:tblGrid>
      <w:tr w:rsidR="004351D0" w:rsidRPr="00013398" w14:paraId="4CCD8BD2" w14:textId="77777777" w:rsidTr="004351D0">
        <w:trPr>
          <w:cnfStyle w:val="100000000000" w:firstRow="1" w:lastRow="0" w:firstColumn="0" w:lastColumn="0" w:oddVBand="0" w:evenVBand="0" w:oddHBand="0" w:evenHBand="0" w:firstRowFirstColumn="0" w:firstRowLastColumn="0" w:lastRowFirstColumn="0" w:lastRowLastColumn="0"/>
          <w:tblHeader/>
        </w:trPr>
        <w:tc>
          <w:tcPr>
            <w:tcW w:w="3480" w:type="dxa"/>
            <w:hideMark/>
          </w:tcPr>
          <w:p w14:paraId="2666294C" w14:textId="77777777" w:rsidR="00AD5798" w:rsidRPr="00013398" w:rsidRDefault="00AD5798">
            <w:pPr>
              <w:pStyle w:val="NormalWeb"/>
              <w:rPr>
                <w:color w:val="FFFFFF" w:themeColor="background1"/>
                <w:sz w:val="18"/>
                <w:szCs w:val="20"/>
              </w:rPr>
            </w:pPr>
            <w:r w:rsidRPr="00013398">
              <w:rPr>
                <w:color w:val="FFFFFF" w:themeColor="background1"/>
                <w:sz w:val="18"/>
                <w:szCs w:val="20"/>
              </w:rPr>
              <w:t>Category</w:t>
            </w:r>
          </w:p>
        </w:tc>
        <w:tc>
          <w:tcPr>
            <w:tcW w:w="3480" w:type="dxa"/>
            <w:hideMark/>
          </w:tcPr>
          <w:p w14:paraId="384B1D34" w14:textId="77777777" w:rsidR="00AD5798" w:rsidRPr="00013398" w:rsidRDefault="00AD5798" w:rsidP="004351D0">
            <w:pPr>
              <w:pStyle w:val="NormalWeb"/>
              <w:jc w:val="center"/>
              <w:rPr>
                <w:color w:val="FFFFFF" w:themeColor="background1"/>
                <w:sz w:val="18"/>
                <w:szCs w:val="20"/>
              </w:rPr>
            </w:pPr>
            <w:r w:rsidRPr="00013398">
              <w:rPr>
                <w:color w:val="FFFFFF" w:themeColor="background1"/>
                <w:sz w:val="18"/>
                <w:szCs w:val="20"/>
              </w:rPr>
              <w:t>Number of people</w:t>
            </w:r>
          </w:p>
        </w:tc>
        <w:tc>
          <w:tcPr>
            <w:tcW w:w="3480" w:type="dxa"/>
            <w:hideMark/>
          </w:tcPr>
          <w:p w14:paraId="34AC3081" w14:textId="77777777" w:rsidR="00AD5798" w:rsidRPr="00013398" w:rsidRDefault="00AD5798" w:rsidP="004351D0">
            <w:pPr>
              <w:pStyle w:val="NormalWeb"/>
              <w:jc w:val="center"/>
              <w:rPr>
                <w:color w:val="FFFFFF" w:themeColor="background1"/>
                <w:sz w:val="18"/>
                <w:szCs w:val="20"/>
              </w:rPr>
            </w:pPr>
            <w:r w:rsidRPr="00013398">
              <w:rPr>
                <w:color w:val="FFFFFF" w:themeColor="background1"/>
                <w:sz w:val="18"/>
                <w:szCs w:val="20"/>
              </w:rPr>
              <w:t>Percentage of total</w:t>
            </w:r>
          </w:p>
        </w:tc>
      </w:tr>
      <w:tr w:rsidR="00AD5798" w:rsidRPr="00013398" w14:paraId="19394AAB" w14:textId="77777777" w:rsidTr="004351D0">
        <w:tc>
          <w:tcPr>
            <w:tcW w:w="3480" w:type="dxa"/>
            <w:hideMark/>
          </w:tcPr>
          <w:p w14:paraId="0479D1A8" w14:textId="77777777" w:rsidR="00AD5798" w:rsidRPr="00013398" w:rsidRDefault="00AD5798">
            <w:pPr>
              <w:pStyle w:val="NormalWeb"/>
              <w:rPr>
                <w:sz w:val="18"/>
                <w:szCs w:val="20"/>
              </w:rPr>
            </w:pPr>
            <w:r w:rsidRPr="00013398">
              <w:rPr>
                <w:sz w:val="18"/>
                <w:szCs w:val="20"/>
              </w:rPr>
              <w:t>Aircraft passengers</w:t>
            </w:r>
          </w:p>
        </w:tc>
        <w:tc>
          <w:tcPr>
            <w:tcW w:w="3480" w:type="dxa"/>
            <w:hideMark/>
          </w:tcPr>
          <w:p w14:paraId="506CCFC1" w14:textId="77777777" w:rsidR="00AD5798" w:rsidRPr="00013398" w:rsidRDefault="00AD5798" w:rsidP="004351D0">
            <w:pPr>
              <w:pStyle w:val="NormalWeb"/>
              <w:jc w:val="center"/>
              <w:rPr>
                <w:sz w:val="18"/>
                <w:szCs w:val="20"/>
              </w:rPr>
            </w:pPr>
            <w:r w:rsidRPr="00013398">
              <w:rPr>
                <w:sz w:val="18"/>
                <w:szCs w:val="20"/>
              </w:rPr>
              <w:t>389</w:t>
            </w:r>
          </w:p>
        </w:tc>
        <w:tc>
          <w:tcPr>
            <w:tcW w:w="3480" w:type="dxa"/>
            <w:hideMark/>
          </w:tcPr>
          <w:p w14:paraId="796B0204" w14:textId="77777777" w:rsidR="00AD5798" w:rsidRPr="00013398" w:rsidRDefault="00AD5798" w:rsidP="004351D0">
            <w:pPr>
              <w:pStyle w:val="NormalWeb"/>
              <w:jc w:val="center"/>
              <w:rPr>
                <w:sz w:val="18"/>
                <w:szCs w:val="20"/>
              </w:rPr>
            </w:pPr>
            <w:r w:rsidRPr="00013398">
              <w:rPr>
                <w:sz w:val="18"/>
                <w:szCs w:val="20"/>
              </w:rPr>
              <w:t>74</w:t>
            </w:r>
          </w:p>
        </w:tc>
      </w:tr>
      <w:tr w:rsidR="00AD5798" w:rsidRPr="00013398" w14:paraId="39B18EDA" w14:textId="77777777" w:rsidTr="004351D0">
        <w:trPr>
          <w:cnfStyle w:val="000000010000" w:firstRow="0" w:lastRow="0" w:firstColumn="0" w:lastColumn="0" w:oddVBand="0" w:evenVBand="0" w:oddHBand="0" w:evenHBand="1" w:firstRowFirstColumn="0" w:firstRowLastColumn="0" w:lastRowFirstColumn="0" w:lastRowLastColumn="0"/>
        </w:trPr>
        <w:tc>
          <w:tcPr>
            <w:tcW w:w="3480" w:type="dxa"/>
            <w:hideMark/>
          </w:tcPr>
          <w:p w14:paraId="45F2354C" w14:textId="77777777" w:rsidR="00AD5798" w:rsidRPr="00013398" w:rsidRDefault="00AD5798">
            <w:pPr>
              <w:pStyle w:val="NormalWeb"/>
              <w:rPr>
                <w:sz w:val="18"/>
                <w:szCs w:val="20"/>
              </w:rPr>
            </w:pPr>
            <w:r w:rsidRPr="00013398">
              <w:rPr>
                <w:sz w:val="18"/>
                <w:szCs w:val="20"/>
              </w:rPr>
              <w:t>Cruise ship passengers</w:t>
            </w:r>
          </w:p>
        </w:tc>
        <w:tc>
          <w:tcPr>
            <w:tcW w:w="3480" w:type="dxa"/>
            <w:hideMark/>
          </w:tcPr>
          <w:p w14:paraId="77F380C5" w14:textId="77777777" w:rsidR="00AD5798" w:rsidRPr="00013398" w:rsidRDefault="00AD5798" w:rsidP="004351D0">
            <w:pPr>
              <w:pStyle w:val="NormalWeb"/>
              <w:jc w:val="center"/>
              <w:rPr>
                <w:sz w:val="18"/>
                <w:szCs w:val="20"/>
              </w:rPr>
            </w:pPr>
            <w:r w:rsidRPr="00013398">
              <w:rPr>
                <w:sz w:val="18"/>
                <w:szCs w:val="20"/>
              </w:rPr>
              <w:t>59</w:t>
            </w:r>
          </w:p>
        </w:tc>
        <w:tc>
          <w:tcPr>
            <w:tcW w:w="3480" w:type="dxa"/>
            <w:hideMark/>
          </w:tcPr>
          <w:p w14:paraId="539FEF70" w14:textId="77777777" w:rsidR="00AD5798" w:rsidRPr="00013398" w:rsidRDefault="00AD5798" w:rsidP="004351D0">
            <w:pPr>
              <w:pStyle w:val="NormalWeb"/>
              <w:jc w:val="center"/>
              <w:rPr>
                <w:sz w:val="18"/>
                <w:szCs w:val="20"/>
              </w:rPr>
            </w:pPr>
            <w:r w:rsidRPr="00013398">
              <w:rPr>
                <w:sz w:val="18"/>
                <w:szCs w:val="20"/>
              </w:rPr>
              <w:t>11</w:t>
            </w:r>
          </w:p>
        </w:tc>
      </w:tr>
      <w:tr w:rsidR="00AD5798" w:rsidRPr="00013398" w14:paraId="7D3DCD80" w14:textId="77777777" w:rsidTr="004351D0">
        <w:tc>
          <w:tcPr>
            <w:tcW w:w="3480" w:type="dxa"/>
            <w:hideMark/>
          </w:tcPr>
          <w:p w14:paraId="6BC22200" w14:textId="77777777" w:rsidR="00AD5798" w:rsidRPr="00013398" w:rsidRDefault="00AD5798">
            <w:pPr>
              <w:pStyle w:val="NormalWeb"/>
              <w:rPr>
                <w:sz w:val="18"/>
                <w:szCs w:val="20"/>
              </w:rPr>
            </w:pPr>
            <w:r w:rsidRPr="00013398">
              <w:rPr>
                <w:sz w:val="18"/>
                <w:szCs w:val="20"/>
              </w:rPr>
              <w:t>Household contacts</w:t>
            </w:r>
          </w:p>
        </w:tc>
        <w:tc>
          <w:tcPr>
            <w:tcW w:w="3480" w:type="dxa"/>
            <w:hideMark/>
          </w:tcPr>
          <w:p w14:paraId="119F4DEB" w14:textId="77777777" w:rsidR="00AD5798" w:rsidRPr="00013398" w:rsidRDefault="00AD5798" w:rsidP="004351D0">
            <w:pPr>
              <w:pStyle w:val="NormalWeb"/>
              <w:jc w:val="center"/>
              <w:rPr>
                <w:sz w:val="18"/>
                <w:szCs w:val="20"/>
              </w:rPr>
            </w:pPr>
            <w:r w:rsidRPr="00013398">
              <w:rPr>
                <w:sz w:val="18"/>
                <w:szCs w:val="20"/>
              </w:rPr>
              <w:t>52</w:t>
            </w:r>
          </w:p>
        </w:tc>
        <w:tc>
          <w:tcPr>
            <w:tcW w:w="3480" w:type="dxa"/>
            <w:hideMark/>
          </w:tcPr>
          <w:p w14:paraId="277CE3D9" w14:textId="77777777" w:rsidR="00AD5798" w:rsidRPr="00013398" w:rsidRDefault="00AD5798" w:rsidP="004351D0">
            <w:pPr>
              <w:pStyle w:val="NormalWeb"/>
              <w:jc w:val="center"/>
              <w:rPr>
                <w:sz w:val="18"/>
                <w:szCs w:val="20"/>
              </w:rPr>
            </w:pPr>
            <w:r w:rsidRPr="00013398">
              <w:rPr>
                <w:sz w:val="18"/>
                <w:szCs w:val="20"/>
              </w:rPr>
              <w:t>10</w:t>
            </w:r>
          </w:p>
        </w:tc>
      </w:tr>
      <w:tr w:rsidR="00AD5798" w:rsidRPr="00013398" w14:paraId="0812AACB" w14:textId="77777777" w:rsidTr="004351D0">
        <w:trPr>
          <w:cnfStyle w:val="000000010000" w:firstRow="0" w:lastRow="0" w:firstColumn="0" w:lastColumn="0" w:oddVBand="0" w:evenVBand="0" w:oddHBand="0" w:evenHBand="1" w:firstRowFirstColumn="0" w:firstRowLastColumn="0" w:lastRowFirstColumn="0" w:lastRowLastColumn="0"/>
        </w:trPr>
        <w:tc>
          <w:tcPr>
            <w:tcW w:w="3480" w:type="dxa"/>
            <w:hideMark/>
          </w:tcPr>
          <w:p w14:paraId="4701A741" w14:textId="77777777" w:rsidR="00AD5798" w:rsidRPr="00013398" w:rsidRDefault="00AD5798">
            <w:pPr>
              <w:pStyle w:val="NormalWeb"/>
              <w:rPr>
                <w:sz w:val="18"/>
                <w:szCs w:val="20"/>
              </w:rPr>
            </w:pPr>
            <w:r w:rsidRPr="00013398">
              <w:rPr>
                <w:sz w:val="18"/>
                <w:szCs w:val="20"/>
              </w:rPr>
              <w:t>Healthcare workers</w:t>
            </w:r>
          </w:p>
        </w:tc>
        <w:tc>
          <w:tcPr>
            <w:tcW w:w="3480" w:type="dxa"/>
            <w:hideMark/>
          </w:tcPr>
          <w:p w14:paraId="257A36EA" w14:textId="77777777" w:rsidR="00AD5798" w:rsidRPr="00013398" w:rsidRDefault="00AD5798" w:rsidP="004351D0">
            <w:pPr>
              <w:pStyle w:val="NormalWeb"/>
              <w:jc w:val="center"/>
              <w:rPr>
                <w:sz w:val="18"/>
                <w:szCs w:val="20"/>
              </w:rPr>
            </w:pPr>
            <w:r w:rsidRPr="00013398">
              <w:rPr>
                <w:sz w:val="18"/>
                <w:szCs w:val="20"/>
              </w:rPr>
              <w:t>4</w:t>
            </w:r>
          </w:p>
        </w:tc>
        <w:tc>
          <w:tcPr>
            <w:tcW w:w="3480" w:type="dxa"/>
            <w:hideMark/>
          </w:tcPr>
          <w:p w14:paraId="5C9981BA" w14:textId="77777777" w:rsidR="00AD5798" w:rsidRPr="00013398" w:rsidRDefault="00AD5798" w:rsidP="004351D0">
            <w:pPr>
              <w:pStyle w:val="NormalWeb"/>
              <w:jc w:val="center"/>
              <w:rPr>
                <w:sz w:val="18"/>
                <w:szCs w:val="20"/>
              </w:rPr>
            </w:pPr>
            <w:r w:rsidRPr="00013398">
              <w:rPr>
                <w:sz w:val="18"/>
                <w:szCs w:val="20"/>
              </w:rPr>
              <w:t>&lt;</w:t>
            </w:r>
            <w:r w:rsidR="005A7BF4">
              <w:rPr>
                <w:sz w:val="18"/>
                <w:szCs w:val="20"/>
              </w:rPr>
              <w:t xml:space="preserve"> </w:t>
            </w:r>
            <w:r w:rsidRPr="00013398">
              <w:rPr>
                <w:sz w:val="18"/>
                <w:szCs w:val="20"/>
              </w:rPr>
              <w:t>1</w:t>
            </w:r>
          </w:p>
        </w:tc>
      </w:tr>
      <w:tr w:rsidR="00AD5798" w:rsidRPr="00013398" w14:paraId="168A2DCA" w14:textId="77777777" w:rsidTr="004351D0">
        <w:tc>
          <w:tcPr>
            <w:tcW w:w="3480" w:type="dxa"/>
            <w:hideMark/>
          </w:tcPr>
          <w:p w14:paraId="4F2EE8A4" w14:textId="77777777" w:rsidR="00AD5798" w:rsidRPr="00013398" w:rsidRDefault="00AD5798">
            <w:pPr>
              <w:pStyle w:val="NormalWeb"/>
              <w:rPr>
                <w:sz w:val="18"/>
                <w:szCs w:val="20"/>
              </w:rPr>
            </w:pPr>
            <w:r w:rsidRPr="00013398">
              <w:rPr>
                <w:sz w:val="18"/>
                <w:szCs w:val="20"/>
              </w:rPr>
              <w:t>Other</w:t>
            </w:r>
          </w:p>
        </w:tc>
        <w:tc>
          <w:tcPr>
            <w:tcW w:w="3480" w:type="dxa"/>
            <w:hideMark/>
          </w:tcPr>
          <w:p w14:paraId="559FAC93" w14:textId="77777777" w:rsidR="00AD5798" w:rsidRPr="00013398" w:rsidRDefault="00AD5798" w:rsidP="004351D0">
            <w:pPr>
              <w:pStyle w:val="NormalWeb"/>
              <w:jc w:val="center"/>
              <w:rPr>
                <w:sz w:val="18"/>
                <w:szCs w:val="20"/>
              </w:rPr>
            </w:pPr>
            <w:r w:rsidRPr="00013398">
              <w:rPr>
                <w:sz w:val="18"/>
                <w:szCs w:val="20"/>
              </w:rPr>
              <w:t>23</w:t>
            </w:r>
          </w:p>
        </w:tc>
        <w:tc>
          <w:tcPr>
            <w:tcW w:w="3480" w:type="dxa"/>
            <w:hideMark/>
          </w:tcPr>
          <w:p w14:paraId="69AC6ACD" w14:textId="77777777" w:rsidR="00AD5798" w:rsidRPr="00013398" w:rsidRDefault="00AD5798" w:rsidP="004351D0">
            <w:pPr>
              <w:pStyle w:val="NormalWeb"/>
              <w:jc w:val="center"/>
              <w:rPr>
                <w:sz w:val="18"/>
                <w:szCs w:val="20"/>
              </w:rPr>
            </w:pPr>
            <w:r w:rsidRPr="00013398">
              <w:rPr>
                <w:sz w:val="18"/>
                <w:szCs w:val="20"/>
              </w:rPr>
              <w:t>4</w:t>
            </w:r>
          </w:p>
        </w:tc>
      </w:tr>
      <w:tr w:rsidR="00AD5798" w:rsidRPr="00013398" w14:paraId="14D91D79" w14:textId="77777777" w:rsidTr="00223B4E">
        <w:trPr>
          <w:cnfStyle w:val="000000010000" w:firstRow="0" w:lastRow="0" w:firstColumn="0" w:lastColumn="0" w:oddVBand="0" w:evenVBand="0" w:oddHBand="0" w:evenHBand="1" w:firstRowFirstColumn="0" w:firstRowLastColumn="0" w:lastRowFirstColumn="0" w:lastRowLastColumn="0"/>
        </w:trPr>
        <w:tc>
          <w:tcPr>
            <w:tcW w:w="3480" w:type="dxa"/>
            <w:shd w:val="clear" w:color="auto" w:fill="FDE9D9" w:themeFill="accent6" w:themeFillTint="33"/>
            <w:hideMark/>
          </w:tcPr>
          <w:p w14:paraId="4E0B66C3" w14:textId="77777777" w:rsidR="00AD5798" w:rsidRPr="00013398" w:rsidRDefault="00AD5798">
            <w:pPr>
              <w:pStyle w:val="NormalWeb"/>
              <w:rPr>
                <w:b/>
                <w:sz w:val="18"/>
                <w:szCs w:val="20"/>
              </w:rPr>
            </w:pPr>
            <w:r w:rsidRPr="00013398">
              <w:rPr>
                <w:b/>
                <w:sz w:val="18"/>
                <w:szCs w:val="20"/>
              </w:rPr>
              <w:t>Total</w:t>
            </w:r>
          </w:p>
        </w:tc>
        <w:tc>
          <w:tcPr>
            <w:tcW w:w="3480" w:type="dxa"/>
            <w:shd w:val="clear" w:color="auto" w:fill="FDE9D9" w:themeFill="accent6" w:themeFillTint="33"/>
            <w:hideMark/>
          </w:tcPr>
          <w:p w14:paraId="26723284" w14:textId="77777777" w:rsidR="00AD5798" w:rsidRPr="00013398" w:rsidRDefault="00AD5798" w:rsidP="004351D0">
            <w:pPr>
              <w:pStyle w:val="NormalWeb"/>
              <w:jc w:val="center"/>
              <w:rPr>
                <w:b/>
                <w:sz w:val="18"/>
                <w:szCs w:val="20"/>
              </w:rPr>
            </w:pPr>
            <w:r w:rsidRPr="00013398">
              <w:rPr>
                <w:b/>
                <w:sz w:val="18"/>
                <w:szCs w:val="20"/>
              </w:rPr>
              <w:t>527</w:t>
            </w:r>
          </w:p>
        </w:tc>
        <w:tc>
          <w:tcPr>
            <w:tcW w:w="3480" w:type="dxa"/>
            <w:shd w:val="clear" w:color="auto" w:fill="FDE9D9" w:themeFill="accent6" w:themeFillTint="33"/>
            <w:hideMark/>
          </w:tcPr>
          <w:p w14:paraId="0608A61B" w14:textId="77777777" w:rsidR="00AD5798" w:rsidRPr="00013398" w:rsidRDefault="00AD5798" w:rsidP="004351D0">
            <w:pPr>
              <w:jc w:val="center"/>
              <w:rPr>
                <w:b/>
                <w:sz w:val="18"/>
                <w:szCs w:val="20"/>
              </w:rPr>
            </w:pPr>
          </w:p>
        </w:tc>
      </w:tr>
    </w:tbl>
    <w:p w14:paraId="684C5F41" w14:textId="77777777" w:rsidR="002C0820" w:rsidRDefault="002C0820" w:rsidP="003C5C48"/>
    <w:p w14:paraId="54EF3893" w14:textId="77777777" w:rsidR="00AD5798" w:rsidRDefault="00AD5798" w:rsidP="003C5C48">
      <w:pPr>
        <w:rPr>
          <w:sz w:val="24"/>
          <w:szCs w:val="24"/>
        </w:rPr>
      </w:pPr>
      <w:r>
        <w:t xml:space="preserve">The median number of contacts undergoing daily monitoring for COVID-19 symptoms was 19 per day (range 1–218 per day) (Figure 2). </w:t>
      </w:r>
    </w:p>
    <w:p w14:paraId="785A31D2" w14:textId="77777777" w:rsidR="00DD2A12" w:rsidRDefault="00DD2A12" w:rsidP="00DD2A12">
      <w:r>
        <w:t>Of the 34 close contacts we were unable to reach through contact tracing, 28 (82%) were from flights. Of those successfully contacted, 48/493 (10%) were located interstate or in military facilities/vessels overseas. These contacts were transferred to those authorities for daily monitoring during their quarantine period. Of the 445 people identified as residing in the NT for their quarantine period, the majority (334; 75%) were located in the Darwin urban area (Table 2).</w:t>
      </w:r>
    </w:p>
    <w:p w14:paraId="37363E00" w14:textId="77777777" w:rsidR="00DD2A12" w:rsidRDefault="00DD2A12" w:rsidP="00DD2A12"/>
    <w:p w14:paraId="36F55174" w14:textId="77777777" w:rsidR="00AD5798" w:rsidRDefault="00AD5798" w:rsidP="003C5C48">
      <w:pPr>
        <w:pStyle w:val="CDIFigures"/>
      </w:pPr>
      <w:r>
        <w:t>Figure 2. Number of COVID-19 close contacts undergoing daily monitoring, Northern Territory, 1 March - 30 April 2020 by date of monitoring</w:t>
      </w:r>
    </w:p>
    <w:p w14:paraId="7C42A59B" w14:textId="77777777" w:rsidR="00AD5798" w:rsidRDefault="00AD5798">
      <w:pPr>
        <w:rPr>
          <w:rFonts w:eastAsia="Times New Roman"/>
        </w:rPr>
      </w:pPr>
      <w:r>
        <w:rPr>
          <w:rFonts w:eastAsia="Times New Roman"/>
          <w:noProof/>
        </w:rPr>
        <w:drawing>
          <wp:inline distT="0" distB="0" distL="0" distR="0" wp14:anchorId="2850D3F0" wp14:editId="72409411">
            <wp:extent cx="6661735" cy="4331458"/>
            <wp:effectExtent l="0" t="0" r="6350" b="0"/>
            <wp:docPr id="2" name="Picture 2" descr="Figure 2. Number of COVID-19 close contacts undergoing daily monitoring, Northern Territory, 1 March – 30 April 2020 by date of monitoring.&#10;&#10;Figure 2 shows the number of COVID-19 close contacts undergoing daily monitoring in the Northern Territory from 1 March to 30 April 2020. From 1 March to 22 March there was a median of 19 close contacts undergoing monitoring each day. From 23 March to 17 April there was a median of 136 close contacts undergoing monitoring each day. From 17 April until 30 April the median number of close contacts undergoing daily monitoring was only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2. Number of COVID-19 close contacts undergoing daily monitoring, Northern Territory, 1 March – 30 April 2020 by date of monitoring.&#10;&#10;Figure 2 shows the number of COVID-19 close contacts undergoing daily monitoring in the Northern Territory from 1 March to 30 April 2020. From 1 March to 22 March there was a median of 19 close contacts undergoing monitoring each day. From 23 March to 17 April there was a median of 136 close contacts undergoing monitoring each day. From 17 April until 30 April the median number of close contacts undergoing daily monitoring was only 6.&#10;"/>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666850" cy="4334784"/>
                    </a:xfrm>
                    <a:prstGeom prst="rect">
                      <a:avLst/>
                    </a:prstGeom>
                  </pic:spPr>
                </pic:pic>
              </a:graphicData>
            </a:graphic>
          </wp:inline>
        </w:drawing>
      </w:r>
    </w:p>
    <w:p w14:paraId="23D81CAD" w14:textId="77777777" w:rsidR="00AD5798" w:rsidRDefault="00E428A9" w:rsidP="00DD2A12">
      <w:r>
        <w:br w:type="page"/>
      </w:r>
      <w:r w:rsidR="00AD5798">
        <w:lastRenderedPageBreak/>
        <w:t>Table 2. Total number of close contacts monitored daily in the Northern Territory, by region, within the period 1 March – 30 April 2020</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2. Total number of close contacts who were monitored daily in the Northern Territory, by region, 1 March – 30 April 2020.&#10;&#10;Table 2 shows that there were 445 close contacts who were monitored daily in the Northern Territory between 1 March and 30 April 2020. The majority (334; 75%) were in the Darwin Urban area followed by 68 in the Alice Springs urban area, 21 in the Darwin rural area, 13 in the Katherine region, 4 in the East Arnhem region, 3 in the Barkly region and 2 in the Alice Springs rural area."/>
      </w:tblPr>
      <w:tblGrid>
        <w:gridCol w:w="1877"/>
        <w:gridCol w:w="4281"/>
        <w:gridCol w:w="4282"/>
      </w:tblGrid>
      <w:tr w:rsidR="005E0D00" w:rsidRPr="0054085A" w14:paraId="3A1746CA" w14:textId="77777777" w:rsidTr="00A45642">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34D0EBF2" w14:textId="77777777" w:rsidR="00AD5798" w:rsidRPr="0054085A" w:rsidRDefault="00AD5798">
            <w:pPr>
              <w:pStyle w:val="NormalWeb"/>
              <w:rPr>
                <w:color w:val="FFFFFF" w:themeColor="background1"/>
                <w:sz w:val="18"/>
                <w:szCs w:val="18"/>
              </w:rPr>
            </w:pPr>
            <w:r w:rsidRPr="0054085A">
              <w:rPr>
                <w:color w:val="FFFFFF" w:themeColor="background1"/>
                <w:sz w:val="18"/>
                <w:szCs w:val="18"/>
              </w:rPr>
              <w:t>Region</w:t>
            </w:r>
          </w:p>
        </w:tc>
        <w:tc>
          <w:tcPr>
            <w:tcW w:w="4281" w:type="dxa"/>
            <w:hideMark/>
          </w:tcPr>
          <w:p w14:paraId="4DF86740" w14:textId="77777777" w:rsidR="00AD5798" w:rsidRPr="0054085A" w:rsidRDefault="00AD5798" w:rsidP="005E0D00">
            <w:pPr>
              <w:pStyle w:val="NormalWeb"/>
              <w:jc w:val="center"/>
              <w:rPr>
                <w:color w:val="FFFFFF" w:themeColor="background1"/>
                <w:sz w:val="18"/>
                <w:szCs w:val="18"/>
              </w:rPr>
            </w:pPr>
            <w:r w:rsidRPr="0054085A">
              <w:rPr>
                <w:color w:val="FFFFFF" w:themeColor="background1"/>
                <w:sz w:val="18"/>
                <w:szCs w:val="18"/>
              </w:rPr>
              <w:t>Number of people</w:t>
            </w:r>
          </w:p>
        </w:tc>
        <w:tc>
          <w:tcPr>
            <w:tcW w:w="4282" w:type="dxa"/>
            <w:hideMark/>
          </w:tcPr>
          <w:p w14:paraId="4D9DCEE7" w14:textId="77777777" w:rsidR="00AD5798" w:rsidRPr="0054085A" w:rsidRDefault="00AD5798" w:rsidP="005E0D00">
            <w:pPr>
              <w:pStyle w:val="NormalWeb"/>
              <w:jc w:val="center"/>
              <w:rPr>
                <w:color w:val="FFFFFF" w:themeColor="background1"/>
                <w:sz w:val="18"/>
                <w:szCs w:val="18"/>
              </w:rPr>
            </w:pPr>
            <w:r w:rsidRPr="0054085A">
              <w:rPr>
                <w:color w:val="FFFFFF" w:themeColor="background1"/>
                <w:sz w:val="18"/>
                <w:szCs w:val="18"/>
              </w:rPr>
              <w:t>Percentage of total</w:t>
            </w:r>
          </w:p>
        </w:tc>
      </w:tr>
      <w:tr w:rsidR="00E63E88" w:rsidRPr="0054085A" w14:paraId="4E759AC3" w14:textId="77777777" w:rsidTr="00A45642">
        <w:tc>
          <w:tcPr>
            <w:tcW w:w="0" w:type="auto"/>
            <w:hideMark/>
          </w:tcPr>
          <w:p w14:paraId="2A03892D" w14:textId="77777777" w:rsidR="00AD5798" w:rsidRPr="0054085A" w:rsidRDefault="00AD5798">
            <w:pPr>
              <w:pStyle w:val="NormalWeb"/>
              <w:rPr>
                <w:color w:val="000000" w:themeColor="text1"/>
                <w:sz w:val="18"/>
                <w:szCs w:val="18"/>
              </w:rPr>
            </w:pPr>
            <w:r w:rsidRPr="0054085A">
              <w:rPr>
                <w:color w:val="000000" w:themeColor="text1"/>
                <w:sz w:val="18"/>
                <w:szCs w:val="18"/>
              </w:rPr>
              <w:t>Darwin urban area</w:t>
            </w:r>
          </w:p>
        </w:tc>
        <w:tc>
          <w:tcPr>
            <w:tcW w:w="4281" w:type="dxa"/>
            <w:hideMark/>
          </w:tcPr>
          <w:p w14:paraId="64B25C5C" w14:textId="77777777" w:rsidR="00AD5798" w:rsidRPr="0054085A" w:rsidRDefault="00AD5798" w:rsidP="005E0D00">
            <w:pPr>
              <w:pStyle w:val="NormalWeb"/>
              <w:jc w:val="center"/>
              <w:rPr>
                <w:color w:val="000000" w:themeColor="text1"/>
                <w:sz w:val="18"/>
                <w:szCs w:val="18"/>
              </w:rPr>
            </w:pPr>
            <w:r w:rsidRPr="0054085A">
              <w:rPr>
                <w:color w:val="000000" w:themeColor="text1"/>
                <w:sz w:val="18"/>
                <w:szCs w:val="18"/>
              </w:rPr>
              <w:t>334</w:t>
            </w:r>
          </w:p>
        </w:tc>
        <w:tc>
          <w:tcPr>
            <w:tcW w:w="4282" w:type="dxa"/>
            <w:hideMark/>
          </w:tcPr>
          <w:p w14:paraId="298E2D89" w14:textId="77777777" w:rsidR="00AD5798" w:rsidRPr="0054085A" w:rsidRDefault="00AD5798" w:rsidP="005E0D00">
            <w:pPr>
              <w:pStyle w:val="NormalWeb"/>
              <w:jc w:val="center"/>
              <w:rPr>
                <w:color w:val="000000" w:themeColor="text1"/>
                <w:sz w:val="18"/>
                <w:szCs w:val="18"/>
              </w:rPr>
            </w:pPr>
            <w:r w:rsidRPr="0054085A">
              <w:rPr>
                <w:color w:val="000000" w:themeColor="text1"/>
                <w:sz w:val="18"/>
                <w:szCs w:val="18"/>
              </w:rPr>
              <w:t>75</w:t>
            </w:r>
          </w:p>
        </w:tc>
      </w:tr>
      <w:tr w:rsidR="00AD5798" w:rsidRPr="0054085A" w14:paraId="4D00E03C" w14:textId="77777777" w:rsidTr="00A45642">
        <w:trPr>
          <w:cnfStyle w:val="000000010000" w:firstRow="0" w:lastRow="0" w:firstColumn="0" w:lastColumn="0" w:oddVBand="0" w:evenVBand="0" w:oddHBand="0" w:evenHBand="1" w:firstRowFirstColumn="0" w:firstRowLastColumn="0" w:lastRowFirstColumn="0" w:lastRowLastColumn="0"/>
        </w:trPr>
        <w:tc>
          <w:tcPr>
            <w:tcW w:w="0" w:type="auto"/>
            <w:hideMark/>
          </w:tcPr>
          <w:p w14:paraId="10BF1B4F" w14:textId="77777777" w:rsidR="00AD5798" w:rsidRPr="0054085A" w:rsidRDefault="00AD5798">
            <w:pPr>
              <w:pStyle w:val="NormalWeb"/>
              <w:rPr>
                <w:sz w:val="18"/>
                <w:szCs w:val="18"/>
              </w:rPr>
            </w:pPr>
            <w:r w:rsidRPr="0054085A">
              <w:rPr>
                <w:sz w:val="18"/>
                <w:szCs w:val="18"/>
              </w:rPr>
              <w:t>Alice Springs urban area</w:t>
            </w:r>
          </w:p>
        </w:tc>
        <w:tc>
          <w:tcPr>
            <w:tcW w:w="4281" w:type="dxa"/>
            <w:hideMark/>
          </w:tcPr>
          <w:p w14:paraId="0E8771D4" w14:textId="77777777" w:rsidR="00AD5798" w:rsidRPr="0054085A" w:rsidRDefault="00AD5798" w:rsidP="005E0D00">
            <w:pPr>
              <w:pStyle w:val="NormalWeb"/>
              <w:jc w:val="center"/>
              <w:rPr>
                <w:sz w:val="18"/>
                <w:szCs w:val="18"/>
              </w:rPr>
            </w:pPr>
            <w:r w:rsidRPr="0054085A">
              <w:rPr>
                <w:sz w:val="18"/>
                <w:szCs w:val="18"/>
              </w:rPr>
              <w:t>68</w:t>
            </w:r>
          </w:p>
        </w:tc>
        <w:tc>
          <w:tcPr>
            <w:tcW w:w="4282" w:type="dxa"/>
            <w:hideMark/>
          </w:tcPr>
          <w:p w14:paraId="7D269A78" w14:textId="77777777" w:rsidR="00AD5798" w:rsidRPr="0054085A" w:rsidRDefault="00AD5798" w:rsidP="005E0D00">
            <w:pPr>
              <w:pStyle w:val="NormalWeb"/>
              <w:jc w:val="center"/>
              <w:rPr>
                <w:sz w:val="18"/>
                <w:szCs w:val="18"/>
              </w:rPr>
            </w:pPr>
            <w:r w:rsidRPr="0054085A">
              <w:rPr>
                <w:sz w:val="18"/>
                <w:szCs w:val="18"/>
              </w:rPr>
              <w:t>15</w:t>
            </w:r>
          </w:p>
        </w:tc>
      </w:tr>
      <w:tr w:rsidR="00AD5798" w:rsidRPr="0054085A" w14:paraId="7423E0DC" w14:textId="77777777" w:rsidTr="00A45642">
        <w:tc>
          <w:tcPr>
            <w:tcW w:w="0" w:type="auto"/>
            <w:hideMark/>
          </w:tcPr>
          <w:p w14:paraId="35A73457" w14:textId="77777777" w:rsidR="00AD5798" w:rsidRPr="0054085A" w:rsidRDefault="00AD5798">
            <w:pPr>
              <w:pStyle w:val="NormalWeb"/>
              <w:rPr>
                <w:sz w:val="18"/>
                <w:szCs w:val="18"/>
              </w:rPr>
            </w:pPr>
            <w:r w:rsidRPr="0054085A">
              <w:rPr>
                <w:sz w:val="18"/>
                <w:szCs w:val="18"/>
              </w:rPr>
              <w:t>Darwin rural area</w:t>
            </w:r>
          </w:p>
        </w:tc>
        <w:tc>
          <w:tcPr>
            <w:tcW w:w="4281" w:type="dxa"/>
            <w:hideMark/>
          </w:tcPr>
          <w:p w14:paraId="6A8FBF93" w14:textId="77777777" w:rsidR="00AD5798" w:rsidRPr="0054085A" w:rsidRDefault="00AD5798" w:rsidP="005E0D00">
            <w:pPr>
              <w:pStyle w:val="NormalWeb"/>
              <w:jc w:val="center"/>
              <w:rPr>
                <w:sz w:val="18"/>
                <w:szCs w:val="18"/>
              </w:rPr>
            </w:pPr>
            <w:r w:rsidRPr="0054085A">
              <w:rPr>
                <w:sz w:val="18"/>
                <w:szCs w:val="18"/>
              </w:rPr>
              <w:t>21</w:t>
            </w:r>
          </w:p>
        </w:tc>
        <w:tc>
          <w:tcPr>
            <w:tcW w:w="4282" w:type="dxa"/>
            <w:hideMark/>
          </w:tcPr>
          <w:p w14:paraId="27B55FAB" w14:textId="77777777" w:rsidR="00AD5798" w:rsidRPr="0054085A" w:rsidRDefault="00AD5798" w:rsidP="005E0D00">
            <w:pPr>
              <w:pStyle w:val="NormalWeb"/>
              <w:jc w:val="center"/>
              <w:rPr>
                <w:sz w:val="18"/>
                <w:szCs w:val="18"/>
              </w:rPr>
            </w:pPr>
            <w:r w:rsidRPr="0054085A">
              <w:rPr>
                <w:sz w:val="18"/>
                <w:szCs w:val="18"/>
              </w:rPr>
              <w:t>5</w:t>
            </w:r>
          </w:p>
        </w:tc>
      </w:tr>
      <w:tr w:rsidR="00AD5798" w:rsidRPr="0054085A" w14:paraId="4EE7BC0D" w14:textId="77777777" w:rsidTr="00A45642">
        <w:trPr>
          <w:cnfStyle w:val="000000010000" w:firstRow="0" w:lastRow="0" w:firstColumn="0" w:lastColumn="0" w:oddVBand="0" w:evenVBand="0" w:oddHBand="0" w:evenHBand="1" w:firstRowFirstColumn="0" w:firstRowLastColumn="0" w:lastRowFirstColumn="0" w:lastRowLastColumn="0"/>
        </w:trPr>
        <w:tc>
          <w:tcPr>
            <w:tcW w:w="0" w:type="auto"/>
            <w:hideMark/>
          </w:tcPr>
          <w:p w14:paraId="1F764B8A" w14:textId="77777777" w:rsidR="00AD5798" w:rsidRPr="0054085A" w:rsidRDefault="00AD5798">
            <w:pPr>
              <w:pStyle w:val="NormalWeb"/>
              <w:rPr>
                <w:sz w:val="18"/>
                <w:szCs w:val="18"/>
              </w:rPr>
            </w:pPr>
            <w:r w:rsidRPr="0054085A">
              <w:rPr>
                <w:sz w:val="18"/>
                <w:szCs w:val="18"/>
              </w:rPr>
              <w:t>Katherine region</w:t>
            </w:r>
          </w:p>
        </w:tc>
        <w:tc>
          <w:tcPr>
            <w:tcW w:w="4281" w:type="dxa"/>
            <w:hideMark/>
          </w:tcPr>
          <w:p w14:paraId="183CAB1A" w14:textId="77777777" w:rsidR="00AD5798" w:rsidRPr="0054085A" w:rsidRDefault="00AD5798" w:rsidP="005E0D00">
            <w:pPr>
              <w:pStyle w:val="NormalWeb"/>
              <w:jc w:val="center"/>
              <w:rPr>
                <w:sz w:val="18"/>
                <w:szCs w:val="18"/>
              </w:rPr>
            </w:pPr>
            <w:r w:rsidRPr="0054085A">
              <w:rPr>
                <w:sz w:val="18"/>
                <w:szCs w:val="18"/>
              </w:rPr>
              <w:t>13</w:t>
            </w:r>
          </w:p>
        </w:tc>
        <w:tc>
          <w:tcPr>
            <w:tcW w:w="4282" w:type="dxa"/>
            <w:hideMark/>
          </w:tcPr>
          <w:p w14:paraId="6A7CC03C" w14:textId="77777777" w:rsidR="00AD5798" w:rsidRPr="0054085A" w:rsidRDefault="00AD5798" w:rsidP="005E0D00">
            <w:pPr>
              <w:pStyle w:val="NormalWeb"/>
              <w:jc w:val="center"/>
              <w:rPr>
                <w:sz w:val="18"/>
                <w:szCs w:val="18"/>
              </w:rPr>
            </w:pPr>
            <w:r w:rsidRPr="0054085A">
              <w:rPr>
                <w:sz w:val="18"/>
                <w:szCs w:val="18"/>
              </w:rPr>
              <w:t>3</w:t>
            </w:r>
          </w:p>
        </w:tc>
      </w:tr>
      <w:tr w:rsidR="00AD5798" w:rsidRPr="0054085A" w14:paraId="5CA28D41" w14:textId="77777777" w:rsidTr="00A45642">
        <w:tc>
          <w:tcPr>
            <w:tcW w:w="0" w:type="auto"/>
            <w:hideMark/>
          </w:tcPr>
          <w:p w14:paraId="2B261B09" w14:textId="77777777" w:rsidR="00AD5798" w:rsidRPr="0054085A" w:rsidRDefault="00AD5798">
            <w:pPr>
              <w:pStyle w:val="NormalWeb"/>
              <w:rPr>
                <w:sz w:val="18"/>
                <w:szCs w:val="18"/>
              </w:rPr>
            </w:pPr>
            <w:r w:rsidRPr="0054085A">
              <w:rPr>
                <w:sz w:val="18"/>
                <w:szCs w:val="18"/>
              </w:rPr>
              <w:t>East Arnhem region</w:t>
            </w:r>
          </w:p>
        </w:tc>
        <w:tc>
          <w:tcPr>
            <w:tcW w:w="4281" w:type="dxa"/>
            <w:hideMark/>
          </w:tcPr>
          <w:p w14:paraId="6FE7F9B7" w14:textId="77777777" w:rsidR="00AD5798" w:rsidRPr="0054085A" w:rsidRDefault="00AD5798" w:rsidP="005E0D00">
            <w:pPr>
              <w:pStyle w:val="NormalWeb"/>
              <w:jc w:val="center"/>
              <w:rPr>
                <w:sz w:val="18"/>
                <w:szCs w:val="18"/>
              </w:rPr>
            </w:pPr>
            <w:r w:rsidRPr="0054085A">
              <w:rPr>
                <w:sz w:val="18"/>
                <w:szCs w:val="18"/>
              </w:rPr>
              <w:t>4</w:t>
            </w:r>
          </w:p>
        </w:tc>
        <w:tc>
          <w:tcPr>
            <w:tcW w:w="4282" w:type="dxa"/>
            <w:hideMark/>
          </w:tcPr>
          <w:p w14:paraId="3163CC54" w14:textId="77777777" w:rsidR="00AD5798" w:rsidRPr="0054085A" w:rsidRDefault="00AD5798" w:rsidP="005E0D00">
            <w:pPr>
              <w:pStyle w:val="NormalWeb"/>
              <w:jc w:val="center"/>
              <w:rPr>
                <w:sz w:val="18"/>
                <w:szCs w:val="18"/>
              </w:rPr>
            </w:pPr>
            <w:r w:rsidRPr="0054085A">
              <w:rPr>
                <w:sz w:val="18"/>
                <w:szCs w:val="18"/>
              </w:rPr>
              <w:t>&lt; 1</w:t>
            </w:r>
          </w:p>
        </w:tc>
      </w:tr>
      <w:tr w:rsidR="00AD5798" w:rsidRPr="0054085A" w14:paraId="37EB9A6B" w14:textId="77777777" w:rsidTr="00A45642">
        <w:trPr>
          <w:cnfStyle w:val="000000010000" w:firstRow="0" w:lastRow="0" w:firstColumn="0" w:lastColumn="0" w:oddVBand="0" w:evenVBand="0" w:oddHBand="0" w:evenHBand="1" w:firstRowFirstColumn="0" w:firstRowLastColumn="0" w:lastRowFirstColumn="0" w:lastRowLastColumn="0"/>
        </w:trPr>
        <w:tc>
          <w:tcPr>
            <w:tcW w:w="0" w:type="auto"/>
            <w:hideMark/>
          </w:tcPr>
          <w:p w14:paraId="6311CF2D" w14:textId="77777777" w:rsidR="00AD5798" w:rsidRPr="0054085A" w:rsidRDefault="00AD5798">
            <w:pPr>
              <w:pStyle w:val="NormalWeb"/>
              <w:rPr>
                <w:sz w:val="18"/>
                <w:szCs w:val="18"/>
              </w:rPr>
            </w:pPr>
            <w:r w:rsidRPr="0054085A">
              <w:rPr>
                <w:sz w:val="18"/>
                <w:szCs w:val="18"/>
              </w:rPr>
              <w:t>Barkly region</w:t>
            </w:r>
          </w:p>
        </w:tc>
        <w:tc>
          <w:tcPr>
            <w:tcW w:w="4281" w:type="dxa"/>
            <w:hideMark/>
          </w:tcPr>
          <w:p w14:paraId="3D45E603" w14:textId="77777777" w:rsidR="00AD5798" w:rsidRPr="0054085A" w:rsidRDefault="00AD5798" w:rsidP="005E0D00">
            <w:pPr>
              <w:pStyle w:val="NormalWeb"/>
              <w:jc w:val="center"/>
              <w:rPr>
                <w:sz w:val="18"/>
                <w:szCs w:val="18"/>
              </w:rPr>
            </w:pPr>
            <w:r w:rsidRPr="0054085A">
              <w:rPr>
                <w:sz w:val="18"/>
                <w:szCs w:val="18"/>
              </w:rPr>
              <w:t>3</w:t>
            </w:r>
          </w:p>
        </w:tc>
        <w:tc>
          <w:tcPr>
            <w:tcW w:w="4282" w:type="dxa"/>
            <w:hideMark/>
          </w:tcPr>
          <w:p w14:paraId="3D95D3D0" w14:textId="77777777" w:rsidR="00AD5798" w:rsidRPr="0054085A" w:rsidRDefault="00AD5798" w:rsidP="005E0D00">
            <w:pPr>
              <w:pStyle w:val="NormalWeb"/>
              <w:jc w:val="center"/>
              <w:rPr>
                <w:sz w:val="18"/>
                <w:szCs w:val="18"/>
              </w:rPr>
            </w:pPr>
            <w:r w:rsidRPr="0054085A">
              <w:rPr>
                <w:sz w:val="18"/>
                <w:szCs w:val="18"/>
              </w:rPr>
              <w:t>&lt; 1</w:t>
            </w:r>
          </w:p>
        </w:tc>
      </w:tr>
      <w:tr w:rsidR="00AD5798" w:rsidRPr="0054085A" w14:paraId="4BAF973A" w14:textId="77777777" w:rsidTr="00A45642">
        <w:tc>
          <w:tcPr>
            <w:tcW w:w="0" w:type="auto"/>
            <w:hideMark/>
          </w:tcPr>
          <w:p w14:paraId="648FDC20" w14:textId="77777777" w:rsidR="00AD5798" w:rsidRPr="0054085A" w:rsidRDefault="00AD5798">
            <w:pPr>
              <w:pStyle w:val="NormalWeb"/>
              <w:rPr>
                <w:sz w:val="18"/>
                <w:szCs w:val="18"/>
              </w:rPr>
            </w:pPr>
            <w:r w:rsidRPr="0054085A">
              <w:rPr>
                <w:sz w:val="18"/>
                <w:szCs w:val="18"/>
              </w:rPr>
              <w:t>Alice Springs rural area</w:t>
            </w:r>
          </w:p>
        </w:tc>
        <w:tc>
          <w:tcPr>
            <w:tcW w:w="4281" w:type="dxa"/>
            <w:hideMark/>
          </w:tcPr>
          <w:p w14:paraId="7DFCAEFB" w14:textId="77777777" w:rsidR="00AD5798" w:rsidRPr="0054085A" w:rsidRDefault="00AD5798" w:rsidP="005E0D00">
            <w:pPr>
              <w:pStyle w:val="NormalWeb"/>
              <w:jc w:val="center"/>
              <w:rPr>
                <w:sz w:val="18"/>
                <w:szCs w:val="18"/>
              </w:rPr>
            </w:pPr>
            <w:r w:rsidRPr="0054085A">
              <w:rPr>
                <w:sz w:val="18"/>
                <w:szCs w:val="18"/>
              </w:rPr>
              <w:t>2</w:t>
            </w:r>
          </w:p>
        </w:tc>
        <w:tc>
          <w:tcPr>
            <w:tcW w:w="4282" w:type="dxa"/>
            <w:hideMark/>
          </w:tcPr>
          <w:p w14:paraId="61D1E0F2" w14:textId="77777777" w:rsidR="00AD5798" w:rsidRPr="0054085A" w:rsidRDefault="00AD5798" w:rsidP="005E0D00">
            <w:pPr>
              <w:pStyle w:val="NormalWeb"/>
              <w:jc w:val="center"/>
              <w:rPr>
                <w:sz w:val="18"/>
                <w:szCs w:val="18"/>
              </w:rPr>
            </w:pPr>
            <w:r w:rsidRPr="0054085A">
              <w:rPr>
                <w:sz w:val="18"/>
                <w:szCs w:val="18"/>
              </w:rPr>
              <w:t>&lt; 1</w:t>
            </w:r>
          </w:p>
        </w:tc>
      </w:tr>
      <w:tr w:rsidR="00AD5798" w:rsidRPr="0054085A" w14:paraId="0470A9BA" w14:textId="77777777" w:rsidTr="00A45642">
        <w:trPr>
          <w:cnfStyle w:val="000000010000" w:firstRow="0" w:lastRow="0" w:firstColumn="0" w:lastColumn="0" w:oddVBand="0" w:evenVBand="0" w:oddHBand="0" w:evenHBand="1" w:firstRowFirstColumn="0" w:firstRowLastColumn="0" w:lastRowFirstColumn="0" w:lastRowLastColumn="0"/>
        </w:trPr>
        <w:tc>
          <w:tcPr>
            <w:tcW w:w="0" w:type="auto"/>
            <w:shd w:val="clear" w:color="auto" w:fill="FDE9D9" w:themeFill="accent6" w:themeFillTint="33"/>
            <w:hideMark/>
          </w:tcPr>
          <w:p w14:paraId="2A497AD1" w14:textId="77777777" w:rsidR="00AD5798" w:rsidRPr="0054085A" w:rsidRDefault="00AD5798">
            <w:pPr>
              <w:pStyle w:val="NormalWeb"/>
              <w:rPr>
                <w:b/>
                <w:sz w:val="18"/>
                <w:szCs w:val="18"/>
              </w:rPr>
            </w:pPr>
            <w:r w:rsidRPr="0054085A">
              <w:rPr>
                <w:b/>
                <w:sz w:val="18"/>
                <w:szCs w:val="18"/>
              </w:rPr>
              <w:t>Total</w:t>
            </w:r>
          </w:p>
        </w:tc>
        <w:tc>
          <w:tcPr>
            <w:tcW w:w="4281" w:type="dxa"/>
            <w:shd w:val="clear" w:color="auto" w:fill="FDE9D9" w:themeFill="accent6" w:themeFillTint="33"/>
            <w:hideMark/>
          </w:tcPr>
          <w:p w14:paraId="5FF9693C" w14:textId="77777777" w:rsidR="00AD5798" w:rsidRPr="0054085A" w:rsidRDefault="00AD5798" w:rsidP="005E0D00">
            <w:pPr>
              <w:pStyle w:val="NormalWeb"/>
              <w:jc w:val="center"/>
              <w:rPr>
                <w:b/>
                <w:sz w:val="18"/>
                <w:szCs w:val="18"/>
              </w:rPr>
            </w:pPr>
            <w:r w:rsidRPr="0054085A">
              <w:rPr>
                <w:b/>
                <w:sz w:val="18"/>
                <w:szCs w:val="18"/>
              </w:rPr>
              <w:t>445</w:t>
            </w:r>
          </w:p>
        </w:tc>
        <w:tc>
          <w:tcPr>
            <w:tcW w:w="4282" w:type="dxa"/>
            <w:shd w:val="clear" w:color="auto" w:fill="FDE9D9" w:themeFill="accent6" w:themeFillTint="33"/>
            <w:hideMark/>
          </w:tcPr>
          <w:p w14:paraId="7E46FD4F" w14:textId="77777777" w:rsidR="00AD5798" w:rsidRPr="0054085A" w:rsidRDefault="00AD5798" w:rsidP="005E0D00">
            <w:pPr>
              <w:jc w:val="center"/>
              <w:rPr>
                <w:b/>
                <w:sz w:val="18"/>
                <w:szCs w:val="18"/>
              </w:rPr>
            </w:pPr>
          </w:p>
        </w:tc>
      </w:tr>
    </w:tbl>
    <w:p w14:paraId="712BF8F1" w14:textId="77777777" w:rsidR="00DD2A12" w:rsidRDefault="00DD2A12" w:rsidP="00C9588C"/>
    <w:p w14:paraId="3EFA347B" w14:textId="77777777" w:rsidR="00AD5798" w:rsidRDefault="00AD5798" w:rsidP="00C9588C">
      <w:r>
        <w:t>There were 389 contacts on aircraft, with flights ranging from 1:25 hours to 4:35 hours in duration. Of these 389 contacts, 326 were monitored in the NT. There were 131 close contacts who were monitored because they were seated in the same row as, or in the two rows in front or behind, an infectious case (Table 3). The remaining 195 contacts were monitored because they were on two aircraft where flight crew who worked in the entire cabin were subsequently diagnosed as cases. None of the 326 aircraft passengers monitored in the NT became cases after being identified as close contacts (95% CI 0–1.1%).</w:t>
      </w:r>
    </w:p>
    <w:p w14:paraId="1FBC2123" w14:textId="77777777" w:rsidR="00DD2A12" w:rsidRDefault="00DD2A12" w:rsidP="00C9588C">
      <w:pPr>
        <w:rPr>
          <w:sz w:val="24"/>
          <w:szCs w:val="24"/>
        </w:rPr>
      </w:pPr>
    </w:p>
    <w:p w14:paraId="0F4FF603" w14:textId="77777777" w:rsidR="00AD5798" w:rsidRDefault="00AD5798" w:rsidP="00C9588C">
      <w:pPr>
        <w:pStyle w:val="CDIFigures"/>
      </w:pPr>
      <w:r>
        <w:t>Table 3. Summary of NT monitored contacts on flights where the case was a passenger, 1 March – 30 April 2020 (n = 131)</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3. Summary of NT monitored contacts on flights where the case was a passenger, 1 March – 30 April 2020 (n = 131).&#10;&#10;Table 3 shows that there were 131 close contacts of confirmed COVID-19 cases who were aircraft passengers, and their proximity to the case who was a passenger. There were an additional 195 close contacts from 2 aircraft who were contacts of an infectious crew member but not included in the table. The table shows the greatest number of close contacts of a passenger on an aircraft was 21 and that flights ranged in duration from 1:25 to 4:35 hours. "/>
      </w:tblPr>
      <w:tblGrid>
        <w:gridCol w:w="530"/>
        <w:gridCol w:w="1982"/>
        <w:gridCol w:w="1982"/>
        <w:gridCol w:w="1982"/>
        <w:gridCol w:w="1982"/>
        <w:gridCol w:w="1982"/>
      </w:tblGrid>
      <w:tr w:rsidR="00F7257D" w:rsidRPr="0054085A" w14:paraId="47D3F115" w14:textId="77777777" w:rsidTr="00AC43D2">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099D90B5" w14:textId="77777777" w:rsidR="00AD5798" w:rsidRPr="0054085A" w:rsidRDefault="00AD5798">
            <w:pPr>
              <w:pStyle w:val="NormalWeb"/>
              <w:rPr>
                <w:color w:val="FFFFFF" w:themeColor="background1"/>
                <w:sz w:val="18"/>
                <w:szCs w:val="18"/>
              </w:rPr>
            </w:pPr>
            <w:r w:rsidRPr="0054085A">
              <w:rPr>
                <w:color w:val="FFFFFF" w:themeColor="background1"/>
                <w:sz w:val="18"/>
                <w:szCs w:val="18"/>
              </w:rPr>
              <w:t>Flight</w:t>
            </w:r>
          </w:p>
        </w:tc>
        <w:tc>
          <w:tcPr>
            <w:tcW w:w="1982" w:type="dxa"/>
            <w:hideMark/>
          </w:tcPr>
          <w:p w14:paraId="7CC52B65" w14:textId="77777777" w:rsidR="00AD5798" w:rsidRPr="0054085A" w:rsidRDefault="00AD5798" w:rsidP="00F7257D">
            <w:pPr>
              <w:pStyle w:val="NormalWeb"/>
              <w:jc w:val="center"/>
              <w:rPr>
                <w:color w:val="FFFFFF" w:themeColor="background1"/>
                <w:sz w:val="18"/>
                <w:szCs w:val="18"/>
              </w:rPr>
            </w:pPr>
            <w:r w:rsidRPr="0054085A">
              <w:rPr>
                <w:color w:val="FFFFFF" w:themeColor="background1"/>
                <w:sz w:val="18"/>
                <w:szCs w:val="18"/>
              </w:rPr>
              <w:t>Duration</w:t>
            </w:r>
          </w:p>
          <w:p w14:paraId="331EB203" w14:textId="77777777" w:rsidR="00AD5798" w:rsidRPr="0054085A" w:rsidRDefault="00AD5798" w:rsidP="00F7257D">
            <w:pPr>
              <w:pStyle w:val="NormalWeb"/>
              <w:jc w:val="center"/>
              <w:rPr>
                <w:color w:val="FFFFFF" w:themeColor="background1"/>
                <w:sz w:val="18"/>
                <w:szCs w:val="18"/>
              </w:rPr>
            </w:pPr>
            <w:r w:rsidRPr="0054085A">
              <w:rPr>
                <w:color w:val="FFFFFF" w:themeColor="background1"/>
                <w:sz w:val="18"/>
                <w:szCs w:val="18"/>
              </w:rPr>
              <w:t>(</w:t>
            </w:r>
            <w:proofErr w:type="spellStart"/>
            <w:r w:rsidRPr="0054085A">
              <w:rPr>
                <w:color w:val="FFFFFF" w:themeColor="background1"/>
                <w:sz w:val="18"/>
                <w:szCs w:val="18"/>
              </w:rPr>
              <w:t>hh:mm</w:t>
            </w:r>
            <w:proofErr w:type="spellEnd"/>
            <w:r w:rsidRPr="0054085A">
              <w:rPr>
                <w:color w:val="FFFFFF" w:themeColor="background1"/>
                <w:sz w:val="18"/>
                <w:szCs w:val="18"/>
              </w:rPr>
              <w:t>)</w:t>
            </w:r>
          </w:p>
        </w:tc>
        <w:tc>
          <w:tcPr>
            <w:tcW w:w="1982" w:type="dxa"/>
            <w:hideMark/>
          </w:tcPr>
          <w:p w14:paraId="3B9FDB5B" w14:textId="77777777" w:rsidR="00AD5798" w:rsidRPr="0054085A" w:rsidRDefault="00AD5798" w:rsidP="00F7257D">
            <w:pPr>
              <w:pStyle w:val="NormalWeb"/>
              <w:jc w:val="center"/>
              <w:rPr>
                <w:color w:val="FFFFFF" w:themeColor="background1"/>
                <w:sz w:val="18"/>
                <w:szCs w:val="18"/>
              </w:rPr>
            </w:pPr>
            <w:r w:rsidRPr="0054085A">
              <w:rPr>
                <w:color w:val="FFFFFF" w:themeColor="background1"/>
                <w:sz w:val="18"/>
                <w:szCs w:val="18"/>
              </w:rPr>
              <w:t>Case’s symptom onset in relation to flight</w:t>
            </w:r>
          </w:p>
        </w:tc>
        <w:tc>
          <w:tcPr>
            <w:tcW w:w="1982" w:type="dxa"/>
            <w:hideMark/>
          </w:tcPr>
          <w:p w14:paraId="7EAF09B9" w14:textId="77777777" w:rsidR="00AD5798" w:rsidRPr="0054085A" w:rsidRDefault="00AD5798" w:rsidP="00F7257D">
            <w:pPr>
              <w:pStyle w:val="NormalWeb"/>
              <w:jc w:val="center"/>
              <w:rPr>
                <w:color w:val="FFFFFF" w:themeColor="background1"/>
                <w:sz w:val="18"/>
                <w:szCs w:val="18"/>
              </w:rPr>
            </w:pPr>
            <w:r w:rsidRPr="0054085A">
              <w:rPr>
                <w:color w:val="FFFFFF" w:themeColor="background1"/>
                <w:sz w:val="18"/>
                <w:szCs w:val="18"/>
              </w:rPr>
              <w:t>Number of close contacts</w:t>
            </w:r>
          </w:p>
        </w:tc>
        <w:tc>
          <w:tcPr>
            <w:tcW w:w="1982" w:type="dxa"/>
            <w:hideMark/>
          </w:tcPr>
          <w:p w14:paraId="1C14EBFB" w14:textId="77777777" w:rsidR="00AD5798" w:rsidRPr="0054085A" w:rsidRDefault="00AD5798" w:rsidP="00F7257D">
            <w:pPr>
              <w:pStyle w:val="NormalWeb"/>
              <w:jc w:val="center"/>
              <w:rPr>
                <w:color w:val="FFFFFF" w:themeColor="background1"/>
                <w:sz w:val="18"/>
                <w:szCs w:val="18"/>
              </w:rPr>
            </w:pPr>
            <w:r w:rsidRPr="0054085A">
              <w:rPr>
                <w:color w:val="FFFFFF" w:themeColor="background1"/>
                <w:sz w:val="18"/>
                <w:szCs w:val="18"/>
              </w:rPr>
              <w:t>Number of contacts in same row as case</w:t>
            </w:r>
          </w:p>
        </w:tc>
        <w:tc>
          <w:tcPr>
            <w:tcW w:w="1982" w:type="dxa"/>
            <w:hideMark/>
          </w:tcPr>
          <w:p w14:paraId="69ADB3B4" w14:textId="77777777" w:rsidR="00AD5798" w:rsidRPr="0054085A" w:rsidRDefault="00AD5798" w:rsidP="00F7257D">
            <w:pPr>
              <w:pStyle w:val="NormalWeb"/>
              <w:jc w:val="center"/>
              <w:rPr>
                <w:color w:val="FFFFFF" w:themeColor="background1"/>
                <w:sz w:val="18"/>
                <w:szCs w:val="18"/>
              </w:rPr>
            </w:pPr>
            <w:r w:rsidRPr="0054085A">
              <w:rPr>
                <w:color w:val="FFFFFF" w:themeColor="background1"/>
                <w:sz w:val="18"/>
                <w:szCs w:val="18"/>
              </w:rPr>
              <w:t>Number of contacts seated next to case</w:t>
            </w:r>
          </w:p>
        </w:tc>
      </w:tr>
      <w:tr w:rsidR="00AD5798" w:rsidRPr="0054085A" w14:paraId="20229F00" w14:textId="77777777" w:rsidTr="00AC43D2">
        <w:tc>
          <w:tcPr>
            <w:tcW w:w="0" w:type="auto"/>
            <w:hideMark/>
          </w:tcPr>
          <w:p w14:paraId="28D493AA" w14:textId="77777777" w:rsidR="00AD5798" w:rsidRPr="0054085A" w:rsidRDefault="00AD5798">
            <w:pPr>
              <w:pStyle w:val="NormalWeb"/>
              <w:rPr>
                <w:sz w:val="18"/>
                <w:szCs w:val="18"/>
              </w:rPr>
            </w:pPr>
            <w:r w:rsidRPr="0054085A">
              <w:rPr>
                <w:sz w:val="18"/>
                <w:szCs w:val="18"/>
              </w:rPr>
              <w:t>A</w:t>
            </w:r>
          </w:p>
        </w:tc>
        <w:tc>
          <w:tcPr>
            <w:tcW w:w="1982" w:type="dxa"/>
            <w:hideMark/>
          </w:tcPr>
          <w:p w14:paraId="7E319CD9" w14:textId="77777777" w:rsidR="00AD5798" w:rsidRPr="0054085A" w:rsidRDefault="00AD5798" w:rsidP="00F7257D">
            <w:pPr>
              <w:pStyle w:val="NormalWeb"/>
              <w:jc w:val="center"/>
              <w:rPr>
                <w:sz w:val="18"/>
                <w:szCs w:val="18"/>
              </w:rPr>
            </w:pPr>
            <w:r w:rsidRPr="0054085A">
              <w:rPr>
                <w:sz w:val="18"/>
                <w:szCs w:val="18"/>
              </w:rPr>
              <w:t>04:00</w:t>
            </w:r>
          </w:p>
        </w:tc>
        <w:tc>
          <w:tcPr>
            <w:tcW w:w="1982" w:type="dxa"/>
            <w:hideMark/>
          </w:tcPr>
          <w:p w14:paraId="505B2498" w14:textId="77777777" w:rsidR="00AD5798" w:rsidRPr="0054085A" w:rsidRDefault="00AD5798" w:rsidP="00F7257D">
            <w:pPr>
              <w:pStyle w:val="NormalWeb"/>
              <w:jc w:val="center"/>
              <w:rPr>
                <w:sz w:val="18"/>
                <w:szCs w:val="18"/>
              </w:rPr>
            </w:pPr>
            <w:r w:rsidRPr="0054085A">
              <w:rPr>
                <w:sz w:val="18"/>
                <w:szCs w:val="18"/>
              </w:rPr>
              <w:t>4 days before flight</w:t>
            </w:r>
          </w:p>
        </w:tc>
        <w:tc>
          <w:tcPr>
            <w:tcW w:w="1982" w:type="dxa"/>
            <w:hideMark/>
          </w:tcPr>
          <w:p w14:paraId="5397CD7C" w14:textId="77777777" w:rsidR="00AD5798" w:rsidRPr="0054085A" w:rsidRDefault="00AD5798" w:rsidP="00F7257D">
            <w:pPr>
              <w:pStyle w:val="NormalWeb"/>
              <w:jc w:val="center"/>
              <w:rPr>
                <w:sz w:val="18"/>
                <w:szCs w:val="18"/>
              </w:rPr>
            </w:pPr>
            <w:r w:rsidRPr="0054085A">
              <w:rPr>
                <w:sz w:val="18"/>
                <w:szCs w:val="18"/>
              </w:rPr>
              <w:t>19</w:t>
            </w:r>
          </w:p>
        </w:tc>
        <w:tc>
          <w:tcPr>
            <w:tcW w:w="1982" w:type="dxa"/>
            <w:hideMark/>
          </w:tcPr>
          <w:p w14:paraId="01B2E7F7" w14:textId="77777777" w:rsidR="00AD5798" w:rsidRPr="0054085A" w:rsidRDefault="00AD5798" w:rsidP="00F7257D">
            <w:pPr>
              <w:pStyle w:val="NormalWeb"/>
              <w:jc w:val="center"/>
              <w:rPr>
                <w:sz w:val="18"/>
                <w:szCs w:val="18"/>
              </w:rPr>
            </w:pPr>
            <w:r w:rsidRPr="0054085A">
              <w:rPr>
                <w:sz w:val="18"/>
                <w:szCs w:val="18"/>
              </w:rPr>
              <w:t>4</w:t>
            </w:r>
          </w:p>
        </w:tc>
        <w:tc>
          <w:tcPr>
            <w:tcW w:w="1982" w:type="dxa"/>
            <w:hideMark/>
          </w:tcPr>
          <w:p w14:paraId="4779A102" w14:textId="77777777" w:rsidR="00AD5798" w:rsidRPr="0054085A" w:rsidRDefault="00AD5798" w:rsidP="00F7257D">
            <w:pPr>
              <w:pStyle w:val="NormalWeb"/>
              <w:jc w:val="center"/>
              <w:rPr>
                <w:sz w:val="18"/>
                <w:szCs w:val="18"/>
              </w:rPr>
            </w:pPr>
            <w:r w:rsidRPr="0054085A">
              <w:rPr>
                <w:sz w:val="18"/>
                <w:szCs w:val="18"/>
              </w:rPr>
              <w:t>2</w:t>
            </w:r>
          </w:p>
        </w:tc>
      </w:tr>
      <w:tr w:rsidR="00AD5798" w:rsidRPr="0054085A" w14:paraId="6C8B49A6" w14:textId="77777777" w:rsidTr="00AC43D2">
        <w:trPr>
          <w:cnfStyle w:val="000000010000" w:firstRow="0" w:lastRow="0" w:firstColumn="0" w:lastColumn="0" w:oddVBand="0" w:evenVBand="0" w:oddHBand="0" w:evenHBand="1" w:firstRowFirstColumn="0" w:firstRowLastColumn="0" w:lastRowFirstColumn="0" w:lastRowLastColumn="0"/>
        </w:trPr>
        <w:tc>
          <w:tcPr>
            <w:tcW w:w="0" w:type="auto"/>
            <w:hideMark/>
          </w:tcPr>
          <w:p w14:paraId="6B3A823D" w14:textId="77777777" w:rsidR="00AD5798" w:rsidRPr="0054085A" w:rsidRDefault="00AD5798">
            <w:pPr>
              <w:pStyle w:val="NormalWeb"/>
              <w:rPr>
                <w:sz w:val="18"/>
                <w:szCs w:val="18"/>
              </w:rPr>
            </w:pPr>
            <w:r w:rsidRPr="0054085A">
              <w:rPr>
                <w:sz w:val="18"/>
                <w:szCs w:val="18"/>
              </w:rPr>
              <w:t>B</w:t>
            </w:r>
          </w:p>
        </w:tc>
        <w:tc>
          <w:tcPr>
            <w:tcW w:w="1982" w:type="dxa"/>
            <w:hideMark/>
          </w:tcPr>
          <w:p w14:paraId="3EA343B0" w14:textId="77777777" w:rsidR="00AD5798" w:rsidRPr="0054085A" w:rsidRDefault="00AD5798" w:rsidP="00F7257D">
            <w:pPr>
              <w:pStyle w:val="NormalWeb"/>
              <w:jc w:val="center"/>
              <w:rPr>
                <w:sz w:val="18"/>
                <w:szCs w:val="18"/>
              </w:rPr>
            </w:pPr>
            <w:r w:rsidRPr="0054085A">
              <w:rPr>
                <w:sz w:val="18"/>
                <w:szCs w:val="18"/>
              </w:rPr>
              <w:t>03:35</w:t>
            </w:r>
          </w:p>
        </w:tc>
        <w:tc>
          <w:tcPr>
            <w:tcW w:w="1982" w:type="dxa"/>
            <w:hideMark/>
          </w:tcPr>
          <w:p w14:paraId="18689593" w14:textId="77777777" w:rsidR="00AD5798" w:rsidRPr="0054085A" w:rsidRDefault="00AD5798" w:rsidP="00F7257D">
            <w:pPr>
              <w:pStyle w:val="NormalWeb"/>
              <w:jc w:val="center"/>
              <w:rPr>
                <w:sz w:val="18"/>
                <w:szCs w:val="18"/>
              </w:rPr>
            </w:pPr>
            <w:r w:rsidRPr="0054085A">
              <w:rPr>
                <w:sz w:val="18"/>
                <w:szCs w:val="18"/>
              </w:rPr>
              <w:t>2 days before flight</w:t>
            </w:r>
          </w:p>
        </w:tc>
        <w:tc>
          <w:tcPr>
            <w:tcW w:w="1982" w:type="dxa"/>
            <w:hideMark/>
          </w:tcPr>
          <w:p w14:paraId="7F3EEBAF" w14:textId="77777777" w:rsidR="00AD5798" w:rsidRPr="0054085A" w:rsidRDefault="00AD5798" w:rsidP="00F7257D">
            <w:pPr>
              <w:pStyle w:val="NormalWeb"/>
              <w:jc w:val="center"/>
              <w:rPr>
                <w:sz w:val="18"/>
                <w:szCs w:val="18"/>
              </w:rPr>
            </w:pPr>
            <w:r w:rsidRPr="0054085A">
              <w:rPr>
                <w:sz w:val="18"/>
                <w:szCs w:val="18"/>
              </w:rPr>
              <w:t>11</w:t>
            </w:r>
          </w:p>
        </w:tc>
        <w:tc>
          <w:tcPr>
            <w:tcW w:w="1982" w:type="dxa"/>
            <w:hideMark/>
          </w:tcPr>
          <w:p w14:paraId="2BE49D20" w14:textId="77777777" w:rsidR="00AD5798" w:rsidRPr="0054085A" w:rsidRDefault="00AD5798" w:rsidP="00F7257D">
            <w:pPr>
              <w:pStyle w:val="NormalWeb"/>
              <w:jc w:val="center"/>
              <w:rPr>
                <w:sz w:val="18"/>
                <w:szCs w:val="18"/>
              </w:rPr>
            </w:pPr>
            <w:r w:rsidRPr="0054085A">
              <w:rPr>
                <w:sz w:val="18"/>
                <w:szCs w:val="18"/>
              </w:rPr>
              <w:t>1</w:t>
            </w:r>
          </w:p>
        </w:tc>
        <w:tc>
          <w:tcPr>
            <w:tcW w:w="1982" w:type="dxa"/>
            <w:hideMark/>
          </w:tcPr>
          <w:p w14:paraId="7C6C9489" w14:textId="77777777" w:rsidR="00AD5798" w:rsidRPr="0054085A" w:rsidRDefault="00AD5798" w:rsidP="00F7257D">
            <w:pPr>
              <w:pStyle w:val="NormalWeb"/>
              <w:jc w:val="center"/>
              <w:rPr>
                <w:sz w:val="18"/>
                <w:szCs w:val="18"/>
              </w:rPr>
            </w:pPr>
            <w:r w:rsidRPr="0054085A">
              <w:rPr>
                <w:sz w:val="18"/>
                <w:szCs w:val="18"/>
              </w:rPr>
              <w:t>0</w:t>
            </w:r>
          </w:p>
        </w:tc>
      </w:tr>
      <w:tr w:rsidR="00AD5798" w:rsidRPr="0054085A" w14:paraId="4CCF921F" w14:textId="77777777" w:rsidTr="00AC43D2">
        <w:tc>
          <w:tcPr>
            <w:tcW w:w="0" w:type="auto"/>
            <w:hideMark/>
          </w:tcPr>
          <w:p w14:paraId="36954524" w14:textId="77777777" w:rsidR="00AD5798" w:rsidRPr="0054085A" w:rsidRDefault="00AD5798">
            <w:pPr>
              <w:pStyle w:val="NormalWeb"/>
              <w:rPr>
                <w:sz w:val="18"/>
                <w:szCs w:val="18"/>
              </w:rPr>
            </w:pPr>
            <w:r w:rsidRPr="0054085A">
              <w:rPr>
                <w:sz w:val="18"/>
                <w:szCs w:val="18"/>
              </w:rPr>
              <w:t>C</w:t>
            </w:r>
          </w:p>
        </w:tc>
        <w:tc>
          <w:tcPr>
            <w:tcW w:w="1982" w:type="dxa"/>
            <w:hideMark/>
          </w:tcPr>
          <w:p w14:paraId="178A35D8" w14:textId="77777777" w:rsidR="00AD5798" w:rsidRPr="0054085A" w:rsidRDefault="00AD5798" w:rsidP="00F7257D">
            <w:pPr>
              <w:pStyle w:val="NormalWeb"/>
              <w:jc w:val="center"/>
              <w:rPr>
                <w:sz w:val="18"/>
                <w:szCs w:val="18"/>
              </w:rPr>
            </w:pPr>
            <w:r w:rsidRPr="0054085A">
              <w:rPr>
                <w:sz w:val="18"/>
                <w:szCs w:val="18"/>
              </w:rPr>
              <w:t>02:32</w:t>
            </w:r>
          </w:p>
        </w:tc>
        <w:tc>
          <w:tcPr>
            <w:tcW w:w="1982" w:type="dxa"/>
            <w:hideMark/>
          </w:tcPr>
          <w:p w14:paraId="2C40690D" w14:textId="77777777" w:rsidR="00AD5798" w:rsidRPr="0054085A" w:rsidRDefault="00AD5798" w:rsidP="00F7257D">
            <w:pPr>
              <w:pStyle w:val="NormalWeb"/>
              <w:jc w:val="center"/>
              <w:rPr>
                <w:sz w:val="18"/>
                <w:szCs w:val="18"/>
              </w:rPr>
            </w:pPr>
            <w:r w:rsidRPr="0054085A">
              <w:rPr>
                <w:sz w:val="18"/>
                <w:szCs w:val="18"/>
              </w:rPr>
              <w:t>10 days before flight</w:t>
            </w:r>
          </w:p>
        </w:tc>
        <w:tc>
          <w:tcPr>
            <w:tcW w:w="1982" w:type="dxa"/>
            <w:hideMark/>
          </w:tcPr>
          <w:p w14:paraId="3E0AD96F" w14:textId="77777777" w:rsidR="00AD5798" w:rsidRPr="0054085A" w:rsidRDefault="00AD5798" w:rsidP="00F7257D">
            <w:pPr>
              <w:pStyle w:val="NormalWeb"/>
              <w:jc w:val="center"/>
              <w:rPr>
                <w:sz w:val="18"/>
                <w:szCs w:val="18"/>
              </w:rPr>
            </w:pPr>
            <w:r w:rsidRPr="0054085A">
              <w:rPr>
                <w:sz w:val="18"/>
                <w:szCs w:val="18"/>
              </w:rPr>
              <w:t>12</w:t>
            </w:r>
          </w:p>
        </w:tc>
        <w:tc>
          <w:tcPr>
            <w:tcW w:w="1982" w:type="dxa"/>
            <w:hideMark/>
          </w:tcPr>
          <w:p w14:paraId="41445CA1" w14:textId="77777777" w:rsidR="00AD5798" w:rsidRPr="0054085A" w:rsidRDefault="00AD5798" w:rsidP="00F7257D">
            <w:pPr>
              <w:pStyle w:val="NormalWeb"/>
              <w:jc w:val="center"/>
              <w:rPr>
                <w:sz w:val="18"/>
                <w:szCs w:val="18"/>
              </w:rPr>
            </w:pPr>
            <w:r w:rsidRPr="0054085A">
              <w:rPr>
                <w:sz w:val="18"/>
                <w:szCs w:val="18"/>
              </w:rPr>
              <w:t>0</w:t>
            </w:r>
          </w:p>
        </w:tc>
        <w:tc>
          <w:tcPr>
            <w:tcW w:w="1982" w:type="dxa"/>
            <w:hideMark/>
          </w:tcPr>
          <w:p w14:paraId="76A25624" w14:textId="77777777" w:rsidR="00AD5798" w:rsidRPr="0054085A" w:rsidRDefault="00AD5798" w:rsidP="00F7257D">
            <w:pPr>
              <w:pStyle w:val="NormalWeb"/>
              <w:jc w:val="center"/>
              <w:rPr>
                <w:sz w:val="18"/>
                <w:szCs w:val="18"/>
              </w:rPr>
            </w:pPr>
            <w:r w:rsidRPr="0054085A">
              <w:rPr>
                <w:sz w:val="18"/>
                <w:szCs w:val="18"/>
              </w:rPr>
              <w:t>0</w:t>
            </w:r>
          </w:p>
        </w:tc>
      </w:tr>
      <w:tr w:rsidR="00AD5798" w:rsidRPr="0054085A" w14:paraId="377F9B3C" w14:textId="77777777" w:rsidTr="00AC43D2">
        <w:trPr>
          <w:cnfStyle w:val="000000010000" w:firstRow="0" w:lastRow="0" w:firstColumn="0" w:lastColumn="0" w:oddVBand="0" w:evenVBand="0" w:oddHBand="0" w:evenHBand="1" w:firstRowFirstColumn="0" w:firstRowLastColumn="0" w:lastRowFirstColumn="0" w:lastRowLastColumn="0"/>
        </w:trPr>
        <w:tc>
          <w:tcPr>
            <w:tcW w:w="0" w:type="auto"/>
            <w:hideMark/>
          </w:tcPr>
          <w:p w14:paraId="52259098" w14:textId="77777777" w:rsidR="00AD5798" w:rsidRPr="0054085A" w:rsidRDefault="00AD5798">
            <w:pPr>
              <w:pStyle w:val="NormalWeb"/>
              <w:rPr>
                <w:sz w:val="18"/>
                <w:szCs w:val="18"/>
              </w:rPr>
            </w:pPr>
            <w:r w:rsidRPr="0054085A">
              <w:rPr>
                <w:sz w:val="18"/>
                <w:szCs w:val="18"/>
              </w:rPr>
              <w:t>D</w:t>
            </w:r>
          </w:p>
        </w:tc>
        <w:tc>
          <w:tcPr>
            <w:tcW w:w="1982" w:type="dxa"/>
            <w:hideMark/>
          </w:tcPr>
          <w:p w14:paraId="0628EF30" w14:textId="77777777" w:rsidR="00AD5798" w:rsidRPr="0054085A" w:rsidRDefault="00AD5798" w:rsidP="00F7257D">
            <w:pPr>
              <w:pStyle w:val="NormalWeb"/>
              <w:jc w:val="center"/>
              <w:rPr>
                <w:sz w:val="18"/>
                <w:szCs w:val="18"/>
              </w:rPr>
            </w:pPr>
            <w:r w:rsidRPr="0054085A">
              <w:rPr>
                <w:sz w:val="18"/>
                <w:szCs w:val="18"/>
              </w:rPr>
              <w:t>04:35</w:t>
            </w:r>
          </w:p>
        </w:tc>
        <w:tc>
          <w:tcPr>
            <w:tcW w:w="1982" w:type="dxa"/>
            <w:hideMark/>
          </w:tcPr>
          <w:p w14:paraId="6B6CC15A" w14:textId="77777777" w:rsidR="00AD5798" w:rsidRPr="0054085A" w:rsidRDefault="00AD5798" w:rsidP="00F7257D">
            <w:pPr>
              <w:pStyle w:val="NormalWeb"/>
              <w:jc w:val="center"/>
              <w:rPr>
                <w:sz w:val="18"/>
                <w:szCs w:val="18"/>
              </w:rPr>
            </w:pPr>
            <w:r w:rsidRPr="0054085A">
              <w:rPr>
                <w:sz w:val="18"/>
                <w:szCs w:val="18"/>
              </w:rPr>
              <w:t>1 day before flight</w:t>
            </w:r>
          </w:p>
        </w:tc>
        <w:tc>
          <w:tcPr>
            <w:tcW w:w="1982" w:type="dxa"/>
            <w:hideMark/>
          </w:tcPr>
          <w:p w14:paraId="46428D62" w14:textId="77777777" w:rsidR="00AD5798" w:rsidRPr="0054085A" w:rsidRDefault="00AD5798" w:rsidP="00F7257D">
            <w:pPr>
              <w:pStyle w:val="NormalWeb"/>
              <w:jc w:val="center"/>
              <w:rPr>
                <w:sz w:val="18"/>
                <w:szCs w:val="18"/>
              </w:rPr>
            </w:pPr>
            <w:r w:rsidRPr="0054085A">
              <w:rPr>
                <w:sz w:val="18"/>
                <w:szCs w:val="18"/>
              </w:rPr>
              <w:t>21</w:t>
            </w:r>
          </w:p>
        </w:tc>
        <w:tc>
          <w:tcPr>
            <w:tcW w:w="1982" w:type="dxa"/>
            <w:hideMark/>
          </w:tcPr>
          <w:p w14:paraId="0236D3D4" w14:textId="77777777" w:rsidR="00AD5798" w:rsidRPr="0054085A" w:rsidRDefault="00AD5798" w:rsidP="00F7257D">
            <w:pPr>
              <w:pStyle w:val="NormalWeb"/>
              <w:jc w:val="center"/>
              <w:rPr>
                <w:sz w:val="18"/>
                <w:szCs w:val="18"/>
              </w:rPr>
            </w:pPr>
            <w:r w:rsidRPr="0054085A">
              <w:rPr>
                <w:sz w:val="18"/>
                <w:szCs w:val="18"/>
              </w:rPr>
              <w:t>2</w:t>
            </w:r>
          </w:p>
        </w:tc>
        <w:tc>
          <w:tcPr>
            <w:tcW w:w="1982" w:type="dxa"/>
            <w:hideMark/>
          </w:tcPr>
          <w:p w14:paraId="0C691CB9" w14:textId="77777777" w:rsidR="00AD5798" w:rsidRPr="0054085A" w:rsidRDefault="00AD5798" w:rsidP="00F7257D">
            <w:pPr>
              <w:pStyle w:val="NormalWeb"/>
              <w:jc w:val="center"/>
              <w:rPr>
                <w:sz w:val="18"/>
                <w:szCs w:val="18"/>
              </w:rPr>
            </w:pPr>
            <w:r w:rsidRPr="0054085A">
              <w:rPr>
                <w:sz w:val="18"/>
                <w:szCs w:val="18"/>
              </w:rPr>
              <w:t>2</w:t>
            </w:r>
          </w:p>
        </w:tc>
      </w:tr>
      <w:tr w:rsidR="00AD5798" w:rsidRPr="0054085A" w14:paraId="6D770A53" w14:textId="77777777" w:rsidTr="00AC43D2">
        <w:tc>
          <w:tcPr>
            <w:tcW w:w="0" w:type="auto"/>
            <w:hideMark/>
          </w:tcPr>
          <w:p w14:paraId="357315D8" w14:textId="77777777" w:rsidR="00AD5798" w:rsidRPr="0054085A" w:rsidRDefault="00AD5798">
            <w:pPr>
              <w:pStyle w:val="NormalWeb"/>
              <w:rPr>
                <w:sz w:val="18"/>
                <w:szCs w:val="18"/>
              </w:rPr>
            </w:pPr>
            <w:r w:rsidRPr="0054085A">
              <w:rPr>
                <w:sz w:val="18"/>
                <w:szCs w:val="18"/>
              </w:rPr>
              <w:t>E</w:t>
            </w:r>
          </w:p>
        </w:tc>
        <w:tc>
          <w:tcPr>
            <w:tcW w:w="1982" w:type="dxa"/>
            <w:hideMark/>
          </w:tcPr>
          <w:p w14:paraId="1B19CDD9" w14:textId="77777777" w:rsidR="00AD5798" w:rsidRPr="0054085A" w:rsidRDefault="00AD5798" w:rsidP="00F7257D">
            <w:pPr>
              <w:pStyle w:val="NormalWeb"/>
              <w:jc w:val="center"/>
              <w:rPr>
                <w:sz w:val="18"/>
                <w:szCs w:val="18"/>
              </w:rPr>
            </w:pPr>
            <w:r w:rsidRPr="0054085A">
              <w:rPr>
                <w:sz w:val="18"/>
                <w:szCs w:val="18"/>
              </w:rPr>
              <w:t>04:00</w:t>
            </w:r>
          </w:p>
        </w:tc>
        <w:tc>
          <w:tcPr>
            <w:tcW w:w="1982" w:type="dxa"/>
            <w:hideMark/>
          </w:tcPr>
          <w:p w14:paraId="47FAB128" w14:textId="77777777" w:rsidR="00AD5798" w:rsidRPr="0054085A" w:rsidRDefault="00AD5798" w:rsidP="00F7257D">
            <w:pPr>
              <w:pStyle w:val="NormalWeb"/>
              <w:jc w:val="center"/>
              <w:rPr>
                <w:sz w:val="18"/>
                <w:szCs w:val="18"/>
              </w:rPr>
            </w:pPr>
            <w:r w:rsidRPr="0054085A">
              <w:rPr>
                <w:sz w:val="18"/>
                <w:szCs w:val="18"/>
              </w:rPr>
              <w:t>13 days before flight</w:t>
            </w:r>
          </w:p>
        </w:tc>
        <w:tc>
          <w:tcPr>
            <w:tcW w:w="1982" w:type="dxa"/>
            <w:hideMark/>
          </w:tcPr>
          <w:p w14:paraId="776B35A0" w14:textId="77777777" w:rsidR="00AD5798" w:rsidRPr="0054085A" w:rsidRDefault="00AD5798" w:rsidP="00F7257D">
            <w:pPr>
              <w:pStyle w:val="NormalWeb"/>
              <w:jc w:val="center"/>
              <w:rPr>
                <w:sz w:val="18"/>
                <w:szCs w:val="18"/>
              </w:rPr>
            </w:pPr>
            <w:r w:rsidRPr="0054085A">
              <w:rPr>
                <w:sz w:val="18"/>
                <w:szCs w:val="18"/>
              </w:rPr>
              <w:t>10</w:t>
            </w:r>
          </w:p>
        </w:tc>
        <w:tc>
          <w:tcPr>
            <w:tcW w:w="1982" w:type="dxa"/>
            <w:hideMark/>
          </w:tcPr>
          <w:p w14:paraId="66F5431E" w14:textId="77777777" w:rsidR="00AD5798" w:rsidRPr="0054085A" w:rsidRDefault="00AD5798" w:rsidP="00F7257D">
            <w:pPr>
              <w:pStyle w:val="NormalWeb"/>
              <w:jc w:val="center"/>
              <w:rPr>
                <w:sz w:val="18"/>
                <w:szCs w:val="18"/>
              </w:rPr>
            </w:pPr>
            <w:r w:rsidRPr="0054085A">
              <w:rPr>
                <w:sz w:val="18"/>
                <w:szCs w:val="18"/>
              </w:rPr>
              <w:t>1</w:t>
            </w:r>
          </w:p>
        </w:tc>
        <w:tc>
          <w:tcPr>
            <w:tcW w:w="1982" w:type="dxa"/>
            <w:hideMark/>
          </w:tcPr>
          <w:p w14:paraId="6A1CC9CF" w14:textId="77777777" w:rsidR="00AD5798" w:rsidRPr="0054085A" w:rsidRDefault="00AD5798" w:rsidP="00F7257D">
            <w:pPr>
              <w:pStyle w:val="NormalWeb"/>
              <w:jc w:val="center"/>
              <w:rPr>
                <w:sz w:val="18"/>
                <w:szCs w:val="18"/>
              </w:rPr>
            </w:pPr>
            <w:r w:rsidRPr="0054085A">
              <w:rPr>
                <w:sz w:val="18"/>
                <w:szCs w:val="18"/>
              </w:rPr>
              <w:t>0</w:t>
            </w:r>
          </w:p>
        </w:tc>
      </w:tr>
      <w:tr w:rsidR="00AD5798" w:rsidRPr="0054085A" w14:paraId="7F344324" w14:textId="77777777" w:rsidTr="00AC43D2">
        <w:trPr>
          <w:cnfStyle w:val="000000010000" w:firstRow="0" w:lastRow="0" w:firstColumn="0" w:lastColumn="0" w:oddVBand="0" w:evenVBand="0" w:oddHBand="0" w:evenHBand="1" w:firstRowFirstColumn="0" w:firstRowLastColumn="0" w:lastRowFirstColumn="0" w:lastRowLastColumn="0"/>
        </w:trPr>
        <w:tc>
          <w:tcPr>
            <w:tcW w:w="0" w:type="auto"/>
            <w:hideMark/>
          </w:tcPr>
          <w:p w14:paraId="0AD40339" w14:textId="77777777" w:rsidR="00AD5798" w:rsidRPr="0054085A" w:rsidRDefault="00AD5798">
            <w:pPr>
              <w:pStyle w:val="NormalWeb"/>
              <w:rPr>
                <w:sz w:val="18"/>
                <w:szCs w:val="18"/>
              </w:rPr>
            </w:pPr>
            <w:r w:rsidRPr="0054085A">
              <w:rPr>
                <w:sz w:val="18"/>
                <w:szCs w:val="18"/>
              </w:rPr>
              <w:t>F</w:t>
            </w:r>
          </w:p>
        </w:tc>
        <w:tc>
          <w:tcPr>
            <w:tcW w:w="1982" w:type="dxa"/>
            <w:hideMark/>
          </w:tcPr>
          <w:p w14:paraId="028C58EF" w14:textId="77777777" w:rsidR="00AD5798" w:rsidRPr="0054085A" w:rsidRDefault="00AD5798" w:rsidP="00F7257D">
            <w:pPr>
              <w:pStyle w:val="NormalWeb"/>
              <w:jc w:val="center"/>
              <w:rPr>
                <w:sz w:val="18"/>
                <w:szCs w:val="18"/>
              </w:rPr>
            </w:pPr>
            <w:r w:rsidRPr="0054085A">
              <w:rPr>
                <w:sz w:val="18"/>
                <w:szCs w:val="18"/>
              </w:rPr>
              <w:t>04:30</w:t>
            </w:r>
          </w:p>
        </w:tc>
        <w:tc>
          <w:tcPr>
            <w:tcW w:w="1982" w:type="dxa"/>
            <w:hideMark/>
          </w:tcPr>
          <w:p w14:paraId="5D3C7747" w14:textId="77777777" w:rsidR="00AD5798" w:rsidRPr="0054085A" w:rsidRDefault="00AD5798" w:rsidP="00F7257D">
            <w:pPr>
              <w:pStyle w:val="NormalWeb"/>
              <w:jc w:val="center"/>
              <w:rPr>
                <w:sz w:val="18"/>
                <w:szCs w:val="18"/>
              </w:rPr>
            </w:pPr>
            <w:r w:rsidRPr="0054085A">
              <w:rPr>
                <w:sz w:val="18"/>
                <w:szCs w:val="18"/>
              </w:rPr>
              <w:t>7 days before flight</w:t>
            </w:r>
          </w:p>
        </w:tc>
        <w:tc>
          <w:tcPr>
            <w:tcW w:w="1982" w:type="dxa"/>
            <w:hideMark/>
          </w:tcPr>
          <w:p w14:paraId="73B8D04F" w14:textId="77777777" w:rsidR="00AD5798" w:rsidRPr="0054085A" w:rsidRDefault="00AD5798" w:rsidP="00F7257D">
            <w:pPr>
              <w:pStyle w:val="NormalWeb"/>
              <w:jc w:val="center"/>
              <w:rPr>
                <w:sz w:val="18"/>
                <w:szCs w:val="18"/>
              </w:rPr>
            </w:pPr>
            <w:r w:rsidRPr="0054085A">
              <w:rPr>
                <w:sz w:val="18"/>
                <w:szCs w:val="18"/>
              </w:rPr>
              <w:t>2</w:t>
            </w:r>
          </w:p>
        </w:tc>
        <w:tc>
          <w:tcPr>
            <w:tcW w:w="1982" w:type="dxa"/>
            <w:hideMark/>
          </w:tcPr>
          <w:p w14:paraId="141C5EAA" w14:textId="77777777" w:rsidR="00AD5798" w:rsidRPr="0054085A" w:rsidRDefault="00AD5798" w:rsidP="00F7257D">
            <w:pPr>
              <w:pStyle w:val="NormalWeb"/>
              <w:jc w:val="center"/>
              <w:rPr>
                <w:sz w:val="18"/>
                <w:szCs w:val="18"/>
              </w:rPr>
            </w:pPr>
            <w:r w:rsidRPr="0054085A">
              <w:rPr>
                <w:sz w:val="18"/>
                <w:szCs w:val="18"/>
              </w:rPr>
              <w:t>0</w:t>
            </w:r>
          </w:p>
        </w:tc>
        <w:tc>
          <w:tcPr>
            <w:tcW w:w="1982" w:type="dxa"/>
            <w:hideMark/>
          </w:tcPr>
          <w:p w14:paraId="1F684BE5" w14:textId="77777777" w:rsidR="00AD5798" w:rsidRPr="0054085A" w:rsidRDefault="00AD5798" w:rsidP="00F7257D">
            <w:pPr>
              <w:pStyle w:val="NormalWeb"/>
              <w:jc w:val="center"/>
              <w:rPr>
                <w:sz w:val="18"/>
                <w:szCs w:val="18"/>
              </w:rPr>
            </w:pPr>
            <w:r w:rsidRPr="0054085A">
              <w:rPr>
                <w:sz w:val="18"/>
                <w:szCs w:val="18"/>
              </w:rPr>
              <w:t>0</w:t>
            </w:r>
          </w:p>
        </w:tc>
      </w:tr>
      <w:tr w:rsidR="00AD5798" w:rsidRPr="0054085A" w14:paraId="5D9407F4" w14:textId="77777777" w:rsidTr="00AC43D2">
        <w:tc>
          <w:tcPr>
            <w:tcW w:w="0" w:type="auto"/>
            <w:hideMark/>
          </w:tcPr>
          <w:p w14:paraId="1300A9B4" w14:textId="77777777" w:rsidR="00AD5798" w:rsidRPr="0054085A" w:rsidRDefault="00AD5798">
            <w:pPr>
              <w:pStyle w:val="NormalWeb"/>
              <w:rPr>
                <w:sz w:val="18"/>
                <w:szCs w:val="18"/>
              </w:rPr>
            </w:pPr>
            <w:r w:rsidRPr="0054085A">
              <w:rPr>
                <w:sz w:val="18"/>
                <w:szCs w:val="18"/>
              </w:rPr>
              <w:t>G</w:t>
            </w:r>
          </w:p>
        </w:tc>
        <w:tc>
          <w:tcPr>
            <w:tcW w:w="1982" w:type="dxa"/>
            <w:hideMark/>
          </w:tcPr>
          <w:p w14:paraId="1B7B07FA" w14:textId="77777777" w:rsidR="00AD5798" w:rsidRPr="0054085A" w:rsidRDefault="00AD5798" w:rsidP="00F7257D">
            <w:pPr>
              <w:pStyle w:val="NormalWeb"/>
              <w:jc w:val="center"/>
              <w:rPr>
                <w:sz w:val="18"/>
                <w:szCs w:val="18"/>
              </w:rPr>
            </w:pPr>
            <w:r w:rsidRPr="0054085A">
              <w:rPr>
                <w:sz w:val="18"/>
                <w:szCs w:val="18"/>
              </w:rPr>
              <w:t>04:34</w:t>
            </w:r>
          </w:p>
        </w:tc>
        <w:tc>
          <w:tcPr>
            <w:tcW w:w="1982" w:type="dxa"/>
            <w:hideMark/>
          </w:tcPr>
          <w:p w14:paraId="59EDD464" w14:textId="77777777" w:rsidR="00AD5798" w:rsidRPr="0054085A" w:rsidRDefault="00AD5798" w:rsidP="00F7257D">
            <w:pPr>
              <w:pStyle w:val="NormalWeb"/>
              <w:jc w:val="center"/>
              <w:rPr>
                <w:sz w:val="18"/>
                <w:szCs w:val="18"/>
              </w:rPr>
            </w:pPr>
            <w:r w:rsidRPr="0054085A">
              <w:rPr>
                <w:sz w:val="18"/>
                <w:szCs w:val="18"/>
              </w:rPr>
              <w:t>2 days before flight</w:t>
            </w:r>
          </w:p>
        </w:tc>
        <w:tc>
          <w:tcPr>
            <w:tcW w:w="1982" w:type="dxa"/>
            <w:hideMark/>
          </w:tcPr>
          <w:p w14:paraId="13F9E09D" w14:textId="77777777" w:rsidR="00AD5798" w:rsidRPr="0054085A" w:rsidRDefault="00AD5798" w:rsidP="00F7257D">
            <w:pPr>
              <w:pStyle w:val="NormalWeb"/>
              <w:jc w:val="center"/>
              <w:rPr>
                <w:sz w:val="18"/>
                <w:szCs w:val="18"/>
              </w:rPr>
            </w:pPr>
            <w:r w:rsidRPr="0054085A">
              <w:rPr>
                <w:sz w:val="18"/>
                <w:szCs w:val="18"/>
              </w:rPr>
              <w:t>2</w:t>
            </w:r>
          </w:p>
        </w:tc>
        <w:tc>
          <w:tcPr>
            <w:tcW w:w="1982" w:type="dxa"/>
            <w:hideMark/>
          </w:tcPr>
          <w:p w14:paraId="742AAA2B" w14:textId="77777777" w:rsidR="00AD5798" w:rsidRPr="0054085A" w:rsidRDefault="00AD5798" w:rsidP="00F7257D">
            <w:pPr>
              <w:pStyle w:val="NormalWeb"/>
              <w:jc w:val="center"/>
              <w:rPr>
                <w:sz w:val="18"/>
                <w:szCs w:val="18"/>
              </w:rPr>
            </w:pPr>
            <w:r w:rsidRPr="0054085A">
              <w:rPr>
                <w:sz w:val="18"/>
                <w:szCs w:val="18"/>
              </w:rPr>
              <w:t>0</w:t>
            </w:r>
          </w:p>
        </w:tc>
        <w:tc>
          <w:tcPr>
            <w:tcW w:w="1982" w:type="dxa"/>
            <w:hideMark/>
          </w:tcPr>
          <w:p w14:paraId="23CF2A3C" w14:textId="77777777" w:rsidR="00AD5798" w:rsidRPr="0054085A" w:rsidRDefault="00AD5798" w:rsidP="00F7257D">
            <w:pPr>
              <w:pStyle w:val="NormalWeb"/>
              <w:jc w:val="center"/>
              <w:rPr>
                <w:sz w:val="18"/>
                <w:szCs w:val="18"/>
              </w:rPr>
            </w:pPr>
            <w:r w:rsidRPr="0054085A">
              <w:rPr>
                <w:sz w:val="18"/>
                <w:szCs w:val="18"/>
              </w:rPr>
              <w:t>0</w:t>
            </w:r>
          </w:p>
        </w:tc>
      </w:tr>
      <w:tr w:rsidR="00AD5798" w:rsidRPr="0054085A" w14:paraId="750C2AEC" w14:textId="77777777" w:rsidTr="00AC43D2">
        <w:trPr>
          <w:cnfStyle w:val="000000010000" w:firstRow="0" w:lastRow="0" w:firstColumn="0" w:lastColumn="0" w:oddVBand="0" w:evenVBand="0" w:oddHBand="0" w:evenHBand="1" w:firstRowFirstColumn="0" w:firstRowLastColumn="0" w:lastRowFirstColumn="0" w:lastRowLastColumn="0"/>
        </w:trPr>
        <w:tc>
          <w:tcPr>
            <w:tcW w:w="0" w:type="auto"/>
            <w:hideMark/>
          </w:tcPr>
          <w:p w14:paraId="1301F269" w14:textId="77777777" w:rsidR="00AD5798" w:rsidRPr="0054085A" w:rsidRDefault="00AD5798">
            <w:pPr>
              <w:pStyle w:val="NormalWeb"/>
              <w:rPr>
                <w:sz w:val="18"/>
                <w:szCs w:val="18"/>
              </w:rPr>
            </w:pPr>
            <w:r w:rsidRPr="0054085A">
              <w:rPr>
                <w:sz w:val="18"/>
                <w:szCs w:val="18"/>
              </w:rPr>
              <w:t>H</w:t>
            </w:r>
          </w:p>
        </w:tc>
        <w:tc>
          <w:tcPr>
            <w:tcW w:w="1982" w:type="dxa"/>
            <w:hideMark/>
          </w:tcPr>
          <w:p w14:paraId="4CBD66A8" w14:textId="77777777" w:rsidR="00AD5798" w:rsidRPr="0054085A" w:rsidRDefault="00AD5798" w:rsidP="00F7257D">
            <w:pPr>
              <w:pStyle w:val="NormalWeb"/>
              <w:jc w:val="center"/>
              <w:rPr>
                <w:sz w:val="18"/>
                <w:szCs w:val="18"/>
              </w:rPr>
            </w:pPr>
            <w:r w:rsidRPr="0054085A">
              <w:rPr>
                <w:sz w:val="18"/>
                <w:szCs w:val="18"/>
              </w:rPr>
              <w:t>02:00</w:t>
            </w:r>
          </w:p>
        </w:tc>
        <w:tc>
          <w:tcPr>
            <w:tcW w:w="1982" w:type="dxa"/>
            <w:hideMark/>
          </w:tcPr>
          <w:p w14:paraId="191823EF" w14:textId="77777777" w:rsidR="00AD5798" w:rsidRPr="0054085A" w:rsidRDefault="00AD5798" w:rsidP="00F7257D">
            <w:pPr>
              <w:pStyle w:val="NormalWeb"/>
              <w:jc w:val="center"/>
              <w:rPr>
                <w:sz w:val="18"/>
                <w:szCs w:val="18"/>
              </w:rPr>
            </w:pPr>
            <w:r w:rsidRPr="0054085A">
              <w:rPr>
                <w:sz w:val="18"/>
                <w:szCs w:val="18"/>
              </w:rPr>
              <w:t>1 day after flight</w:t>
            </w:r>
          </w:p>
        </w:tc>
        <w:tc>
          <w:tcPr>
            <w:tcW w:w="1982" w:type="dxa"/>
            <w:hideMark/>
          </w:tcPr>
          <w:p w14:paraId="4E2746B0" w14:textId="77777777" w:rsidR="00AD5798" w:rsidRPr="0054085A" w:rsidRDefault="00AD5798" w:rsidP="00F7257D">
            <w:pPr>
              <w:pStyle w:val="NormalWeb"/>
              <w:jc w:val="center"/>
              <w:rPr>
                <w:sz w:val="18"/>
                <w:szCs w:val="18"/>
              </w:rPr>
            </w:pPr>
            <w:r w:rsidRPr="0054085A">
              <w:rPr>
                <w:sz w:val="18"/>
                <w:szCs w:val="18"/>
              </w:rPr>
              <w:t>2</w:t>
            </w:r>
          </w:p>
        </w:tc>
        <w:tc>
          <w:tcPr>
            <w:tcW w:w="1982" w:type="dxa"/>
            <w:hideMark/>
          </w:tcPr>
          <w:p w14:paraId="53CFB6FC" w14:textId="77777777" w:rsidR="00AD5798" w:rsidRPr="0054085A" w:rsidRDefault="00AD5798" w:rsidP="00F7257D">
            <w:pPr>
              <w:pStyle w:val="NormalWeb"/>
              <w:jc w:val="center"/>
              <w:rPr>
                <w:sz w:val="18"/>
                <w:szCs w:val="18"/>
              </w:rPr>
            </w:pPr>
            <w:r w:rsidRPr="0054085A">
              <w:rPr>
                <w:sz w:val="18"/>
                <w:szCs w:val="18"/>
              </w:rPr>
              <w:t>0</w:t>
            </w:r>
          </w:p>
        </w:tc>
        <w:tc>
          <w:tcPr>
            <w:tcW w:w="1982" w:type="dxa"/>
            <w:hideMark/>
          </w:tcPr>
          <w:p w14:paraId="62ABD4B6" w14:textId="77777777" w:rsidR="00AD5798" w:rsidRPr="0054085A" w:rsidRDefault="00AD5798" w:rsidP="00F7257D">
            <w:pPr>
              <w:pStyle w:val="NormalWeb"/>
              <w:jc w:val="center"/>
              <w:rPr>
                <w:sz w:val="18"/>
                <w:szCs w:val="18"/>
              </w:rPr>
            </w:pPr>
            <w:r w:rsidRPr="0054085A">
              <w:rPr>
                <w:sz w:val="18"/>
                <w:szCs w:val="18"/>
              </w:rPr>
              <w:t>0</w:t>
            </w:r>
          </w:p>
        </w:tc>
      </w:tr>
      <w:tr w:rsidR="00AD5798" w:rsidRPr="0054085A" w14:paraId="5ACD7B68" w14:textId="77777777" w:rsidTr="00AC43D2">
        <w:tc>
          <w:tcPr>
            <w:tcW w:w="0" w:type="auto"/>
            <w:hideMark/>
          </w:tcPr>
          <w:p w14:paraId="6ED793A5" w14:textId="77777777" w:rsidR="00AD5798" w:rsidRPr="0054085A" w:rsidRDefault="00AD5798">
            <w:pPr>
              <w:pStyle w:val="NormalWeb"/>
              <w:rPr>
                <w:sz w:val="18"/>
                <w:szCs w:val="18"/>
              </w:rPr>
            </w:pPr>
            <w:r w:rsidRPr="0054085A">
              <w:rPr>
                <w:sz w:val="18"/>
                <w:szCs w:val="18"/>
              </w:rPr>
              <w:t>I</w:t>
            </w:r>
          </w:p>
        </w:tc>
        <w:tc>
          <w:tcPr>
            <w:tcW w:w="1982" w:type="dxa"/>
            <w:hideMark/>
          </w:tcPr>
          <w:p w14:paraId="5F482124" w14:textId="77777777" w:rsidR="00AD5798" w:rsidRPr="0054085A" w:rsidRDefault="00AD5798" w:rsidP="00F7257D">
            <w:pPr>
              <w:pStyle w:val="NormalWeb"/>
              <w:jc w:val="center"/>
              <w:rPr>
                <w:sz w:val="18"/>
                <w:szCs w:val="18"/>
              </w:rPr>
            </w:pPr>
            <w:r w:rsidRPr="0054085A">
              <w:rPr>
                <w:sz w:val="18"/>
                <w:szCs w:val="18"/>
              </w:rPr>
              <w:t>02:49</w:t>
            </w:r>
          </w:p>
        </w:tc>
        <w:tc>
          <w:tcPr>
            <w:tcW w:w="1982" w:type="dxa"/>
            <w:hideMark/>
          </w:tcPr>
          <w:p w14:paraId="6D2C5A30" w14:textId="77777777" w:rsidR="00AD5798" w:rsidRPr="0054085A" w:rsidRDefault="00AD5798" w:rsidP="00F7257D">
            <w:pPr>
              <w:pStyle w:val="NormalWeb"/>
              <w:jc w:val="center"/>
              <w:rPr>
                <w:sz w:val="18"/>
                <w:szCs w:val="18"/>
              </w:rPr>
            </w:pPr>
            <w:r w:rsidRPr="0054085A">
              <w:rPr>
                <w:sz w:val="18"/>
                <w:szCs w:val="18"/>
              </w:rPr>
              <w:t>1 day after flight</w:t>
            </w:r>
          </w:p>
        </w:tc>
        <w:tc>
          <w:tcPr>
            <w:tcW w:w="1982" w:type="dxa"/>
            <w:hideMark/>
          </w:tcPr>
          <w:p w14:paraId="598CC3CB" w14:textId="77777777" w:rsidR="00AD5798" w:rsidRPr="0054085A" w:rsidRDefault="00AD5798" w:rsidP="00F7257D">
            <w:pPr>
              <w:pStyle w:val="NormalWeb"/>
              <w:jc w:val="center"/>
              <w:rPr>
                <w:sz w:val="18"/>
                <w:szCs w:val="18"/>
              </w:rPr>
            </w:pPr>
            <w:r w:rsidRPr="0054085A">
              <w:rPr>
                <w:sz w:val="18"/>
                <w:szCs w:val="18"/>
              </w:rPr>
              <w:t>15</w:t>
            </w:r>
          </w:p>
        </w:tc>
        <w:tc>
          <w:tcPr>
            <w:tcW w:w="1982" w:type="dxa"/>
            <w:hideMark/>
          </w:tcPr>
          <w:p w14:paraId="0840335E" w14:textId="77777777" w:rsidR="00AD5798" w:rsidRPr="0054085A" w:rsidRDefault="00AD5798" w:rsidP="00F7257D">
            <w:pPr>
              <w:pStyle w:val="NormalWeb"/>
              <w:jc w:val="center"/>
              <w:rPr>
                <w:sz w:val="18"/>
                <w:szCs w:val="18"/>
              </w:rPr>
            </w:pPr>
            <w:r w:rsidRPr="0054085A">
              <w:rPr>
                <w:sz w:val="18"/>
                <w:szCs w:val="18"/>
              </w:rPr>
              <w:t>2</w:t>
            </w:r>
          </w:p>
        </w:tc>
        <w:tc>
          <w:tcPr>
            <w:tcW w:w="1982" w:type="dxa"/>
            <w:hideMark/>
          </w:tcPr>
          <w:p w14:paraId="21FF50DA" w14:textId="77777777" w:rsidR="00AD5798" w:rsidRPr="0054085A" w:rsidRDefault="00AD5798" w:rsidP="00F7257D">
            <w:pPr>
              <w:pStyle w:val="NormalWeb"/>
              <w:jc w:val="center"/>
              <w:rPr>
                <w:sz w:val="18"/>
                <w:szCs w:val="18"/>
              </w:rPr>
            </w:pPr>
            <w:r w:rsidRPr="0054085A">
              <w:rPr>
                <w:sz w:val="18"/>
                <w:szCs w:val="18"/>
              </w:rPr>
              <w:t>0</w:t>
            </w:r>
          </w:p>
        </w:tc>
      </w:tr>
      <w:tr w:rsidR="00AD5798" w:rsidRPr="0054085A" w14:paraId="72F2CAD8" w14:textId="77777777" w:rsidTr="00AC43D2">
        <w:trPr>
          <w:cnfStyle w:val="000000010000" w:firstRow="0" w:lastRow="0" w:firstColumn="0" w:lastColumn="0" w:oddVBand="0" w:evenVBand="0" w:oddHBand="0" w:evenHBand="1" w:firstRowFirstColumn="0" w:firstRowLastColumn="0" w:lastRowFirstColumn="0" w:lastRowLastColumn="0"/>
        </w:trPr>
        <w:tc>
          <w:tcPr>
            <w:tcW w:w="0" w:type="auto"/>
            <w:hideMark/>
          </w:tcPr>
          <w:p w14:paraId="1804382C" w14:textId="77777777" w:rsidR="00AD5798" w:rsidRPr="0054085A" w:rsidRDefault="00AD5798">
            <w:pPr>
              <w:pStyle w:val="NormalWeb"/>
              <w:rPr>
                <w:sz w:val="18"/>
                <w:szCs w:val="18"/>
              </w:rPr>
            </w:pPr>
            <w:r w:rsidRPr="0054085A">
              <w:rPr>
                <w:sz w:val="18"/>
                <w:szCs w:val="18"/>
              </w:rPr>
              <w:t>J</w:t>
            </w:r>
          </w:p>
        </w:tc>
        <w:tc>
          <w:tcPr>
            <w:tcW w:w="1982" w:type="dxa"/>
            <w:hideMark/>
          </w:tcPr>
          <w:p w14:paraId="74EBBF55" w14:textId="77777777" w:rsidR="00AD5798" w:rsidRPr="0054085A" w:rsidRDefault="00AD5798" w:rsidP="00F7257D">
            <w:pPr>
              <w:pStyle w:val="NormalWeb"/>
              <w:jc w:val="center"/>
              <w:rPr>
                <w:sz w:val="18"/>
                <w:szCs w:val="18"/>
              </w:rPr>
            </w:pPr>
            <w:r w:rsidRPr="0054085A">
              <w:rPr>
                <w:sz w:val="18"/>
                <w:szCs w:val="18"/>
              </w:rPr>
              <w:t>01:25</w:t>
            </w:r>
          </w:p>
        </w:tc>
        <w:tc>
          <w:tcPr>
            <w:tcW w:w="1982" w:type="dxa"/>
            <w:hideMark/>
          </w:tcPr>
          <w:p w14:paraId="1318076F" w14:textId="77777777" w:rsidR="00AD5798" w:rsidRPr="0054085A" w:rsidRDefault="00AD5798" w:rsidP="00F7257D">
            <w:pPr>
              <w:pStyle w:val="NormalWeb"/>
              <w:jc w:val="center"/>
              <w:rPr>
                <w:sz w:val="18"/>
                <w:szCs w:val="18"/>
              </w:rPr>
            </w:pPr>
            <w:r w:rsidRPr="0054085A">
              <w:rPr>
                <w:sz w:val="18"/>
                <w:szCs w:val="18"/>
              </w:rPr>
              <w:t>1 day after flight</w:t>
            </w:r>
          </w:p>
        </w:tc>
        <w:tc>
          <w:tcPr>
            <w:tcW w:w="1982" w:type="dxa"/>
            <w:hideMark/>
          </w:tcPr>
          <w:p w14:paraId="1BE1E200" w14:textId="77777777" w:rsidR="00AD5798" w:rsidRPr="0054085A" w:rsidRDefault="00AD5798" w:rsidP="00F7257D">
            <w:pPr>
              <w:pStyle w:val="NormalWeb"/>
              <w:jc w:val="center"/>
              <w:rPr>
                <w:sz w:val="18"/>
                <w:szCs w:val="18"/>
              </w:rPr>
            </w:pPr>
            <w:r w:rsidRPr="0054085A">
              <w:rPr>
                <w:sz w:val="18"/>
                <w:szCs w:val="18"/>
              </w:rPr>
              <w:t>2</w:t>
            </w:r>
          </w:p>
        </w:tc>
        <w:tc>
          <w:tcPr>
            <w:tcW w:w="1982" w:type="dxa"/>
            <w:hideMark/>
          </w:tcPr>
          <w:p w14:paraId="43A7E813" w14:textId="77777777" w:rsidR="00AD5798" w:rsidRPr="0054085A" w:rsidRDefault="00AD5798" w:rsidP="00F7257D">
            <w:pPr>
              <w:pStyle w:val="NormalWeb"/>
              <w:jc w:val="center"/>
              <w:rPr>
                <w:sz w:val="18"/>
                <w:szCs w:val="18"/>
              </w:rPr>
            </w:pPr>
            <w:r w:rsidRPr="0054085A">
              <w:rPr>
                <w:sz w:val="18"/>
                <w:szCs w:val="18"/>
              </w:rPr>
              <w:t>0</w:t>
            </w:r>
          </w:p>
        </w:tc>
        <w:tc>
          <w:tcPr>
            <w:tcW w:w="1982" w:type="dxa"/>
            <w:hideMark/>
          </w:tcPr>
          <w:p w14:paraId="1B7F0516" w14:textId="77777777" w:rsidR="00AD5798" w:rsidRPr="0054085A" w:rsidRDefault="00AD5798" w:rsidP="00F7257D">
            <w:pPr>
              <w:pStyle w:val="NormalWeb"/>
              <w:jc w:val="center"/>
              <w:rPr>
                <w:sz w:val="18"/>
                <w:szCs w:val="18"/>
              </w:rPr>
            </w:pPr>
            <w:r w:rsidRPr="0054085A">
              <w:rPr>
                <w:sz w:val="18"/>
                <w:szCs w:val="18"/>
              </w:rPr>
              <w:t>0</w:t>
            </w:r>
          </w:p>
        </w:tc>
      </w:tr>
      <w:tr w:rsidR="00AD5798" w:rsidRPr="0054085A" w14:paraId="7B978953" w14:textId="77777777" w:rsidTr="00AC43D2">
        <w:tc>
          <w:tcPr>
            <w:tcW w:w="0" w:type="auto"/>
            <w:hideMark/>
          </w:tcPr>
          <w:p w14:paraId="675CC6F7" w14:textId="77777777" w:rsidR="00AD5798" w:rsidRPr="0054085A" w:rsidRDefault="00AD5798">
            <w:pPr>
              <w:pStyle w:val="NormalWeb"/>
              <w:rPr>
                <w:sz w:val="18"/>
                <w:szCs w:val="18"/>
              </w:rPr>
            </w:pPr>
            <w:r w:rsidRPr="0054085A">
              <w:rPr>
                <w:sz w:val="18"/>
                <w:szCs w:val="18"/>
              </w:rPr>
              <w:t>K</w:t>
            </w:r>
          </w:p>
        </w:tc>
        <w:tc>
          <w:tcPr>
            <w:tcW w:w="1982" w:type="dxa"/>
            <w:hideMark/>
          </w:tcPr>
          <w:p w14:paraId="6D49CD5E" w14:textId="77777777" w:rsidR="00AD5798" w:rsidRPr="0054085A" w:rsidRDefault="00AD5798" w:rsidP="00F7257D">
            <w:pPr>
              <w:pStyle w:val="NormalWeb"/>
              <w:jc w:val="center"/>
              <w:rPr>
                <w:sz w:val="18"/>
                <w:szCs w:val="18"/>
              </w:rPr>
            </w:pPr>
            <w:r w:rsidRPr="0054085A">
              <w:rPr>
                <w:sz w:val="18"/>
                <w:szCs w:val="18"/>
              </w:rPr>
              <w:t>04:00</w:t>
            </w:r>
          </w:p>
        </w:tc>
        <w:tc>
          <w:tcPr>
            <w:tcW w:w="1982" w:type="dxa"/>
            <w:hideMark/>
          </w:tcPr>
          <w:p w14:paraId="43586E9B" w14:textId="77777777" w:rsidR="00AD5798" w:rsidRPr="0054085A" w:rsidRDefault="00AD5798" w:rsidP="00F7257D">
            <w:pPr>
              <w:pStyle w:val="NormalWeb"/>
              <w:jc w:val="center"/>
              <w:rPr>
                <w:sz w:val="18"/>
                <w:szCs w:val="18"/>
              </w:rPr>
            </w:pPr>
            <w:r w:rsidRPr="0054085A">
              <w:rPr>
                <w:sz w:val="18"/>
                <w:szCs w:val="18"/>
              </w:rPr>
              <w:t>1 day after flight</w:t>
            </w:r>
          </w:p>
        </w:tc>
        <w:tc>
          <w:tcPr>
            <w:tcW w:w="1982" w:type="dxa"/>
            <w:hideMark/>
          </w:tcPr>
          <w:p w14:paraId="32981A09" w14:textId="77777777" w:rsidR="00AD5798" w:rsidRPr="0054085A" w:rsidRDefault="00AD5798" w:rsidP="00F7257D">
            <w:pPr>
              <w:pStyle w:val="NormalWeb"/>
              <w:jc w:val="center"/>
              <w:rPr>
                <w:sz w:val="18"/>
                <w:szCs w:val="18"/>
              </w:rPr>
            </w:pPr>
            <w:r w:rsidRPr="0054085A">
              <w:rPr>
                <w:sz w:val="18"/>
                <w:szCs w:val="18"/>
              </w:rPr>
              <w:t>18</w:t>
            </w:r>
          </w:p>
        </w:tc>
        <w:tc>
          <w:tcPr>
            <w:tcW w:w="1982" w:type="dxa"/>
            <w:hideMark/>
          </w:tcPr>
          <w:p w14:paraId="102B8A10" w14:textId="77777777" w:rsidR="00AD5798" w:rsidRPr="0054085A" w:rsidRDefault="00AD5798" w:rsidP="00F7257D">
            <w:pPr>
              <w:pStyle w:val="NormalWeb"/>
              <w:jc w:val="center"/>
              <w:rPr>
                <w:sz w:val="18"/>
                <w:szCs w:val="18"/>
              </w:rPr>
            </w:pPr>
            <w:r w:rsidRPr="0054085A">
              <w:rPr>
                <w:sz w:val="18"/>
                <w:szCs w:val="18"/>
              </w:rPr>
              <w:t>3</w:t>
            </w:r>
          </w:p>
        </w:tc>
        <w:tc>
          <w:tcPr>
            <w:tcW w:w="1982" w:type="dxa"/>
            <w:hideMark/>
          </w:tcPr>
          <w:p w14:paraId="715C4387" w14:textId="77777777" w:rsidR="00AD5798" w:rsidRPr="0054085A" w:rsidRDefault="00AD5798" w:rsidP="00F7257D">
            <w:pPr>
              <w:pStyle w:val="NormalWeb"/>
              <w:jc w:val="center"/>
              <w:rPr>
                <w:sz w:val="18"/>
                <w:szCs w:val="18"/>
              </w:rPr>
            </w:pPr>
            <w:r w:rsidRPr="0054085A">
              <w:rPr>
                <w:sz w:val="18"/>
                <w:szCs w:val="18"/>
              </w:rPr>
              <w:t>2</w:t>
            </w:r>
          </w:p>
        </w:tc>
      </w:tr>
      <w:tr w:rsidR="00AD5798" w:rsidRPr="0054085A" w14:paraId="64BE55FF" w14:textId="77777777" w:rsidTr="00AC43D2">
        <w:trPr>
          <w:cnfStyle w:val="000000010000" w:firstRow="0" w:lastRow="0" w:firstColumn="0" w:lastColumn="0" w:oddVBand="0" w:evenVBand="0" w:oddHBand="0" w:evenHBand="1" w:firstRowFirstColumn="0" w:firstRowLastColumn="0" w:lastRowFirstColumn="0" w:lastRowLastColumn="0"/>
        </w:trPr>
        <w:tc>
          <w:tcPr>
            <w:tcW w:w="0" w:type="auto"/>
            <w:hideMark/>
          </w:tcPr>
          <w:p w14:paraId="7F7C3BF2" w14:textId="77777777" w:rsidR="00AD5798" w:rsidRPr="0054085A" w:rsidRDefault="00AD5798">
            <w:pPr>
              <w:pStyle w:val="NormalWeb"/>
              <w:rPr>
                <w:sz w:val="18"/>
                <w:szCs w:val="18"/>
              </w:rPr>
            </w:pPr>
            <w:r w:rsidRPr="0054085A">
              <w:rPr>
                <w:sz w:val="18"/>
                <w:szCs w:val="18"/>
              </w:rPr>
              <w:t>L</w:t>
            </w:r>
          </w:p>
        </w:tc>
        <w:tc>
          <w:tcPr>
            <w:tcW w:w="1982" w:type="dxa"/>
            <w:hideMark/>
          </w:tcPr>
          <w:p w14:paraId="5C14AA6C" w14:textId="77777777" w:rsidR="00AD5798" w:rsidRPr="0054085A" w:rsidRDefault="00AD5798" w:rsidP="00F7257D">
            <w:pPr>
              <w:pStyle w:val="NormalWeb"/>
              <w:jc w:val="center"/>
              <w:rPr>
                <w:sz w:val="18"/>
                <w:szCs w:val="18"/>
              </w:rPr>
            </w:pPr>
            <w:r w:rsidRPr="0054085A">
              <w:rPr>
                <w:sz w:val="18"/>
                <w:szCs w:val="18"/>
              </w:rPr>
              <w:t>04:35</w:t>
            </w:r>
          </w:p>
        </w:tc>
        <w:tc>
          <w:tcPr>
            <w:tcW w:w="1982" w:type="dxa"/>
            <w:hideMark/>
          </w:tcPr>
          <w:p w14:paraId="1FDAE6A6" w14:textId="77777777" w:rsidR="00AD5798" w:rsidRPr="0054085A" w:rsidRDefault="00AD5798" w:rsidP="00F7257D">
            <w:pPr>
              <w:pStyle w:val="NormalWeb"/>
              <w:jc w:val="center"/>
              <w:rPr>
                <w:sz w:val="18"/>
                <w:szCs w:val="18"/>
              </w:rPr>
            </w:pPr>
            <w:r w:rsidRPr="0054085A">
              <w:rPr>
                <w:sz w:val="18"/>
                <w:szCs w:val="18"/>
              </w:rPr>
              <w:t>9 days before flight</w:t>
            </w:r>
          </w:p>
        </w:tc>
        <w:tc>
          <w:tcPr>
            <w:tcW w:w="1982" w:type="dxa"/>
            <w:hideMark/>
          </w:tcPr>
          <w:p w14:paraId="2BCF39FC" w14:textId="77777777" w:rsidR="00AD5798" w:rsidRPr="0054085A" w:rsidRDefault="00AD5798" w:rsidP="00F7257D">
            <w:pPr>
              <w:pStyle w:val="NormalWeb"/>
              <w:jc w:val="center"/>
              <w:rPr>
                <w:sz w:val="18"/>
                <w:szCs w:val="18"/>
              </w:rPr>
            </w:pPr>
            <w:r w:rsidRPr="0054085A">
              <w:rPr>
                <w:sz w:val="18"/>
                <w:szCs w:val="18"/>
              </w:rPr>
              <w:t>7</w:t>
            </w:r>
          </w:p>
        </w:tc>
        <w:tc>
          <w:tcPr>
            <w:tcW w:w="1982" w:type="dxa"/>
            <w:hideMark/>
          </w:tcPr>
          <w:p w14:paraId="47F03D8E" w14:textId="77777777" w:rsidR="00AD5798" w:rsidRPr="0054085A" w:rsidRDefault="00AD5798" w:rsidP="00F7257D">
            <w:pPr>
              <w:pStyle w:val="NormalWeb"/>
              <w:jc w:val="center"/>
              <w:rPr>
                <w:sz w:val="18"/>
                <w:szCs w:val="18"/>
              </w:rPr>
            </w:pPr>
            <w:r w:rsidRPr="0054085A">
              <w:rPr>
                <w:sz w:val="18"/>
                <w:szCs w:val="18"/>
              </w:rPr>
              <w:t>1</w:t>
            </w:r>
          </w:p>
        </w:tc>
        <w:tc>
          <w:tcPr>
            <w:tcW w:w="1982" w:type="dxa"/>
            <w:hideMark/>
          </w:tcPr>
          <w:p w14:paraId="66765596" w14:textId="77777777" w:rsidR="00AD5798" w:rsidRPr="0054085A" w:rsidRDefault="00AD5798" w:rsidP="00F7257D">
            <w:pPr>
              <w:pStyle w:val="NormalWeb"/>
              <w:jc w:val="center"/>
              <w:rPr>
                <w:sz w:val="18"/>
                <w:szCs w:val="18"/>
              </w:rPr>
            </w:pPr>
            <w:r w:rsidRPr="0054085A">
              <w:rPr>
                <w:sz w:val="18"/>
                <w:szCs w:val="18"/>
              </w:rPr>
              <w:t>0</w:t>
            </w:r>
          </w:p>
        </w:tc>
      </w:tr>
      <w:tr w:rsidR="00AD5798" w:rsidRPr="0054085A" w14:paraId="74D60217" w14:textId="77777777" w:rsidTr="00AC43D2">
        <w:tc>
          <w:tcPr>
            <w:tcW w:w="0" w:type="auto"/>
            <w:hideMark/>
          </w:tcPr>
          <w:p w14:paraId="74F61729" w14:textId="77777777" w:rsidR="00AD5798" w:rsidRPr="0054085A" w:rsidRDefault="00AD5798">
            <w:pPr>
              <w:pStyle w:val="NormalWeb"/>
              <w:rPr>
                <w:sz w:val="18"/>
                <w:szCs w:val="18"/>
              </w:rPr>
            </w:pPr>
            <w:r w:rsidRPr="0054085A">
              <w:rPr>
                <w:sz w:val="18"/>
                <w:szCs w:val="18"/>
              </w:rPr>
              <w:t>M</w:t>
            </w:r>
          </w:p>
        </w:tc>
        <w:tc>
          <w:tcPr>
            <w:tcW w:w="1982" w:type="dxa"/>
            <w:hideMark/>
          </w:tcPr>
          <w:p w14:paraId="1FE385F2" w14:textId="77777777" w:rsidR="00AD5798" w:rsidRPr="0054085A" w:rsidRDefault="00AD5798" w:rsidP="00F7257D">
            <w:pPr>
              <w:pStyle w:val="NormalWeb"/>
              <w:jc w:val="center"/>
              <w:rPr>
                <w:sz w:val="18"/>
                <w:szCs w:val="18"/>
              </w:rPr>
            </w:pPr>
            <w:r w:rsidRPr="0054085A">
              <w:rPr>
                <w:sz w:val="18"/>
                <w:szCs w:val="18"/>
              </w:rPr>
              <w:t>04:00</w:t>
            </w:r>
          </w:p>
        </w:tc>
        <w:tc>
          <w:tcPr>
            <w:tcW w:w="1982" w:type="dxa"/>
            <w:hideMark/>
          </w:tcPr>
          <w:p w14:paraId="769646BD" w14:textId="77777777" w:rsidR="00AD5798" w:rsidRPr="0054085A" w:rsidRDefault="00AD5798" w:rsidP="00F7257D">
            <w:pPr>
              <w:pStyle w:val="NormalWeb"/>
              <w:jc w:val="center"/>
              <w:rPr>
                <w:sz w:val="18"/>
                <w:szCs w:val="18"/>
              </w:rPr>
            </w:pPr>
            <w:r w:rsidRPr="0054085A">
              <w:rPr>
                <w:sz w:val="18"/>
                <w:szCs w:val="18"/>
              </w:rPr>
              <w:t>1 day after flight</w:t>
            </w:r>
          </w:p>
        </w:tc>
        <w:tc>
          <w:tcPr>
            <w:tcW w:w="1982" w:type="dxa"/>
            <w:hideMark/>
          </w:tcPr>
          <w:p w14:paraId="7E24B8D7" w14:textId="77777777" w:rsidR="00AD5798" w:rsidRPr="0054085A" w:rsidRDefault="00AD5798" w:rsidP="00F7257D">
            <w:pPr>
              <w:pStyle w:val="NormalWeb"/>
              <w:jc w:val="center"/>
              <w:rPr>
                <w:sz w:val="18"/>
                <w:szCs w:val="18"/>
              </w:rPr>
            </w:pPr>
            <w:r w:rsidRPr="0054085A">
              <w:rPr>
                <w:sz w:val="18"/>
                <w:szCs w:val="18"/>
              </w:rPr>
              <w:t>5</w:t>
            </w:r>
          </w:p>
        </w:tc>
        <w:tc>
          <w:tcPr>
            <w:tcW w:w="1982" w:type="dxa"/>
            <w:hideMark/>
          </w:tcPr>
          <w:p w14:paraId="61D41DCB" w14:textId="77777777" w:rsidR="00AD5798" w:rsidRPr="0054085A" w:rsidRDefault="00AD5798" w:rsidP="00F7257D">
            <w:pPr>
              <w:pStyle w:val="NormalWeb"/>
              <w:jc w:val="center"/>
              <w:rPr>
                <w:sz w:val="18"/>
                <w:szCs w:val="18"/>
              </w:rPr>
            </w:pPr>
            <w:r w:rsidRPr="0054085A">
              <w:rPr>
                <w:sz w:val="18"/>
                <w:szCs w:val="18"/>
              </w:rPr>
              <w:t>1</w:t>
            </w:r>
          </w:p>
        </w:tc>
        <w:tc>
          <w:tcPr>
            <w:tcW w:w="1982" w:type="dxa"/>
            <w:hideMark/>
          </w:tcPr>
          <w:p w14:paraId="2187E12B" w14:textId="77777777" w:rsidR="00AD5798" w:rsidRPr="0054085A" w:rsidRDefault="00AD5798" w:rsidP="00F7257D">
            <w:pPr>
              <w:pStyle w:val="NormalWeb"/>
              <w:jc w:val="center"/>
              <w:rPr>
                <w:sz w:val="18"/>
                <w:szCs w:val="18"/>
              </w:rPr>
            </w:pPr>
            <w:r w:rsidRPr="0054085A">
              <w:rPr>
                <w:sz w:val="18"/>
                <w:szCs w:val="18"/>
              </w:rPr>
              <w:t>0</w:t>
            </w:r>
          </w:p>
        </w:tc>
      </w:tr>
      <w:tr w:rsidR="00AD5798" w:rsidRPr="0054085A" w14:paraId="794D2186" w14:textId="77777777" w:rsidTr="00AC43D2">
        <w:trPr>
          <w:cnfStyle w:val="000000010000" w:firstRow="0" w:lastRow="0" w:firstColumn="0" w:lastColumn="0" w:oddVBand="0" w:evenVBand="0" w:oddHBand="0" w:evenHBand="1" w:firstRowFirstColumn="0" w:firstRowLastColumn="0" w:lastRowFirstColumn="0" w:lastRowLastColumn="0"/>
        </w:trPr>
        <w:tc>
          <w:tcPr>
            <w:tcW w:w="0" w:type="auto"/>
            <w:hideMark/>
          </w:tcPr>
          <w:p w14:paraId="511B1388" w14:textId="77777777" w:rsidR="00AD5798" w:rsidRPr="0054085A" w:rsidRDefault="00AD5798">
            <w:pPr>
              <w:pStyle w:val="NormalWeb"/>
              <w:rPr>
                <w:sz w:val="18"/>
                <w:szCs w:val="18"/>
              </w:rPr>
            </w:pPr>
            <w:r w:rsidRPr="0054085A">
              <w:rPr>
                <w:sz w:val="18"/>
                <w:szCs w:val="18"/>
              </w:rPr>
              <w:t>N</w:t>
            </w:r>
          </w:p>
        </w:tc>
        <w:tc>
          <w:tcPr>
            <w:tcW w:w="1982" w:type="dxa"/>
            <w:hideMark/>
          </w:tcPr>
          <w:p w14:paraId="16C926E5" w14:textId="77777777" w:rsidR="00AD5798" w:rsidRPr="0054085A" w:rsidRDefault="00AD5798" w:rsidP="00F7257D">
            <w:pPr>
              <w:pStyle w:val="NormalWeb"/>
              <w:jc w:val="center"/>
              <w:rPr>
                <w:sz w:val="18"/>
                <w:szCs w:val="18"/>
              </w:rPr>
            </w:pPr>
            <w:r w:rsidRPr="0054085A">
              <w:rPr>
                <w:sz w:val="18"/>
                <w:szCs w:val="18"/>
              </w:rPr>
              <w:t>04:00</w:t>
            </w:r>
          </w:p>
        </w:tc>
        <w:tc>
          <w:tcPr>
            <w:tcW w:w="1982" w:type="dxa"/>
            <w:hideMark/>
          </w:tcPr>
          <w:p w14:paraId="3DE5D48A" w14:textId="77777777" w:rsidR="00AD5798" w:rsidRPr="0054085A" w:rsidRDefault="00AD5798" w:rsidP="00F7257D">
            <w:pPr>
              <w:pStyle w:val="NormalWeb"/>
              <w:jc w:val="center"/>
              <w:rPr>
                <w:sz w:val="18"/>
                <w:szCs w:val="18"/>
              </w:rPr>
            </w:pPr>
            <w:r w:rsidRPr="0054085A">
              <w:rPr>
                <w:sz w:val="18"/>
                <w:szCs w:val="18"/>
              </w:rPr>
              <w:t>1 day after flight</w:t>
            </w:r>
          </w:p>
        </w:tc>
        <w:tc>
          <w:tcPr>
            <w:tcW w:w="1982" w:type="dxa"/>
            <w:hideMark/>
          </w:tcPr>
          <w:p w14:paraId="35179890" w14:textId="77777777" w:rsidR="00AD5798" w:rsidRPr="0054085A" w:rsidRDefault="00AD5798" w:rsidP="00F7257D">
            <w:pPr>
              <w:pStyle w:val="NormalWeb"/>
              <w:jc w:val="center"/>
              <w:rPr>
                <w:sz w:val="18"/>
                <w:szCs w:val="18"/>
              </w:rPr>
            </w:pPr>
            <w:r w:rsidRPr="0054085A">
              <w:rPr>
                <w:sz w:val="18"/>
                <w:szCs w:val="18"/>
              </w:rPr>
              <w:t>5</w:t>
            </w:r>
          </w:p>
        </w:tc>
        <w:tc>
          <w:tcPr>
            <w:tcW w:w="1982" w:type="dxa"/>
            <w:hideMark/>
          </w:tcPr>
          <w:p w14:paraId="65448B66" w14:textId="77777777" w:rsidR="00AD5798" w:rsidRPr="0054085A" w:rsidRDefault="00AD5798" w:rsidP="00F7257D">
            <w:pPr>
              <w:pStyle w:val="NormalWeb"/>
              <w:jc w:val="center"/>
              <w:rPr>
                <w:sz w:val="18"/>
                <w:szCs w:val="18"/>
              </w:rPr>
            </w:pPr>
            <w:r w:rsidRPr="0054085A">
              <w:rPr>
                <w:sz w:val="18"/>
                <w:szCs w:val="18"/>
              </w:rPr>
              <w:t>1</w:t>
            </w:r>
          </w:p>
        </w:tc>
        <w:tc>
          <w:tcPr>
            <w:tcW w:w="1982" w:type="dxa"/>
            <w:hideMark/>
          </w:tcPr>
          <w:p w14:paraId="11A4C603" w14:textId="77777777" w:rsidR="00AD5798" w:rsidRPr="0054085A" w:rsidRDefault="00AD5798" w:rsidP="00F7257D">
            <w:pPr>
              <w:pStyle w:val="NormalWeb"/>
              <w:jc w:val="center"/>
              <w:rPr>
                <w:sz w:val="18"/>
                <w:szCs w:val="18"/>
              </w:rPr>
            </w:pPr>
            <w:r w:rsidRPr="0054085A">
              <w:rPr>
                <w:sz w:val="18"/>
                <w:szCs w:val="18"/>
              </w:rPr>
              <w:t>1</w:t>
            </w:r>
          </w:p>
        </w:tc>
      </w:tr>
      <w:tr w:rsidR="00AD5798" w:rsidRPr="00DD2A12" w14:paraId="1A19BAE8" w14:textId="77777777" w:rsidTr="00DD2A12">
        <w:tc>
          <w:tcPr>
            <w:tcW w:w="0" w:type="auto"/>
            <w:shd w:val="clear" w:color="auto" w:fill="FDE9D9" w:themeFill="accent6" w:themeFillTint="33"/>
            <w:hideMark/>
          </w:tcPr>
          <w:p w14:paraId="1F0C19FA" w14:textId="77777777" w:rsidR="00AD5798" w:rsidRPr="00DD2A12" w:rsidRDefault="00AD5798">
            <w:pPr>
              <w:rPr>
                <w:b/>
                <w:sz w:val="18"/>
                <w:szCs w:val="18"/>
              </w:rPr>
            </w:pPr>
          </w:p>
        </w:tc>
        <w:tc>
          <w:tcPr>
            <w:tcW w:w="1982" w:type="dxa"/>
            <w:shd w:val="clear" w:color="auto" w:fill="FDE9D9" w:themeFill="accent6" w:themeFillTint="33"/>
            <w:hideMark/>
          </w:tcPr>
          <w:p w14:paraId="2E4D4EE2" w14:textId="77777777" w:rsidR="00AD5798" w:rsidRPr="00DD2A12" w:rsidRDefault="00AD5798" w:rsidP="00F7257D">
            <w:pPr>
              <w:jc w:val="center"/>
              <w:rPr>
                <w:rFonts w:eastAsia="Times New Roman"/>
                <w:b/>
                <w:sz w:val="18"/>
                <w:szCs w:val="18"/>
              </w:rPr>
            </w:pPr>
          </w:p>
        </w:tc>
        <w:tc>
          <w:tcPr>
            <w:tcW w:w="1982" w:type="dxa"/>
            <w:shd w:val="clear" w:color="auto" w:fill="FDE9D9" w:themeFill="accent6" w:themeFillTint="33"/>
            <w:hideMark/>
          </w:tcPr>
          <w:p w14:paraId="66D7FD61" w14:textId="77777777" w:rsidR="00AD5798" w:rsidRPr="00DD2A12" w:rsidRDefault="00AD5798" w:rsidP="00F7257D">
            <w:pPr>
              <w:jc w:val="center"/>
              <w:rPr>
                <w:rFonts w:eastAsia="Times New Roman"/>
                <w:b/>
                <w:sz w:val="18"/>
                <w:szCs w:val="18"/>
              </w:rPr>
            </w:pPr>
          </w:p>
        </w:tc>
        <w:tc>
          <w:tcPr>
            <w:tcW w:w="1982" w:type="dxa"/>
            <w:shd w:val="clear" w:color="auto" w:fill="FDE9D9" w:themeFill="accent6" w:themeFillTint="33"/>
            <w:hideMark/>
          </w:tcPr>
          <w:p w14:paraId="072064CF" w14:textId="77777777" w:rsidR="00AD5798" w:rsidRPr="00DD2A12" w:rsidRDefault="00AD5798" w:rsidP="00F7257D">
            <w:pPr>
              <w:pStyle w:val="NormalWeb"/>
              <w:jc w:val="center"/>
              <w:rPr>
                <w:b/>
                <w:sz w:val="18"/>
                <w:szCs w:val="18"/>
              </w:rPr>
            </w:pPr>
            <w:r w:rsidRPr="00DD2A12">
              <w:rPr>
                <w:b/>
                <w:sz w:val="18"/>
                <w:szCs w:val="18"/>
              </w:rPr>
              <w:t>131</w:t>
            </w:r>
          </w:p>
        </w:tc>
        <w:tc>
          <w:tcPr>
            <w:tcW w:w="1982" w:type="dxa"/>
            <w:shd w:val="clear" w:color="auto" w:fill="FDE9D9" w:themeFill="accent6" w:themeFillTint="33"/>
            <w:hideMark/>
          </w:tcPr>
          <w:p w14:paraId="00C80244" w14:textId="77777777" w:rsidR="00AD5798" w:rsidRPr="00DD2A12" w:rsidRDefault="00AD5798" w:rsidP="00F7257D">
            <w:pPr>
              <w:pStyle w:val="NormalWeb"/>
              <w:jc w:val="center"/>
              <w:rPr>
                <w:b/>
                <w:sz w:val="18"/>
                <w:szCs w:val="18"/>
              </w:rPr>
            </w:pPr>
            <w:r w:rsidRPr="00DD2A12">
              <w:rPr>
                <w:b/>
                <w:sz w:val="18"/>
                <w:szCs w:val="18"/>
              </w:rPr>
              <w:t>16</w:t>
            </w:r>
          </w:p>
        </w:tc>
        <w:tc>
          <w:tcPr>
            <w:tcW w:w="1982" w:type="dxa"/>
            <w:shd w:val="clear" w:color="auto" w:fill="FDE9D9" w:themeFill="accent6" w:themeFillTint="33"/>
            <w:hideMark/>
          </w:tcPr>
          <w:p w14:paraId="140B8C80" w14:textId="77777777" w:rsidR="00AD5798" w:rsidRPr="00DD2A12" w:rsidRDefault="00AD5798" w:rsidP="00F7257D">
            <w:pPr>
              <w:pStyle w:val="NormalWeb"/>
              <w:jc w:val="center"/>
              <w:rPr>
                <w:b/>
                <w:sz w:val="18"/>
                <w:szCs w:val="18"/>
              </w:rPr>
            </w:pPr>
            <w:r w:rsidRPr="00DD2A12">
              <w:rPr>
                <w:b/>
                <w:sz w:val="18"/>
                <w:szCs w:val="18"/>
              </w:rPr>
              <w:t>7</w:t>
            </w:r>
          </w:p>
        </w:tc>
      </w:tr>
    </w:tbl>
    <w:p w14:paraId="6824224B" w14:textId="77777777" w:rsidR="00DD2A12" w:rsidRDefault="00DD2A12" w:rsidP="00C9588C"/>
    <w:p w14:paraId="4D448ECB" w14:textId="77777777" w:rsidR="00AD5798" w:rsidRDefault="00AD5798" w:rsidP="00C9588C">
      <w:r>
        <w:lastRenderedPageBreak/>
        <w:t>Of the 445 contacts monitored in the NT, 80 (18%) developed symptoms and had swabs collected for COVID-19 testing. Only 4 were positive. Of the 46 close contacts from cruise ships that were monitored in the NT, 2 (4.3%; 95% CI 0.5–14.8%) became cases. These two cases boarded a flight while infectious after disembarking a cruise ship with known on-board transmission; however, they did not transmit disease to 21 close aircraft contacts or 1 household contact. They were telephoned by the NT CDC 2 days after arriving back to the NT and diagnosed with COVID-19 on the same day. There were 2/51 household close contacts monitored in the NT who became cases (3.9%; 95% CI 0.5–13.5%). Both were household contacts of the same case who returned from overseas. It cannot be determined whether both were co-exposed to the initial case in the household or whether 2 separate transmission events occurred in the household of 12 persons (Figure 3).</w:t>
      </w:r>
    </w:p>
    <w:p w14:paraId="5A26E759" w14:textId="77777777" w:rsidR="00AD5798" w:rsidRDefault="00AD5798" w:rsidP="00C9588C">
      <w:pPr>
        <w:pStyle w:val="CDIFigures"/>
      </w:pPr>
      <w:r>
        <w:t>Figure 3. Diagram showing transmission of COVID-19 within one household of 12 persons in the Northern Territory, March–April 2020</w:t>
      </w:r>
    </w:p>
    <w:p w14:paraId="218626DD" w14:textId="77777777" w:rsidR="00AD5798" w:rsidRDefault="00AD5798" w:rsidP="00386EE3">
      <w:pPr>
        <w:jc w:val="center"/>
        <w:rPr>
          <w:rFonts w:eastAsia="Times New Roman"/>
        </w:rPr>
      </w:pPr>
      <w:r>
        <w:rPr>
          <w:rFonts w:eastAsia="Times New Roman"/>
          <w:noProof/>
        </w:rPr>
        <w:drawing>
          <wp:inline distT="0" distB="0" distL="0" distR="0" wp14:anchorId="79A31AC1" wp14:editId="1874D136">
            <wp:extent cx="4428698" cy="2787999"/>
            <wp:effectExtent l="0" t="0" r="0" b="0"/>
            <wp:docPr id="3" name="Picture 3" descr="Figure 3. Diagram showing transmission of COVID-19 within one household of 12 persons in the Northern Territory, March–April 2019.&#10;&#10;Figure 3 shows the possible transmission chain of COVID-19 within one household of 12 persons in the Northern Territory in March/April 2020. A returned traveller to the household (Case 1) was diagnosed with COVID-19. Two subsequent cases of COVID-19 occurred in the household of 12 people; Case 2 had an onset of symptoms 5 days after last contact with Case 1; Case 3 had an onset 7 days after last contact with Case 1, and 3 days after the onset of symptoms of Case 2. The figure shows that Case 3 may have acquired their infection from either Case 1 or Case 2 and that there was no spread to the other 9 household member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3. Diagram showing transmission of COVID-19 within one household of 12 persons in the Northern Territory, March–April 2019.&#10;&#10;Figure 3 shows the possible transmission chain of COVID-19 within one household of 12 persons in the Northern Territory in March/April 2020. A returned traveller to the household (Case 1) was diagnosed with COVID-19. Two subsequent cases of COVID-19 occurred in the household of 12 people; Case 2 had an onset of symptoms 5 days after last contact with Case 1; Case 3 had an onset 7 days after last contact with Case 1, and 3 days after the onset of symptoms of Case 2. The figure shows that Case 3 may have acquired their infection from either Case 1 or Case 2 and that there was no spread to the other 9 household members. &#10;"/>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434316" cy="2791535"/>
                    </a:xfrm>
                    <a:prstGeom prst="rect">
                      <a:avLst/>
                    </a:prstGeom>
                  </pic:spPr>
                </pic:pic>
              </a:graphicData>
            </a:graphic>
          </wp:inline>
        </w:drawing>
      </w:r>
    </w:p>
    <w:p w14:paraId="328DA47C" w14:textId="77777777" w:rsidR="00AD5798" w:rsidRPr="00C9588C" w:rsidRDefault="00AD5798" w:rsidP="00C9588C">
      <w:pPr>
        <w:pStyle w:val="Heading1"/>
      </w:pPr>
      <w:r w:rsidRPr="00C9588C">
        <w:t xml:space="preserve">Discussion </w:t>
      </w:r>
    </w:p>
    <w:p w14:paraId="7EEBE55C" w14:textId="77777777" w:rsidR="00AD5798" w:rsidRDefault="00AD5798" w:rsidP="00C9588C">
      <w:r>
        <w:t xml:space="preserve">We describe our experience in contact tracing in the early phase of the COVID-19 pandemic. We detected transmission of COVID-19 to household contacts and close contacts from a cruise ship with known on-board transmission. However, we did not observe inflight transmission of COVID-19 to 326 close contacts on flights. </w:t>
      </w:r>
    </w:p>
    <w:p w14:paraId="3ACB0317" w14:textId="77777777" w:rsidR="00AD5798" w:rsidRDefault="00AD5798" w:rsidP="00C9588C">
      <w:r>
        <w:t>With commercial aviation now beginning to resume regular flights, the issue of inflight transmission is pertinent. Some reports have suggested inflight transmission of SARS-CoV-2;</w:t>
      </w:r>
      <w:r>
        <w:rPr>
          <w:vertAlign w:val="superscript"/>
        </w:rPr>
        <w:t>11,12</w:t>
      </w:r>
      <w:r>
        <w:t xml:space="preserve"> for SARS-</w:t>
      </w:r>
      <w:proofErr w:type="spellStart"/>
      <w:r>
        <w:t>CoV</w:t>
      </w:r>
      <w:proofErr w:type="spellEnd"/>
      <w:r>
        <w:t>, some studies have reported inflight transmission and others not.</w:t>
      </w:r>
      <w:r>
        <w:rPr>
          <w:vertAlign w:val="superscript"/>
        </w:rPr>
        <w:t>13,14,</w:t>
      </w:r>
      <w:proofErr w:type="gramStart"/>
      <w:r>
        <w:rPr>
          <w:vertAlign w:val="superscript"/>
        </w:rPr>
        <w:t>15</w:t>
      </w:r>
      <w:proofErr w:type="gramEnd"/>
      <w:r>
        <w:rPr>
          <w:vertAlign w:val="superscript"/>
        </w:rPr>
        <w:t xml:space="preserve"> </w:t>
      </w:r>
    </w:p>
    <w:p w14:paraId="19426F30" w14:textId="77777777" w:rsidR="00AD5798" w:rsidRDefault="00AD5798" w:rsidP="00C9588C">
      <w:r>
        <w:t xml:space="preserve">With our contact tracing, the number of contacts undergoing daily monitoring fluctuated greatly; at one point all passengers from 2 flights needed to be rapidly placed into quarantine. It is important, particularly in smaller jurisdictions, to have surge capacity in the workforce to prevent delays in this process, in order to reduce the risk of community transmission of COVID-19. </w:t>
      </w:r>
    </w:p>
    <w:p w14:paraId="24B03225" w14:textId="77777777" w:rsidR="00DD2A12" w:rsidRDefault="00DD2A12">
      <w:pPr>
        <w:rPr>
          <w:rFonts w:asciiTheme="majorHAnsi" w:eastAsiaTheme="majorEastAsia" w:hAnsiTheme="majorHAnsi" w:cstheme="majorBidi"/>
          <w:b/>
          <w:bCs/>
          <w:sz w:val="32"/>
          <w:szCs w:val="28"/>
        </w:rPr>
      </w:pPr>
      <w:r>
        <w:br w:type="page"/>
      </w:r>
    </w:p>
    <w:p w14:paraId="168087A4" w14:textId="77777777" w:rsidR="00AD5798" w:rsidRPr="00C9588C" w:rsidRDefault="00AD5798" w:rsidP="00C9588C">
      <w:pPr>
        <w:pStyle w:val="Heading1"/>
      </w:pPr>
      <w:r w:rsidRPr="00C9588C">
        <w:lastRenderedPageBreak/>
        <w:t xml:space="preserve">Acknowledgements </w:t>
      </w:r>
    </w:p>
    <w:p w14:paraId="5BE05C05" w14:textId="77777777" w:rsidR="00AD5798" w:rsidRDefault="00AD5798" w:rsidP="00C9588C">
      <w:r>
        <w:t xml:space="preserve">We acknowledge contact tracing staff at the Northern Territory Public Health Unit, Top End Health Services and the Australian Defence Force personnel who provided much-needed assistance. We acknowledge the staff at the NIR and the staff at the airlines for providing passenger manifests to us. We also acknowledge the close contacts who were quarantined and thank them for their cooperation. </w:t>
      </w:r>
    </w:p>
    <w:p w14:paraId="4937038F" w14:textId="77777777" w:rsidR="00AD5798" w:rsidRPr="00C9588C" w:rsidRDefault="00AD5798" w:rsidP="00C9588C">
      <w:pPr>
        <w:pStyle w:val="Heading1"/>
      </w:pPr>
      <w:r w:rsidRPr="00C9588C">
        <w:t xml:space="preserve">Author details </w:t>
      </w:r>
    </w:p>
    <w:p w14:paraId="5E905353" w14:textId="77777777" w:rsidR="00DD2A12" w:rsidRDefault="00AD5798" w:rsidP="00CF5220">
      <w:pPr>
        <w:pStyle w:val="NoSpacing"/>
        <w:rPr>
          <w:vertAlign w:val="superscript"/>
        </w:rPr>
      </w:pPr>
      <w:r>
        <w:t>Anthony DK Draper</w:t>
      </w:r>
      <w:r>
        <w:rPr>
          <w:vertAlign w:val="superscript"/>
        </w:rPr>
        <w:t xml:space="preserve">1,2 </w:t>
      </w:r>
    </w:p>
    <w:p w14:paraId="61D970D7" w14:textId="77777777" w:rsidR="00DD2A12" w:rsidRDefault="00AD5798" w:rsidP="00CF5220">
      <w:pPr>
        <w:pStyle w:val="NoSpacing"/>
        <w:rPr>
          <w:vertAlign w:val="superscript"/>
        </w:rPr>
      </w:pPr>
      <w:r>
        <w:t>Karen E Dempsey</w:t>
      </w:r>
      <w:r>
        <w:rPr>
          <w:vertAlign w:val="superscript"/>
        </w:rPr>
        <w:t xml:space="preserve">1,2 </w:t>
      </w:r>
    </w:p>
    <w:p w14:paraId="6DCAD234" w14:textId="77777777" w:rsidR="00DD2A12" w:rsidRDefault="00AD5798" w:rsidP="00CF5220">
      <w:pPr>
        <w:pStyle w:val="NoSpacing"/>
        <w:rPr>
          <w:vertAlign w:val="superscript"/>
        </w:rPr>
      </w:pPr>
      <w:r>
        <w:t>Rowena H Boyd</w:t>
      </w:r>
      <w:r>
        <w:rPr>
          <w:vertAlign w:val="superscript"/>
        </w:rPr>
        <w:t xml:space="preserve">1 </w:t>
      </w:r>
    </w:p>
    <w:p w14:paraId="18EEF686" w14:textId="77777777" w:rsidR="00DD2A12" w:rsidRDefault="00AD5798" w:rsidP="00CF5220">
      <w:pPr>
        <w:pStyle w:val="NoSpacing"/>
        <w:rPr>
          <w:vertAlign w:val="superscript"/>
        </w:rPr>
      </w:pPr>
      <w:r>
        <w:t>Emma M Childs</w:t>
      </w:r>
      <w:r>
        <w:rPr>
          <w:vertAlign w:val="superscript"/>
        </w:rPr>
        <w:t xml:space="preserve">1 </w:t>
      </w:r>
    </w:p>
    <w:p w14:paraId="2274403C" w14:textId="77777777" w:rsidR="00DD2A12" w:rsidRDefault="00AD5798" w:rsidP="00CF5220">
      <w:pPr>
        <w:pStyle w:val="NoSpacing"/>
        <w:rPr>
          <w:vertAlign w:val="superscript"/>
        </w:rPr>
      </w:pPr>
      <w:r>
        <w:t>Hayley M Black</w:t>
      </w:r>
      <w:r>
        <w:rPr>
          <w:vertAlign w:val="superscript"/>
        </w:rPr>
        <w:t xml:space="preserve">1 </w:t>
      </w:r>
    </w:p>
    <w:p w14:paraId="60D0F132" w14:textId="77777777" w:rsidR="00DD2A12" w:rsidRDefault="00AD5798" w:rsidP="00CF5220">
      <w:pPr>
        <w:pStyle w:val="NoSpacing"/>
        <w:rPr>
          <w:vertAlign w:val="superscript"/>
        </w:rPr>
      </w:pPr>
      <w:r>
        <w:t>Laura A Francis</w:t>
      </w:r>
      <w:r>
        <w:rPr>
          <w:vertAlign w:val="superscript"/>
        </w:rPr>
        <w:t xml:space="preserve">1 </w:t>
      </w:r>
    </w:p>
    <w:p w14:paraId="4AC1FC3B" w14:textId="77777777" w:rsidR="00DD2A12" w:rsidRDefault="00AD5798" w:rsidP="00CF5220">
      <w:pPr>
        <w:pStyle w:val="NoSpacing"/>
        <w:rPr>
          <w:vertAlign w:val="superscript"/>
        </w:rPr>
      </w:pPr>
      <w:r>
        <w:t>Peter G Markey</w:t>
      </w:r>
      <w:r>
        <w:rPr>
          <w:vertAlign w:val="superscript"/>
        </w:rPr>
        <w:t xml:space="preserve">1 </w:t>
      </w:r>
    </w:p>
    <w:p w14:paraId="0EF640F3" w14:textId="77777777" w:rsidR="00AD5798" w:rsidRDefault="00AD5798" w:rsidP="00CF5220">
      <w:pPr>
        <w:pStyle w:val="NoSpacing"/>
      </w:pPr>
      <w:r>
        <w:t>Vicki L Krause</w:t>
      </w:r>
      <w:r>
        <w:rPr>
          <w:vertAlign w:val="superscript"/>
        </w:rPr>
        <w:t xml:space="preserve">1 </w:t>
      </w:r>
    </w:p>
    <w:p w14:paraId="182651C4" w14:textId="77777777" w:rsidR="00AD5798" w:rsidRPr="00C9588C" w:rsidRDefault="00AD5798" w:rsidP="00C9588C">
      <w:pPr>
        <w:pStyle w:val="ListParagraph"/>
        <w:numPr>
          <w:ilvl w:val="0"/>
          <w:numId w:val="9"/>
        </w:numPr>
        <w:rPr>
          <w:rFonts w:eastAsia="Times New Roman"/>
        </w:rPr>
      </w:pPr>
      <w:r w:rsidRPr="00C9588C">
        <w:rPr>
          <w:rFonts w:eastAsia="Times New Roman"/>
        </w:rPr>
        <w:t xml:space="preserve">Centre for Disease Control, Public Health Unit, Top End Health Service, Northern Territory Government Department of Health, Darwin, Northern Territory, Australia. </w:t>
      </w:r>
    </w:p>
    <w:p w14:paraId="111B9B7B" w14:textId="77777777" w:rsidR="00AD5798" w:rsidRPr="00C9588C" w:rsidRDefault="00AD5798" w:rsidP="00C9588C">
      <w:pPr>
        <w:pStyle w:val="ListParagraph"/>
        <w:numPr>
          <w:ilvl w:val="0"/>
          <w:numId w:val="9"/>
        </w:numPr>
        <w:rPr>
          <w:rFonts w:eastAsia="Times New Roman"/>
        </w:rPr>
      </w:pPr>
      <w:r w:rsidRPr="00C9588C">
        <w:rPr>
          <w:rFonts w:eastAsia="Times New Roman"/>
        </w:rPr>
        <w:t xml:space="preserve">Menzies School of Health Research, Darwin, Northern Territory, Australia. </w:t>
      </w:r>
    </w:p>
    <w:p w14:paraId="6B2877E7" w14:textId="77777777" w:rsidR="00AD5798" w:rsidRPr="00C9588C" w:rsidRDefault="00AD5798" w:rsidP="00C9588C">
      <w:pPr>
        <w:pStyle w:val="Heading2"/>
      </w:pPr>
      <w:r w:rsidRPr="00C9588C">
        <w:t xml:space="preserve">Corresponding author </w:t>
      </w:r>
    </w:p>
    <w:p w14:paraId="0A8CB7EE" w14:textId="77777777" w:rsidR="00DD2A12" w:rsidRDefault="00AD5798" w:rsidP="00CF5220">
      <w:pPr>
        <w:pStyle w:val="NoSpacing"/>
      </w:pPr>
      <w:r>
        <w:t xml:space="preserve">Anthony Draper </w:t>
      </w:r>
    </w:p>
    <w:p w14:paraId="5378E539" w14:textId="77777777" w:rsidR="00DD2A12" w:rsidRDefault="00AD5798" w:rsidP="00CF5220">
      <w:pPr>
        <w:pStyle w:val="NoSpacing"/>
      </w:pPr>
      <w:r>
        <w:t xml:space="preserve">Centre for Disease Control, Public Health Unit, Top End Health Service, Northern Territory Government Department of Health, PO Box 45096, Casuarina NT 0811. </w:t>
      </w:r>
    </w:p>
    <w:p w14:paraId="5FFEABA6" w14:textId="77777777" w:rsidR="00DD2A12" w:rsidRDefault="00AD5798" w:rsidP="00CF5220">
      <w:pPr>
        <w:pStyle w:val="NoSpacing"/>
      </w:pPr>
      <w:r>
        <w:t xml:space="preserve">Telephone: +61 8 8922 7635 </w:t>
      </w:r>
    </w:p>
    <w:p w14:paraId="480BE761" w14:textId="77777777" w:rsidR="00DD2A12" w:rsidRDefault="00AD5798" w:rsidP="00CF5220">
      <w:pPr>
        <w:pStyle w:val="NoSpacing"/>
      </w:pPr>
      <w:r>
        <w:t xml:space="preserve">Facsimile: +61 8 8922 8310 </w:t>
      </w:r>
    </w:p>
    <w:p w14:paraId="0BB8598B" w14:textId="77777777" w:rsidR="00AD5798" w:rsidRDefault="00AD5798" w:rsidP="00CF5220">
      <w:pPr>
        <w:pStyle w:val="NoSpacing"/>
      </w:pPr>
      <w:r>
        <w:t xml:space="preserve">Email: anthony.draper@nt.gov.au. </w:t>
      </w:r>
    </w:p>
    <w:p w14:paraId="3A4FF327" w14:textId="77777777" w:rsidR="00AD5798" w:rsidRPr="00C9588C" w:rsidRDefault="00AD5798" w:rsidP="00C9588C">
      <w:pPr>
        <w:pStyle w:val="Heading1"/>
      </w:pPr>
      <w:r w:rsidRPr="00C9588C">
        <w:t xml:space="preserve">References </w:t>
      </w:r>
    </w:p>
    <w:p w14:paraId="282FE7DA" w14:textId="77777777" w:rsidR="00AD5798" w:rsidRDefault="00AD5798" w:rsidP="00AD5798">
      <w:pPr>
        <w:numPr>
          <w:ilvl w:val="0"/>
          <w:numId w:val="8"/>
        </w:numPr>
        <w:spacing w:before="100" w:beforeAutospacing="1" w:after="100" w:afterAutospacing="1" w:line="240" w:lineRule="auto"/>
        <w:rPr>
          <w:rFonts w:eastAsia="Times New Roman"/>
        </w:rPr>
      </w:pPr>
      <w:r>
        <w:rPr>
          <w:rFonts w:eastAsia="Times New Roman"/>
        </w:rPr>
        <w:t xml:space="preserve">World Health Organization (WHO). Emergencies preparedness, response. Pneumonia of unknown cause – China. [Internet.] Geneva: WHO; 5 January 2020. Available from: https://www.who.int/csr/don/05-january-2020-pneumonia-of-unkown-cause-china/en/. </w:t>
      </w:r>
    </w:p>
    <w:p w14:paraId="50DE5103" w14:textId="77777777" w:rsidR="00AD5798" w:rsidRDefault="00AD5798" w:rsidP="00AD5798">
      <w:pPr>
        <w:numPr>
          <w:ilvl w:val="0"/>
          <w:numId w:val="8"/>
        </w:numPr>
        <w:spacing w:before="100" w:beforeAutospacing="1" w:after="100" w:afterAutospacing="1" w:line="240" w:lineRule="auto"/>
        <w:rPr>
          <w:rFonts w:eastAsia="Times New Roman"/>
        </w:rPr>
      </w:pPr>
      <w:r>
        <w:rPr>
          <w:rFonts w:eastAsia="Times New Roman"/>
        </w:rPr>
        <w:t xml:space="preserve">WHO. Emergencies preparedness, response. Novel coronavirus – China. [Internet.] Geneva: WHO; 12 January 2020. Available from: https://www.who.int/csr/don/12-january-2020-novel-coronavirus-china/en/. </w:t>
      </w:r>
    </w:p>
    <w:p w14:paraId="7BD6D07B" w14:textId="77777777" w:rsidR="00AD5798" w:rsidRDefault="00AD5798" w:rsidP="00AD5798">
      <w:pPr>
        <w:numPr>
          <w:ilvl w:val="0"/>
          <w:numId w:val="8"/>
        </w:numPr>
        <w:spacing w:before="100" w:beforeAutospacing="1" w:after="100" w:afterAutospacing="1" w:line="240" w:lineRule="auto"/>
        <w:rPr>
          <w:rFonts w:eastAsia="Times New Roman"/>
        </w:rPr>
      </w:pPr>
      <w:r>
        <w:rPr>
          <w:rFonts w:eastAsia="Times New Roman"/>
        </w:rPr>
        <w:t xml:space="preserve">WHO. Naming the coronavirus disease (COVID-19) and the virus that causes it. [Internet.] Geneva: WHO; 11 February 2020. Available from: https://www.who.int/emergencies/diseases/novel-coronavirus-2019/technical-guidance/naming-the-coronavirus-disease-(covid-2019)-and-the-virus-that-causes-it. </w:t>
      </w:r>
    </w:p>
    <w:p w14:paraId="7B08EA34" w14:textId="77777777" w:rsidR="00AD5798" w:rsidRDefault="00AD5798" w:rsidP="00AD5798">
      <w:pPr>
        <w:numPr>
          <w:ilvl w:val="0"/>
          <w:numId w:val="8"/>
        </w:numPr>
        <w:spacing w:before="100" w:beforeAutospacing="1" w:after="100" w:afterAutospacing="1" w:line="240" w:lineRule="auto"/>
        <w:rPr>
          <w:rFonts w:eastAsia="Times New Roman"/>
        </w:rPr>
      </w:pPr>
      <w:r>
        <w:rPr>
          <w:rFonts w:eastAsia="Times New Roman"/>
        </w:rPr>
        <w:t xml:space="preserve">WHO. Speeches detail: WHO Director-General’s statement on IHR Emergency Committee on Novel Coronavirus (2019-nCoV). [Internet.] Geneva: WHO; 30 January 2020. Available from: https://www.who.int/dg/speeches/detail/who-director-general-s-statement-on-ihr-emergency-committee-on-novel-coronavirus-(2019-ncov). </w:t>
      </w:r>
    </w:p>
    <w:p w14:paraId="200DBFE8" w14:textId="77777777" w:rsidR="00AD5798" w:rsidRDefault="00AD5798" w:rsidP="00AD5798">
      <w:pPr>
        <w:numPr>
          <w:ilvl w:val="0"/>
          <w:numId w:val="8"/>
        </w:numPr>
        <w:spacing w:before="100" w:beforeAutospacing="1" w:after="100" w:afterAutospacing="1" w:line="240" w:lineRule="auto"/>
        <w:rPr>
          <w:rFonts w:eastAsia="Times New Roman"/>
        </w:rPr>
      </w:pPr>
      <w:r>
        <w:rPr>
          <w:rFonts w:eastAsia="Times New Roman"/>
        </w:rPr>
        <w:t xml:space="preserve">WHO. Speeches detail: WHO Director-General’s opening remarks at the media briefing on COVID-19 - 11 March 2020. [Internet.] Geneva: WHO; 11 March 2020. Available from: https://www.who.int/dg/speeches/detail/who-director-general-s-opening-remarks-at-the-media-briefing-on-covid-19---11-march-2020. </w:t>
      </w:r>
    </w:p>
    <w:p w14:paraId="4A87FA3A" w14:textId="77777777" w:rsidR="00AD5798" w:rsidRDefault="00AD5798" w:rsidP="00AD5798">
      <w:pPr>
        <w:numPr>
          <w:ilvl w:val="0"/>
          <w:numId w:val="8"/>
        </w:numPr>
        <w:spacing w:before="100" w:beforeAutospacing="1" w:after="100" w:afterAutospacing="1" w:line="240" w:lineRule="auto"/>
        <w:rPr>
          <w:rFonts w:eastAsia="Times New Roman"/>
        </w:rPr>
      </w:pPr>
      <w:r>
        <w:rPr>
          <w:rFonts w:eastAsia="Times New Roman"/>
        </w:rPr>
        <w:lastRenderedPageBreak/>
        <w:t xml:space="preserve">COVID-19 National Incident Room Surveillance Team. COVID-19, Australia: Epidemiology Report 15: Reporting week ending 23:59 AEST 10 May 2020. </w:t>
      </w:r>
      <w:r w:rsidRPr="00E974FF">
        <w:rPr>
          <w:rStyle w:val="Emphasis"/>
          <w:rFonts w:eastAsia="Times New Roman"/>
          <w:b w:val="0"/>
        </w:rPr>
        <w:t>Commun Dis Intell (2018)</w:t>
      </w:r>
      <w:r>
        <w:rPr>
          <w:rFonts w:eastAsia="Times New Roman"/>
        </w:rPr>
        <w:t xml:space="preserve">. 2020;44. doi: https://doi.org/10.33321/cdi.2020.44.43. </w:t>
      </w:r>
    </w:p>
    <w:p w14:paraId="5D975FD4" w14:textId="77777777" w:rsidR="00AD5798" w:rsidRDefault="00AD5798" w:rsidP="00AD5798">
      <w:pPr>
        <w:numPr>
          <w:ilvl w:val="0"/>
          <w:numId w:val="8"/>
        </w:numPr>
        <w:spacing w:before="100" w:beforeAutospacing="1" w:after="100" w:afterAutospacing="1" w:line="240" w:lineRule="auto"/>
        <w:rPr>
          <w:rFonts w:eastAsia="Times New Roman"/>
        </w:rPr>
      </w:pPr>
      <w:r>
        <w:rPr>
          <w:rFonts w:eastAsia="Times New Roman"/>
        </w:rPr>
        <w:t xml:space="preserve">Northern Territory Government. Declaration and notification of notifiable disease: novel coronavirus (2019-nCoV) infection. Northern Territory of Australia Government Gazette. No. S2, 6 February 2020. Available from: https://nt.gov.au/__data/assets/pdf_file/0007/792331/s2.pdf. </w:t>
      </w:r>
    </w:p>
    <w:p w14:paraId="13444347" w14:textId="77777777" w:rsidR="00AD5798" w:rsidRDefault="00AD5798" w:rsidP="00AD5798">
      <w:pPr>
        <w:numPr>
          <w:ilvl w:val="0"/>
          <w:numId w:val="8"/>
        </w:numPr>
        <w:spacing w:before="100" w:beforeAutospacing="1" w:after="100" w:afterAutospacing="1" w:line="240" w:lineRule="auto"/>
        <w:rPr>
          <w:rFonts w:eastAsia="Times New Roman"/>
        </w:rPr>
      </w:pPr>
      <w:r>
        <w:rPr>
          <w:rFonts w:eastAsia="Times New Roman"/>
        </w:rPr>
        <w:t xml:space="preserve">Northern Territory Government. Declaration of a public health emergency. Northern Territory of Australia Government Gazette. No. S10, 18 March 2020. Available from: https://nt.gov.au/__data/assets/pdf_file/0003/804018/s10.pdf. </w:t>
      </w:r>
    </w:p>
    <w:p w14:paraId="3CD5A68D" w14:textId="77777777" w:rsidR="00AD5798" w:rsidRDefault="00AD5798" w:rsidP="00AD5798">
      <w:pPr>
        <w:numPr>
          <w:ilvl w:val="0"/>
          <w:numId w:val="8"/>
        </w:numPr>
        <w:spacing w:before="100" w:beforeAutospacing="1" w:after="100" w:afterAutospacing="1" w:line="240" w:lineRule="auto"/>
        <w:rPr>
          <w:rFonts w:eastAsia="Times New Roman"/>
        </w:rPr>
      </w:pPr>
      <w:r>
        <w:rPr>
          <w:rFonts w:eastAsia="Times New Roman"/>
        </w:rPr>
        <w:t xml:space="preserve">Australian Government Department of Health. Coronavirus disease 2019 (COVID-19). CDNA National guidelines for public health units. [Internet.] Canberra: Australian Government Department of Health; 2020. Available from: https://www1.health.gov.au/internet/main/publishing.nsf/Content/cdna-song-novel-coronavirus.htm. </w:t>
      </w:r>
    </w:p>
    <w:p w14:paraId="6B634C0E" w14:textId="77777777" w:rsidR="00AD5798" w:rsidRDefault="00AD5798" w:rsidP="00AD5798">
      <w:pPr>
        <w:numPr>
          <w:ilvl w:val="0"/>
          <w:numId w:val="8"/>
        </w:numPr>
        <w:spacing w:before="100" w:beforeAutospacing="1" w:after="100" w:afterAutospacing="1" w:line="240" w:lineRule="auto"/>
        <w:rPr>
          <w:rFonts w:eastAsia="Times New Roman"/>
        </w:rPr>
      </w:pPr>
      <w:r w:rsidRPr="00E974FF">
        <w:rPr>
          <w:rStyle w:val="Emphasis"/>
          <w:rFonts w:eastAsia="Times New Roman"/>
          <w:b w:val="0"/>
        </w:rPr>
        <w:t>Northern Territory Public and Environmental Health Act 2011</w:t>
      </w:r>
      <w:r>
        <w:rPr>
          <w:rFonts w:eastAsia="Times New Roman"/>
        </w:rPr>
        <w:t xml:space="preserve">. Darwin: Northern Territory of Australia Government. Available from: https://legislation.nt.gov.au/en/Legislation/PUBLIC-AND-ENVIRONMENTAL-HEALTH-ACT-2011. </w:t>
      </w:r>
    </w:p>
    <w:p w14:paraId="5B69B74F" w14:textId="77777777" w:rsidR="00AD5798" w:rsidRDefault="00AD5798" w:rsidP="00AD5798">
      <w:pPr>
        <w:numPr>
          <w:ilvl w:val="0"/>
          <w:numId w:val="8"/>
        </w:numPr>
        <w:spacing w:before="100" w:beforeAutospacing="1" w:after="100" w:afterAutospacing="1" w:line="240" w:lineRule="auto"/>
        <w:rPr>
          <w:rFonts w:eastAsia="Times New Roman"/>
        </w:rPr>
      </w:pPr>
      <w:proofErr w:type="spellStart"/>
      <w:r>
        <w:rPr>
          <w:rFonts w:eastAsia="Times New Roman"/>
        </w:rPr>
        <w:t>Eldin</w:t>
      </w:r>
      <w:proofErr w:type="spellEnd"/>
      <w:r>
        <w:rPr>
          <w:rFonts w:eastAsia="Times New Roman"/>
        </w:rPr>
        <w:t xml:space="preserve"> C, </w:t>
      </w:r>
      <w:proofErr w:type="spellStart"/>
      <w:r>
        <w:rPr>
          <w:rFonts w:eastAsia="Times New Roman"/>
        </w:rPr>
        <w:t>Lagier</w:t>
      </w:r>
      <w:proofErr w:type="spellEnd"/>
      <w:r>
        <w:rPr>
          <w:rFonts w:eastAsia="Times New Roman"/>
        </w:rPr>
        <w:t xml:space="preserve"> JC, </w:t>
      </w:r>
      <w:proofErr w:type="spellStart"/>
      <w:r>
        <w:rPr>
          <w:rFonts w:eastAsia="Times New Roman"/>
        </w:rPr>
        <w:t>Mailhe</w:t>
      </w:r>
      <w:proofErr w:type="spellEnd"/>
      <w:r>
        <w:rPr>
          <w:rFonts w:eastAsia="Times New Roman"/>
        </w:rPr>
        <w:t xml:space="preserve"> M, </w:t>
      </w:r>
      <w:proofErr w:type="spellStart"/>
      <w:r>
        <w:rPr>
          <w:rFonts w:eastAsia="Times New Roman"/>
        </w:rPr>
        <w:t>Gaudret</w:t>
      </w:r>
      <w:proofErr w:type="spellEnd"/>
      <w:r>
        <w:rPr>
          <w:rFonts w:eastAsia="Times New Roman"/>
        </w:rPr>
        <w:t xml:space="preserve"> P. Probable aircraft transmission of Covid-19 in-flight from the Central African Republic to France. </w:t>
      </w:r>
      <w:r w:rsidRPr="00E974FF">
        <w:rPr>
          <w:rStyle w:val="Emphasis"/>
          <w:rFonts w:eastAsia="Times New Roman"/>
          <w:b w:val="0"/>
        </w:rPr>
        <w:t>Travel Med Infect Dis</w:t>
      </w:r>
      <w:r>
        <w:rPr>
          <w:rFonts w:eastAsia="Times New Roman"/>
        </w:rPr>
        <w:t xml:space="preserve">. 2020;101643. doi: https://doi.org/10.1016/j.tmaid.2020.101643. </w:t>
      </w:r>
    </w:p>
    <w:p w14:paraId="01AA4638" w14:textId="77777777" w:rsidR="00AD5798" w:rsidRDefault="00AD5798" w:rsidP="00AD5798">
      <w:pPr>
        <w:numPr>
          <w:ilvl w:val="0"/>
          <w:numId w:val="8"/>
        </w:numPr>
        <w:spacing w:before="100" w:beforeAutospacing="1" w:after="100" w:afterAutospacing="1" w:line="240" w:lineRule="auto"/>
        <w:rPr>
          <w:rFonts w:eastAsia="Times New Roman"/>
        </w:rPr>
      </w:pPr>
      <w:r>
        <w:rPr>
          <w:rFonts w:eastAsia="Times New Roman"/>
        </w:rPr>
        <w:t xml:space="preserve">Qian GQ, Yang NB, Ding F, Ma AHY, Wang ZY, Shen YF et al. Epidemiologic and clinical characteristics of 91 hospitalized patients with COVID-19 in Zhejiang, China: a retrospective, multi-centre case series. </w:t>
      </w:r>
      <w:r w:rsidRPr="00E974FF">
        <w:rPr>
          <w:rStyle w:val="Emphasis"/>
          <w:rFonts w:eastAsia="Times New Roman"/>
          <w:b w:val="0"/>
        </w:rPr>
        <w:t>QJM</w:t>
      </w:r>
      <w:r>
        <w:rPr>
          <w:rFonts w:eastAsia="Times New Roman"/>
        </w:rPr>
        <w:t xml:space="preserve">. 2020. doi: ttps://doi.org/10.1093/qjmed/hcaa089. </w:t>
      </w:r>
    </w:p>
    <w:p w14:paraId="7C5470C3" w14:textId="77777777" w:rsidR="00AD5798" w:rsidRDefault="00AD5798" w:rsidP="00AD5798">
      <w:pPr>
        <w:numPr>
          <w:ilvl w:val="0"/>
          <w:numId w:val="8"/>
        </w:numPr>
        <w:spacing w:before="100" w:beforeAutospacing="1" w:after="100" w:afterAutospacing="1" w:line="240" w:lineRule="auto"/>
        <w:rPr>
          <w:rFonts w:eastAsia="Times New Roman"/>
        </w:rPr>
      </w:pPr>
      <w:r>
        <w:rPr>
          <w:rFonts w:eastAsia="Times New Roman"/>
        </w:rPr>
        <w:t xml:space="preserve">Olsen SJ, Chang HL, Cheung TYY, Tang AFY, Fisk TL, Ooi SPL et al. Transmission of the severe acute respiratory syndrome on aircraft. </w:t>
      </w:r>
      <w:r w:rsidRPr="00E974FF">
        <w:rPr>
          <w:rStyle w:val="Emphasis"/>
          <w:rFonts w:eastAsia="Times New Roman"/>
          <w:b w:val="0"/>
        </w:rPr>
        <w:t>N Engl J Med</w:t>
      </w:r>
      <w:r>
        <w:rPr>
          <w:rFonts w:eastAsia="Times New Roman"/>
        </w:rPr>
        <w:t xml:space="preserve">. 2003;349(25):2416–22. </w:t>
      </w:r>
    </w:p>
    <w:p w14:paraId="4E76DF4D" w14:textId="77777777" w:rsidR="00AD5798" w:rsidRDefault="00AD5798" w:rsidP="00AD5798">
      <w:pPr>
        <w:numPr>
          <w:ilvl w:val="0"/>
          <w:numId w:val="8"/>
        </w:numPr>
        <w:spacing w:before="100" w:beforeAutospacing="1" w:after="100" w:afterAutospacing="1" w:line="240" w:lineRule="auto"/>
        <w:rPr>
          <w:rFonts w:eastAsia="Times New Roman"/>
        </w:rPr>
      </w:pPr>
      <w:r>
        <w:rPr>
          <w:rFonts w:eastAsia="Times New Roman"/>
        </w:rPr>
        <w:t xml:space="preserve">Vogt TM, Guerra MA, Flagg EW, </w:t>
      </w:r>
      <w:proofErr w:type="spellStart"/>
      <w:r>
        <w:rPr>
          <w:rFonts w:eastAsia="Times New Roman"/>
        </w:rPr>
        <w:t>Ksiazek</w:t>
      </w:r>
      <w:proofErr w:type="spellEnd"/>
      <w:r>
        <w:rPr>
          <w:rFonts w:eastAsia="Times New Roman"/>
        </w:rPr>
        <w:t xml:space="preserve"> TG, Lowther SA, </w:t>
      </w:r>
      <w:proofErr w:type="spellStart"/>
      <w:r>
        <w:rPr>
          <w:rFonts w:eastAsia="Times New Roman"/>
        </w:rPr>
        <w:t>Arguin</w:t>
      </w:r>
      <w:proofErr w:type="spellEnd"/>
      <w:r>
        <w:rPr>
          <w:rFonts w:eastAsia="Times New Roman"/>
        </w:rPr>
        <w:t xml:space="preserve"> PM. Risk of severe acute respiratory syndrome–associated coronavirus transmission aboard commercial aircraft. </w:t>
      </w:r>
      <w:r w:rsidRPr="00E974FF">
        <w:rPr>
          <w:rStyle w:val="Emphasis"/>
          <w:rFonts w:eastAsia="Times New Roman"/>
          <w:b w:val="0"/>
        </w:rPr>
        <w:t>J Travel Med</w:t>
      </w:r>
      <w:r>
        <w:rPr>
          <w:rFonts w:eastAsia="Times New Roman"/>
        </w:rPr>
        <w:t xml:space="preserve">. 2006;13(5):268–72. </w:t>
      </w:r>
    </w:p>
    <w:p w14:paraId="41617918" w14:textId="77777777" w:rsidR="008B5348" w:rsidRDefault="00AD5798" w:rsidP="0081416F">
      <w:pPr>
        <w:numPr>
          <w:ilvl w:val="0"/>
          <w:numId w:val="8"/>
        </w:numPr>
        <w:spacing w:before="100" w:beforeAutospacing="1" w:after="100" w:afterAutospacing="1" w:line="240" w:lineRule="auto"/>
        <w:rPr>
          <w:rStyle w:val="A10"/>
        </w:rPr>
        <w:sectPr w:rsidR="008B5348" w:rsidSect="00A30C37">
          <w:headerReference w:type="default" r:id="rId12"/>
          <w:footerReference w:type="default" r:id="rId13"/>
          <w:footerReference w:type="first" r:id="rId14"/>
          <w:pgSz w:w="11906" w:h="16838"/>
          <w:pgMar w:top="720" w:right="720" w:bottom="1134" w:left="720" w:header="709" w:footer="284" w:gutter="0"/>
          <w:cols w:space="708"/>
          <w:titlePg/>
          <w:docGrid w:linePitch="360"/>
        </w:sectPr>
      </w:pPr>
      <w:r>
        <w:rPr>
          <w:rFonts w:eastAsia="Times New Roman"/>
        </w:rPr>
        <w:t xml:space="preserve">Breugelmans JG, </w:t>
      </w:r>
      <w:proofErr w:type="spellStart"/>
      <w:r>
        <w:rPr>
          <w:rFonts w:eastAsia="Times New Roman"/>
        </w:rPr>
        <w:t>Zucs</w:t>
      </w:r>
      <w:proofErr w:type="spellEnd"/>
      <w:r>
        <w:rPr>
          <w:rFonts w:eastAsia="Times New Roman"/>
        </w:rPr>
        <w:t xml:space="preserve"> P, </w:t>
      </w:r>
      <w:proofErr w:type="spellStart"/>
      <w:r>
        <w:rPr>
          <w:rFonts w:eastAsia="Times New Roman"/>
        </w:rPr>
        <w:t>Porten</w:t>
      </w:r>
      <w:proofErr w:type="spellEnd"/>
      <w:r>
        <w:rPr>
          <w:rFonts w:eastAsia="Times New Roman"/>
        </w:rPr>
        <w:t xml:space="preserve"> K, </w:t>
      </w:r>
      <w:proofErr w:type="spellStart"/>
      <w:r>
        <w:rPr>
          <w:rFonts w:eastAsia="Times New Roman"/>
        </w:rPr>
        <w:t>Broll</w:t>
      </w:r>
      <w:proofErr w:type="spellEnd"/>
      <w:r>
        <w:rPr>
          <w:rFonts w:eastAsia="Times New Roman"/>
        </w:rPr>
        <w:t xml:space="preserve"> S, </w:t>
      </w:r>
      <w:proofErr w:type="spellStart"/>
      <w:r>
        <w:rPr>
          <w:rFonts w:eastAsia="Times New Roman"/>
        </w:rPr>
        <w:t>Niedrig</w:t>
      </w:r>
      <w:proofErr w:type="spellEnd"/>
      <w:r>
        <w:rPr>
          <w:rFonts w:eastAsia="Times New Roman"/>
        </w:rPr>
        <w:t xml:space="preserve"> M, Ammon A et al. SARS transmission and commercial aircraft. </w:t>
      </w:r>
      <w:proofErr w:type="spellStart"/>
      <w:r w:rsidRPr="00E974FF">
        <w:rPr>
          <w:rStyle w:val="Emphasis"/>
          <w:rFonts w:eastAsia="Times New Roman"/>
          <w:b w:val="0"/>
        </w:rPr>
        <w:t>Emerg</w:t>
      </w:r>
      <w:proofErr w:type="spellEnd"/>
      <w:r w:rsidRPr="00E974FF">
        <w:rPr>
          <w:rStyle w:val="Emphasis"/>
          <w:rFonts w:eastAsia="Times New Roman"/>
          <w:b w:val="0"/>
        </w:rPr>
        <w:t xml:space="preserve"> Infect Dis</w:t>
      </w:r>
      <w:r>
        <w:rPr>
          <w:rFonts w:eastAsia="Times New Roman"/>
        </w:rPr>
        <w:t>. 2004;10(8):1502–3.</w:t>
      </w:r>
      <w:r w:rsidR="0081416F">
        <w:rPr>
          <w:rStyle w:val="A10"/>
        </w:rPr>
        <w:t xml:space="preserve"> </w:t>
      </w:r>
    </w:p>
    <w:p w14:paraId="536F6BAE"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7482C381"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57932F23" w14:textId="77777777" w:rsidR="000A5F42" w:rsidRPr="000606CC" w:rsidRDefault="000A5F42" w:rsidP="000A5F42">
      <w:pPr>
        <w:pStyle w:val="NoSpacing"/>
        <w:rPr>
          <w:rStyle w:val="URI"/>
          <w:rFonts w:cstheme="minorHAnsi"/>
          <w:sz w:val="20"/>
          <w:szCs w:val="18"/>
        </w:rPr>
      </w:pPr>
    </w:p>
    <w:p w14:paraId="4484348C"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1EE0A8BE" w14:textId="77777777" w:rsidR="000A5F42" w:rsidRPr="000606CC" w:rsidRDefault="000A5F42" w:rsidP="000A5F42">
      <w:pPr>
        <w:pStyle w:val="NoSpacing"/>
        <w:rPr>
          <w:rStyle w:val="Strong"/>
          <w:rFonts w:cstheme="minorHAnsi"/>
          <w:sz w:val="20"/>
          <w:szCs w:val="18"/>
        </w:rPr>
      </w:pPr>
    </w:p>
    <w:p w14:paraId="2BB6383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42834">
        <w:rPr>
          <w:rFonts w:cstheme="minorHAnsi"/>
          <w:sz w:val="20"/>
          <w:szCs w:val="18"/>
        </w:rPr>
        <w:t>Tanja Farmer</w:t>
      </w:r>
    </w:p>
    <w:p w14:paraId="08989DB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61E6F3E8"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7427EC3C"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3A9EBBA6" w14:textId="77777777" w:rsidR="000A5F42" w:rsidRPr="000606CC" w:rsidRDefault="000A5F42" w:rsidP="000A5F42">
      <w:pPr>
        <w:pStyle w:val="NoSpacing"/>
        <w:rPr>
          <w:rStyle w:val="Strong"/>
          <w:rFonts w:cstheme="minorHAnsi"/>
          <w:sz w:val="20"/>
          <w:szCs w:val="18"/>
        </w:rPr>
      </w:pPr>
    </w:p>
    <w:p w14:paraId="7691A0E6" w14:textId="05EBE7CB"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5"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4BD69057" w14:textId="77777777" w:rsidR="000A5F42" w:rsidRPr="000606CC" w:rsidRDefault="000A5F42" w:rsidP="000A5F42">
      <w:pPr>
        <w:pStyle w:val="NoSpacing"/>
        <w:rPr>
          <w:rStyle w:val="Strong"/>
          <w:rFonts w:cstheme="minorHAnsi"/>
          <w:sz w:val="20"/>
          <w:szCs w:val="18"/>
        </w:rPr>
      </w:pPr>
    </w:p>
    <w:p w14:paraId="016C2BF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2DDEFB05" w14:textId="77777777" w:rsidR="000A5F42" w:rsidRPr="000606CC" w:rsidRDefault="000A5F42" w:rsidP="000A5F42">
      <w:pPr>
        <w:pStyle w:val="NoSpacing"/>
        <w:rPr>
          <w:rStyle w:val="Strong"/>
          <w:rFonts w:cstheme="minorHAnsi"/>
          <w:sz w:val="20"/>
          <w:szCs w:val="18"/>
        </w:rPr>
      </w:pPr>
    </w:p>
    <w:p w14:paraId="5E50BE51" w14:textId="5F3F499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6"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5AA2040D" w14:textId="77777777" w:rsidR="000A5F42" w:rsidRPr="000606CC" w:rsidRDefault="000A5F42" w:rsidP="000A5F42">
      <w:pPr>
        <w:pStyle w:val="NoSpacing"/>
        <w:rPr>
          <w:rStyle w:val="Strong"/>
          <w:rFonts w:cstheme="minorHAnsi"/>
          <w:sz w:val="20"/>
          <w:szCs w:val="18"/>
        </w:rPr>
      </w:pPr>
    </w:p>
    <w:p w14:paraId="148247FC" w14:textId="71AD8BBF"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7"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6510392E" w14:textId="7CE17EE4"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8" w:history="1">
        <w:r w:rsidRPr="000606CC">
          <w:rPr>
            <w:rStyle w:val="Hyperlink"/>
            <w:rFonts w:cstheme="minorHAnsi"/>
            <w:sz w:val="20"/>
            <w:szCs w:val="18"/>
          </w:rPr>
          <w:t>cdi.editor@health.gov.au</w:t>
        </w:r>
      </w:hyperlink>
      <w:r w:rsidRPr="000606CC">
        <w:rPr>
          <w:rFonts w:cstheme="minorHAnsi"/>
          <w:sz w:val="20"/>
          <w:szCs w:val="18"/>
        </w:rPr>
        <w:t>.</w:t>
      </w:r>
    </w:p>
    <w:p w14:paraId="3A6E811D" w14:textId="77777777" w:rsidR="000A5F42" w:rsidRPr="000606CC" w:rsidRDefault="000A5F42" w:rsidP="000A5F42">
      <w:pPr>
        <w:pStyle w:val="NoSpacing"/>
        <w:pBdr>
          <w:bottom w:val="single" w:sz="6" w:space="1" w:color="auto"/>
        </w:pBdr>
        <w:rPr>
          <w:rStyle w:val="Strong"/>
          <w:rFonts w:cstheme="minorHAnsi"/>
          <w:sz w:val="12"/>
          <w:szCs w:val="18"/>
        </w:rPr>
      </w:pPr>
    </w:p>
    <w:p w14:paraId="3C5C027D" w14:textId="77777777" w:rsidR="000A5F42" w:rsidRPr="000606CC" w:rsidRDefault="000A5F42" w:rsidP="000A5F42">
      <w:pPr>
        <w:pStyle w:val="NoSpacing"/>
        <w:rPr>
          <w:rFonts w:cstheme="minorHAnsi"/>
          <w:sz w:val="20"/>
          <w:szCs w:val="18"/>
        </w:rPr>
      </w:pPr>
    </w:p>
    <w:p w14:paraId="30D83DCB"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72C75A0D" w14:textId="77777777" w:rsidR="000A5F42" w:rsidRPr="000606CC" w:rsidRDefault="000A5F42" w:rsidP="000A5F42">
      <w:pPr>
        <w:pStyle w:val="NoSpacing"/>
        <w:rPr>
          <w:rFonts w:cstheme="minorHAnsi"/>
          <w:sz w:val="20"/>
          <w:szCs w:val="18"/>
        </w:rPr>
      </w:pPr>
    </w:p>
    <w:p w14:paraId="64D6A599"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199BC89C"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2020</w:t>
      </w:r>
      <w:r w:rsidRPr="000606CC">
        <w:rPr>
          <w:rFonts w:cstheme="minorHAnsi"/>
          <w:sz w:val="20"/>
          <w:szCs w:val="18"/>
        </w:rPr>
        <w:t xml:space="preserve"> Commonwealth of Australia as represented by the Department of Health</w:t>
      </w:r>
    </w:p>
    <w:p w14:paraId="086BBCFA" w14:textId="4CDB0840"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9"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283D6E0E" w14:textId="77777777" w:rsidR="000A5F42" w:rsidRPr="000606CC" w:rsidRDefault="000A5F42" w:rsidP="000A5F42">
      <w:pPr>
        <w:pStyle w:val="NoSpacing"/>
        <w:rPr>
          <w:rFonts w:cstheme="minorHAnsi"/>
          <w:sz w:val="20"/>
          <w:szCs w:val="18"/>
        </w:rPr>
      </w:pPr>
    </w:p>
    <w:p w14:paraId="57B3E182"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2ADF0A93" w14:textId="22D3269B"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0"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49A574C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6B7DEC2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58D989A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2C82C4A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2FC0081A" w14:textId="77777777" w:rsidR="000A5F42" w:rsidRPr="000606CC" w:rsidRDefault="000A5F42" w:rsidP="000A5F42">
      <w:pPr>
        <w:pStyle w:val="NoSpacing"/>
        <w:rPr>
          <w:rStyle w:val="Strong"/>
          <w:rFonts w:cstheme="minorHAnsi"/>
          <w:sz w:val="20"/>
          <w:szCs w:val="18"/>
        </w:rPr>
      </w:pPr>
    </w:p>
    <w:p w14:paraId="75038C75"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24305B7E" w14:textId="77777777" w:rsidR="000A5F42" w:rsidRPr="000606CC" w:rsidRDefault="000A5F42" w:rsidP="000A5F42">
      <w:pPr>
        <w:pStyle w:val="NoSpacing"/>
        <w:rPr>
          <w:rStyle w:val="Strong"/>
          <w:rFonts w:cstheme="minorHAnsi"/>
          <w:sz w:val="20"/>
          <w:szCs w:val="18"/>
        </w:rPr>
      </w:pPr>
    </w:p>
    <w:p w14:paraId="6E32B555" w14:textId="0A8B829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1"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2A635F70" w14:textId="77777777" w:rsidR="000A5F42" w:rsidRPr="000606CC" w:rsidRDefault="000A5F42" w:rsidP="000A5F42">
      <w:pPr>
        <w:pStyle w:val="NoSpacing"/>
        <w:rPr>
          <w:rStyle w:val="URI"/>
          <w:rFonts w:cstheme="minorHAnsi"/>
          <w:sz w:val="20"/>
          <w:szCs w:val="18"/>
        </w:rPr>
      </w:pPr>
    </w:p>
    <w:p w14:paraId="41511258" w14:textId="2274B867"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2" w:tooltip="Communicable Diseases Network Australia website" w:history="1">
        <w:r w:rsidRPr="000606CC">
          <w:rPr>
            <w:rStyle w:val="Hyperlink"/>
            <w:rFonts w:cstheme="minorHAnsi"/>
            <w:sz w:val="20"/>
            <w:szCs w:val="18"/>
          </w:rPr>
          <w:t>http://www.health.gov.au/cdna</w:t>
        </w:r>
      </w:hyperlink>
    </w:p>
    <w:p w14:paraId="5E399ED2" w14:textId="77777777" w:rsidR="001B37B8" w:rsidRPr="00E92237" w:rsidRDefault="001B37B8" w:rsidP="001B37B8">
      <w:pPr>
        <w:rPr>
          <w:rFonts w:cs="Myriad Pro"/>
          <w:color w:val="211D1E"/>
          <w:sz w:val="20"/>
          <w:szCs w:val="20"/>
        </w:rPr>
      </w:pPr>
    </w:p>
    <w:sectPr w:rsidR="001B37B8" w:rsidRPr="00E92237" w:rsidSect="002B75A9">
      <w:headerReference w:type="default" r:id="rId23"/>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FB135" w14:textId="77777777" w:rsidR="00304E96" w:rsidRDefault="00304E96" w:rsidP="00E54DBA">
      <w:r>
        <w:separator/>
      </w:r>
    </w:p>
    <w:p w14:paraId="5B5E4905" w14:textId="77777777" w:rsidR="00304E96" w:rsidRDefault="00304E96"/>
    <w:p w14:paraId="4B242DF1" w14:textId="77777777" w:rsidR="00304E96" w:rsidRDefault="00304E96" w:rsidP="008714B0"/>
  </w:endnote>
  <w:endnote w:type="continuationSeparator" w:id="0">
    <w:p w14:paraId="0747087B" w14:textId="77777777" w:rsidR="00304E96" w:rsidRDefault="00304E96" w:rsidP="00E54DBA">
      <w:r>
        <w:continuationSeparator/>
      </w:r>
    </w:p>
    <w:p w14:paraId="4B1CFE3F" w14:textId="77777777" w:rsidR="00304E96" w:rsidRDefault="00304E96"/>
    <w:p w14:paraId="32528D21" w14:textId="77777777" w:rsidR="00304E96" w:rsidRDefault="00304E96"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EAD7" w14:textId="403CBEED"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CF5220">
      <w:rPr>
        <w:noProof/>
        <w:sz w:val="18"/>
      </w:rPr>
      <w:t>8</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CF5220">
      <w:rPr>
        <w:noProof/>
        <w:sz w:val="18"/>
      </w:rPr>
      <w:t>9</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E974FF">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304993">
      <w:rPr>
        <w:sz w:val="18"/>
      </w:rPr>
      <w:t>2020</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304993">
      <w:rPr>
        <w:sz w:val="18"/>
      </w:rPr>
      <w:t>44</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1B77C0">
      <w:rPr>
        <w:sz w:val="18"/>
      </w:rPr>
      <w:t>https://doi.org/10.33321/cdi.2020.44.53</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1B77C0">
      <w:rPr>
        <w:sz w:val="18"/>
      </w:rPr>
      <w:t>2/07/2020</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84300" w14:textId="0421130A"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CF5220">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CF5220">
      <w:rPr>
        <w:noProof/>
        <w:sz w:val="18"/>
      </w:rPr>
      <w:t>9</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E974FF">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304993">
      <w:rPr>
        <w:sz w:val="18"/>
      </w:rPr>
      <w:t>2020</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304993">
      <w:rPr>
        <w:sz w:val="18"/>
      </w:rPr>
      <w:t>44</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1B77C0">
      <w:rPr>
        <w:sz w:val="18"/>
      </w:rPr>
      <w:t>https://doi.org/10.33321/cdi.2020.44.53</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1B77C0">
      <w:rPr>
        <w:sz w:val="18"/>
      </w:rPr>
      <w:t>2/07/2020</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FD4A8" w14:textId="77777777" w:rsidR="00304E96" w:rsidRDefault="00304E96" w:rsidP="00E54DBA">
      <w:r>
        <w:separator/>
      </w:r>
    </w:p>
  </w:footnote>
  <w:footnote w:type="continuationSeparator" w:id="0">
    <w:p w14:paraId="78C76AC4" w14:textId="77777777" w:rsidR="00304E96" w:rsidRDefault="00304E96" w:rsidP="00E54DBA">
      <w:r>
        <w:continuationSeparator/>
      </w:r>
    </w:p>
  </w:footnote>
  <w:footnote w:type="continuationNotice" w:id="1">
    <w:p w14:paraId="675B055B" w14:textId="77777777" w:rsidR="00304E96" w:rsidRPr="00224EFF" w:rsidRDefault="00304E96"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A629" w14:textId="77777777" w:rsidR="00257484" w:rsidRPr="00A153B6" w:rsidRDefault="00220041"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6077A5">
          <w:t>Short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3A31C"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37EB61CA" wp14:editId="5C13516E">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75CD"/>
    <w:multiLevelType w:val="multilevel"/>
    <w:tmpl w:val="059C8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C359F2"/>
    <w:multiLevelType w:val="hybridMultilevel"/>
    <w:tmpl w:val="C9623C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0B843C9"/>
    <w:multiLevelType w:val="multilevel"/>
    <w:tmpl w:val="65E46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39720973">
    <w:abstractNumId w:val="3"/>
  </w:num>
  <w:num w:numId="2" w16cid:durableId="1475954332">
    <w:abstractNumId w:val="4"/>
  </w:num>
  <w:num w:numId="3" w16cid:durableId="1126780946">
    <w:abstractNumId w:val="5"/>
  </w:num>
  <w:num w:numId="4" w16cid:durableId="1047873520">
    <w:abstractNumId w:val="2"/>
  </w:num>
  <w:num w:numId="5" w16cid:durableId="701706902">
    <w:abstractNumId w:val="7"/>
  </w:num>
  <w:num w:numId="6" w16cid:durableId="1456102499">
    <w:abstractNumId w:val="8"/>
  </w:num>
  <w:num w:numId="7" w16cid:durableId="2049066052">
    <w:abstractNumId w:val="0"/>
  </w:num>
  <w:num w:numId="8" w16cid:durableId="139152432">
    <w:abstractNumId w:val="6"/>
  </w:num>
  <w:num w:numId="9" w16cid:durableId="105007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noPunctuationKerning/>
  <w:characterSpacingControl w:val="doNotCompress"/>
  <w:hdrShapeDefaults>
    <o:shapedefaults v:ext="edit" spidmax="10241"/>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E96"/>
    <w:rsid w:val="00000B5B"/>
    <w:rsid w:val="00000D05"/>
    <w:rsid w:val="00001611"/>
    <w:rsid w:val="000104A8"/>
    <w:rsid w:val="0001246E"/>
    <w:rsid w:val="000124B1"/>
    <w:rsid w:val="00013398"/>
    <w:rsid w:val="00016FE6"/>
    <w:rsid w:val="00031064"/>
    <w:rsid w:val="00031692"/>
    <w:rsid w:val="00032531"/>
    <w:rsid w:val="000471BF"/>
    <w:rsid w:val="00047B68"/>
    <w:rsid w:val="00052600"/>
    <w:rsid w:val="0005643C"/>
    <w:rsid w:val="0006264A"/>
    <w:rsid w:val="00073D77"/>
    <w:rsid w:val="00081655"/>
    <w:rsid w:val="000864E0"/>
    <w:rsid w:val="000969B3"/>
    <w:rsid w:val="000A5F42"/>
    <w:rsid w:val="000B4741"/>
    <w:rsid w:val="000D4B4D"/>
    <w:rsid w:val="00113D58"/>
    <w:rsid w:val="001200CB"/>
    <w:rsid w:val="001378A3"/>
    <w:rsid w:val="00155582"/>
    <w:rsid w:val="00161590"/>
    <w:rsid w:val="00162AF2"/>
    <w:rsid w:val="00171CC0"/>
    <w:rsid w:val="00175494"/>
    <w:rsid w:val="00175629"/>
    <w:rsid w:val="001830EC"/>
    <w:rsid w:val="00183534"/>
    <w:rsid w:val="001A4A96"/>
    <w:rsid w:val="001A5D05"/>
    <w:rsid w:val="001A796C"/>
    <w:rsid w:val="001B2614"/>
    <w:rsid w:val="001B37B8"/>
    <w:rsid w:val="001B552F"/>
    <w:rsid w:val="001B77C0"/>
    <w:rsid w:val="001C0893"/>
    <w:rsid w:val="001C1303"/>
    <w:rsid w:val="001C69C3"/>
    <w:rsid w:val="001C70B2"/>
    <w:rsid w:val="001D37C7"/>
    <w:rsid w:val="001D6888"/>
    <w:rsid w:val="00220041"/>
    <w:rsid w:val="00223B4E"/>
    <w:rsid w:val="00224EFF"/>
    <w:rsid w:val="002276DC"/>
    <w:rsid w:val="00227994"/>
    <w:rsid w:val="00227E00"/>
    <w:rsid w:val="002307CB"/>
    <w:rsid w:val="00231046"/>
    <w:rsid w:val="00234F21"/>
    <w:rsid w:val="00242659"/>
    <w:rsid w:val="002428F7"/>
    <w:rsid w:val="0024315F"/>
    <w:rsid w:val="00252C9A"/>
    <w:rsid w:val="00256309"/>
    <w:rsid w:val="00257484"/>
    <w:rsid w:val="00260636"/>
    <w:rsid w:val="00275C78"/>
    <w:rsid w:val="00280594"/>
    <w:rsid w:val="00281EE3"/>
    <w:rsid w:val="00284E4A"/>
    <w:rsid w:val="00287338"/>
    <w:rsid w:val="00294621"/>
    <w:rsid w:val="002A3799"/>
    <w:rsid w:val="002A3BCC"/>
    <w:rsid w:val="002A4516"/>
    <w:rsid w:val="002A569F"/>
    <w:rsid w:val="002A7066"/>
    <w:rsid w:val="002B001E"/>
    <w:rsid w:val="002B09B7"/>
    <w:rsid w:val="002B75A9"/>
    <w:rsid w:val="002C0820"/>
    <w:rsid w:val="002C21B0"/>
    <w:rsid w:val="002C5BE2"/>
    <w:rsid w:val="002E2FB3"/>
    <w:rsid w:val="002F327B"/>
    <w:rsid w:val="00301626"/>
    <w:rsid w:val="00304993"/>
    <w:rsid w:val="00304E96"/>
    <w:rsid w:val="00305375"/>
    <w:rsid w:val="003059EC"/>
    <w:rsid w:val="00316CCD"/>
    <w:rsid w:val="00324F7E"/>
    <w:rsid w:val="003323BC"/>
    <w:rsid w:val="00346D42"/>
    <w:rsid w:val="00346E11"/>
    <w:rsid w:val="003601C0"/>
    <w:rsid w:val="003635F5"/>
    <w:rsid w:val="00372A88"/>
    <w:rsid w:val="00381A0F"/>
    <w:rsid w:val="00386EE3"/>
    <w:rsid w:val="003A1A93"/>
    <w:rsid w:val="003A1B3A"/>
    <w:rsid w:val="003A40F5"/>
    <w:rsid w:val="003B5B8C"/>
    <w:rsid w:val="003C5C48"/>
    <w:rsid w:val="003D79B1"/>
    <w:rsid w:val="003E5CA9"/>
    <w:rsid w:val="003E74EE"/>
    <w:rsid w:val="003F0552"/>
    <w:rsid w:val="003F3BC2"/>
    <w:rsid w:val="00401ED1"/>
    <w:rsid w:val="0040224C"/>
    <w:rsid w:val="004064F8"/>
    <w:rsid w:val="00413EE1"/>
    <w:rsid w:val="004164BB"/>
    <w:rsid w:val="00421ECE"/>
    <w:rsid w:val="00422FEB"/>
    <w:rsid w:val="0042435E"/>
    <w:rsid w:val="004315F5"/>
    <w:rsid w:val="00433456"/>
    <w:rsid w:val="00433DFA"/>
    <w:rsid w:val="004351D0"/>
    <w:rsid w:val="00435D67"/>
    <w:rsid w:val="00464A58"/>
    <w:rsid w:val="004733A8"/>
    <w:rsid w:val="00473D2D"/>
    <w:rsid w:val="004A2125"/>
    <w:rsid w:val="004A38F6"/>
    <w:rsid w:val="004B4EB6"/>
    <w:rsid w:val="004C083C"/>
    <w:rsid w:val="004C67C6"/>
    <w:rsid w:val="004D24CE"/>
    <w:rsid w:val="004D29DE"/>
    <w:rsid w:val="004D74FE"/>
    <w:rsid w:val="00502BA9"/>
    <w:rsid w:val="00510EAC"/>
    <w:rsid w:val="0054085A"/>
    <w:rsid w:val="00542A57"/>
    <w:rsid w:val="00565974"/>
    <w:rsid w:val="005732C0"/>
    <w:rsid w:val="0057336D"/>
    <w:rsid w:val="0057489A"/>
    <w:rsid w:val="00574ACF"/>
    <w:rsid w:val="00581588"/>
    <w:rsid w:val="0058540B"/>
    <w:rsid w:val="00587C87"/>
    <w:rsid w:val="00590B80"/>
    <w:rsid w:val="005A7BF4"/>
    <w:rsid w:val="005B3134"/>
    <w:rsid w:val="005B4E61"/>
    <w:rsid w:val="005B595A"/>
    <w:rsid w:val="005B66C2"/>
    <w:rsid w:val="005D2465"/>
    <w:rsid w:val="005E0D00"/>
    <w:rsid w:val="005E33DD"/>
    <w:rsid w:val="005E4229"/>
    <w:rsid w:val="005E540E"/>
    <w:rsid w:val="005E55FB"/>
    <w:rsid w:val="005F0CEF"/>
    <w:rsid w:val="005F16BB"/>
    <w:rsid w:val="00607115"/>
    <w:rsid w:val="006077A5"/>
    <w:rsid w:val="00620768"/>
    <w:rsid w:val="0062594B"/>
    <w:rsid w:val="00631406"/>
    <w:rsid w:val="006324FF"/>
    <w:rsid w:val="006351D6"/>
    <w:rsid w:val="00636E0D"/>
    <w:rsid w:val="0064142F"/>
    <w:rsid w:val="00643CB4"/>
    <w:rsid w:val="00656427"/>
    <w:rsid w:val="00660255"/>
    <w:rsid w:val="006971F3"/>
    <w:rsid w:val="006A6632"/>
    <w:rsid w:val="006C74A3"/>
    <w:rsid w:val="006D1381"/>
    <w:rsid w:val="006D31BC"/>
    <w:rsid w:val="006E7943"/>
    <w:rsid w:val="006F0BF4"/>
    <w:rsid w:val="006F24EA"/>
    <w:rsid w:val="00704CA9"/>
    <w:rsid w:val="0071048D"/>
    <w:rsid w:val="00710F86"/>
    <w:rsid w:val="007111A8"/>
    <w:rsid w:val="00712C97"/>
    <w:rsid w:val="00731BC3"/>
    <w:rsid w:val="007345DD"/>
    <w:rsid w:val="00741192"/>
    <w:rsid w:val="00743A33"/>
    <w:rsid w:val="00746080"/>
    <w:rsid w:val="0075144A"/>
    <w:rsid w:val="007844BD"/>
    <w:rsid w:val="00786329"/>
    <w:rsid w:val="00792C7D"/>
    <w:rsid w:val="00794A4D"/>
    <w:rsid w:val="007A5234"/>
    <w:rsid w:val="007B7854"/>
    <w:rsid w:val="007C56A1"/>
    <w:rsid w:val="007C6454"/>
    <w:rsid w:val="007E01E0"/>
    <w:rsid w:val="007F0B93"/>
    <w:rsid w:val="007F2ECA"/>
    <w:rsid w:val="007F6A56"/>
    <w:rsid w:val="00811708"/>
    <w:rsid w:val="0081416F"/>
    <w:rsid w:val="00816B90"/>
    <w:rsid w:val="00817799"/>
    <w:rsid w:val="00822F5F"/>
    <w:rsid w:val="00824FD3"/>
    <w:rsid w:val="00826589"/>
    <w:rsid w:val="00834BCC"/>
    <w:rsid w:val="008426A2"/>
    <w:rsid w:val="00850D54"/>
    <w:rsid w:val="008714B0"/>
    <w:rsid w:val="00874B40"/>
    <w:rsid w:val="00876331"/>
    <w:rsid w:val="00880726"/>
    <w:rsid w:val="008A07E3"/>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56AFC"/>
    <w:rsid w:val="0096082E"/>
    <w:rsid w:val="00961347"/>
    <w:rsid w:val="00967410"/>
    <w:rsid w:val="00967D73"/>
    <w:rsid w:val="0098119A"/>
    <w:rsid w:val="00984AAF"/>
    <w:rsid w:val="0098511D"/>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06C0"/>
    <w:rsid w:val="00A153B6"/>
    <w:rsid w:val="00A164D5"/>
    <w:rsid w:val="00A273C3"/>
    <w:rsid w:val="00A30C37"/>
    <w:rsid w:val="00A36C65"/>
    <w:rsid w:val="00A41BBE"/>
    <w:rsid w:val="00A45642"/>
    <w:rsid w:val="00A45BDD"/>
    <w:rsid w:val="00A46A0A"/>
    <w:rsid w:val="00A553F8"/>
    <w:rsid w:val="00A6708F"/>
    <w:rsid w:val="00A71BF6"/>
    <w:rsid w:val="00A750E6"/>
    <w:rsid w:val="00A86F9A"/>
    <w:rsid w:val="00AA35E6"/>
    <w:rsid w:val="00AA50B6"/>
    <w:rsid w:val="00AB3472"/>
    <w:rsid w:val="00AC43D2"/>
    <w:rsid w:val="00AD0762"/>
    <w:rsid w:val="00AD5798"/>
    <w:rsid w:val="00AE4452"/>
    <w:rsid w:val="00AE7C38"/>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A4697"/>
    <w:rsid w:val="00BB2892"/>
    <w:rsid w:val="00BB5378"/>
    <w:rsid w:val="00BC0BD3"/>
    <w:rsid w:val="00BD0107"/>
    <w:rsid w:val="00BE0C33"/>
    <w:rsid w:val="00BE262C"/>
    <w:rsid w:val="00BE6C3D"/>
    <w:rsid w:val="00BF1276"/>
    <w:rsid w:val="00C07606"/>
    <w:rsid w:val="00C12542"/>
    <w:rsid w:val="00C24725"/>
    <w:rsid w:val="00C30BA9"/>
    <w:rsid w:val="00C3541E"/>
    <w:rsid w:val="00C36A8F"/>
    <w:rsid w:val="00C42834"/>
    <w:rsid w:val="00C42FFA"/>
    <w:rsid w:val="00C507D8"/>
    <w:rsid w:val="00C62EAC"/>
    <w:rsid w:val="00C63F9F"/>
    <w:rsid w:val="00C7723C"/>
    <w:rsid w:val="00C829E6"/>
    <w:rsid w:val="00C838F5"/>
    <w:rsid w:val="00C9588C"/>
    <w:rsid w:val="00CA133C"/>
    <w:rsid w:val="00CA1AF4"/>
    <w:rsid w:val="00CA6068"/>
    <w:rsid w:val="00CB15E1"/>
    <w:rsid w:val="00CB3D46"/>
    <w:rsid w:val="00CC2624"/>
    <w:rsid w:val="00CD1A87"/>
    <w:rsid w:val="00CD35F3"/>
    <w:rsid w:val="00CD5C93"/>
    <w:rsid w:val="00CE342B"/>
    <w:rsid w:val="00CF320C"/>
    <w:rsid w:val="00CF3A4B"/>
    <w:rsid w:val="00CF4001"/>
    <w:rsid w:val="00CF5220"/>
    <w:rsid w:val="00D05837"/>
    <w:rsid w:val="00D12D8A"/>
    <w:rsid w:val="00D139A7"/>
    <w:rsid w:val="00D13E0C"/>
    <w:rsid w:val="00D25896"/>
    <w:rsid w:val="00D373A1"/>
    <w:rsid w:val="00D37C0F"/>
    <w:rsid w:val="00D41EA6"/>
    <w:rsid w:val="00D45661"/>
    <w:rsid w:val="00D45943"/>
    <w:rsid w:val="00D47D22"/>
    <w:rsid w:val="00D51865"/>
    <w:rsid w:val="00D51D0C"/>
    <w:rsid w:val="00D74140"/>
    <w:rsid w:val="00DA0227"/>
    <w:rsid w:val="00DA6E56"/>
    <w:rsid w:val="00DB5369"/>
    <w:rsid w:val="00DC6705"/>
    <w:rsid w:val="00DD2A12"/>
    <w:rsid w:val="00DD2DE8"/>
    <w:rsid w:val="00DE38B4"/>
    <w:rsid w:val="00DE5D02"/>
    <w:rsid w:val="00DF150B"/>
    <w:rsid w:val="00E005A9"/>
    <w:rsid w:val="00E1166E"/>
    <w:rsid w:val="00E24DC0"/>
    <w:rsid w:val="00E2519C"/>
    <w:rsid w:val="00E25F2A"/>
    <w:rsid w:val="00E41455"/>
    <w:rsid w:val="00E428A9"/>
    <w:rsid w:val="00E42AD2"/>
    <w:rsid w:val="00E50856"/>
    <w:rsid w:val="00E538CC"/>
    <w:rsid w:val="00E541C2"/>
    <w:rsid w:val="00E54DBA"/>
    <w:rsid w:val="00E63D7C"/>
    <w:rsid w:val="00E63E88"/>
    <w:rsid w:val="00E640D5"/>
    <w:rsid w:val="00E66E2E"/>
    <w:rsid w:val="00E67691"/>
    <w:rsid w:val="00E92237"/>
    <w:rsid w:val="00E951EF"/>
    <w:rsid w:val="00E974FF"/>
    <w:rsid w:val="00EA3D54"/>
    <w:rsid w:val="00EA56D9"/>
    <w:rsid w:val="00EA5CE3"/>
    <w:rsid w:val="00EB51C1"/>
    <w:rsid w:val="00EB5AE1"/>
    <w:rsid w:val="00EB5E0B"/>
    <w:rsid w:val="00EC2171"/>
    <w:rsid w:val="00ED442D"/>
    <w:rsid w:val="00ED70C2"/>
    <w:rsid w:val="00EE18FF"/>
    <w:rsid w:val="00EE489F"/>
    <w:rsid w:val="00EF2B98"/>
    <w:rsid w:val="00F0647F"/>
    <w:rsid w:val="00F10CE3"/>
    <w:rsid w:val="00F14F3B"/>
    <w:rsid w:val="00F16362"/>
    <w:rsid w:val="00F17757"/>
    <w:rsid w:val="00F207C7"/>
    <w:rsid w:val="00F36B6D"/>
    <w:rsid w:val="00F43FA3"/>
    <w:rsid w:val="00F55648"/>
    <w:rsid w:val="00F70046"/>
    <w:rsid w:val="00F7257D"/>
    <w:rsid w:val="00F748C2"/>
    <w:rsid w:val="00F76C5C"/>
    <w:rsid w:val="00F81EF3"/>
    <w:rsid w:val="00F84496"/>
    <w:rsid w:val="00F85DCB"/>
    <w:rsid w:val="00F86F9C"/>
    <w:rsid w:val="00F90D76"/>
    <w:rsid w:val="00FC002E"/>
    <w:rsid w:val="00FC4C23"/>
    <w:rsid w:val="00FC642E"/>
    <w:rsid w:val="00FE2AE4"/>
    <w:rsid w:val="00FE689F"/>
    <w:rsid w:val="00FE7809"/>
    <w:rsid w:val="00FF408B"/>
    <w:rsid w:val="00FF6F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0097A5F"/>
  <w15:docId w15:val="{CCB3DF97-91B8-4D23-9FC9-C88DCC0C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CommentReference">
    <w:name w:val="annotation reference"/>
    <w:basedOn w:val="DefaultParagraphFont"/>
    <w:uiPriority w:val="99"/>
    <w:semiHidden/>
    <w:unhideWhenUsed/>
    <w:rsid w:val="002C0820"/>
    <w:rPr>
      <w:sz w:val="16"/>
      <w:szCs w:val="16"/>
    </w:rPr>
  </w:style>
  <w:style w:type="paragraph" w:styleId="CommentText">
    <w:name w:val="annotation text"/>
    <w:basedOn w:val="Normal"/>
    <w:link w:val="CommentTextChar"/>
    <w:uiPriority w:val="99"/>
    <w:semiHidden/>
    <w:unhideWhenUsed/>
    <w:rsid w:val="002C0820"/>
    <w:pPr>
      <w:spacing w:line="240" w:lineRule="auto"/>
    </w:pPr>
    <w:rPr>
      <w:sz w:val="20"/>
      <w:szCs w:val="20"/>
    </w:rPr>
  </w:style>
  <w:style w:type="character" w:customStyle="1" w:styleId="CommentTextChar">
    <w:name w:val="Comment Text Char"/>
    <w:basedOn w:val="DefaultParagraphFont"/>
    <w:link w:val="CommentText"/>
    <w:uiPriority w:val="99"/>
    <w:semiHidden/>
    <w:rsid w:val="002C0820"/>
    <w:rPr>
      <w:sz w:val="20"/>
      <w:szCs w:val="20"/>
    </w:rPr>
  </w:style>
  <w:style w:type="paragraph" w:styleId="CommentSubject">
    <w:name w:val="annotation subject"/>
    <w:basedOn w:val="CommentText"/>
    <w:next w:val="CommentText"/>
    <w:link w:val="CommentSubjectChar"/>
    <w:uiPriority w:val="99"/>
    <w:semiHidden/>
    <w:unhideWhenUsed/>
    <w:rsid w:val="002C0820"/>
    <w:rPr>
      <w:b/>
      <w:bCs/>
    </w:rPr>
  </w:style>
  <w:style w:type="character" w:customStyle="1" w:styleId="CommentSubjectChar">
    <w:name w:val="Comment Subject Char"/>
    <w:basedOn w:val="CommentTextChar"/>
    <w:link w:val="CommentSubject"/>
    <w:uiPriority w:val="99"/>
    <w:semiHidden/>
    <w:rsid w:val="002C08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yperlink" Target="mailto:copyright@health.gov.a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health.gov.au/cd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itsanhonour.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ealth.gov.au/cdi" TargetMode="Externa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creativecommons.org/licenses/by-nc-nd/4.0/legalcod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www.health.gov.au/cdn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C83DD2-9530-4272-BF1D-A71A13E86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3041</Words>
  <Characters>17935</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Communicable Diseases Intelligence 2020 -  The first 2 months of COVID-19 contact tracing in the Northern Territory of Australia, March-April 2020</vt:lpstr>
    </vt:vector>
  </TitlesOfParts>
  <Company>Australian Government, Department of Health</Company>
  <LinksUpToDate>false</LinksUpToDate>
  <CharactersWithSpaces>20935</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The first 2 months of COVID-19 contact tracing in the Northern Territory of Australia, March-April 2020</dc:title>
  <dc:subject>The Northern Territory (NT) Centre for Disease Control (CDC) undertook contact tracing of all notified of cases of coronavirus disease 2019 (COVID-19). There were 28 cases of COVID-19 notified in the NT between 1 March and 30 April 2020. In total 527 people were identified as close contacts over this same period; 493 were successfully contacted; 445  were located in the NT and were subsequently quarantined and monitored for disease symptoms daily for 14 days post contact with a confirmed COVID-19 case. Of these 445 close contacts, 4 tested positive for COVID-19 after developing symptoms; 2/46 cruise ship passengers (4.3%; 95% CI 0.5–14.8%) and 2/51 household contacts (3.9%; 95% CI 0.5–13.5%) of a case. No aircraft passengers or healthcare workers who were being monitored as close contacts became cases.</dc:subject>
  <dc:creator>Anthony DK Draper, Karen E Dempsey, Rowena H Boyd, Emma M Childs, Hayley M Black, Laura A</dc:creator>
  <cp:keywords>Coronavirus disease 2019;COVID-19; contact tracing; Northern Territory; Australia.</cp:keywords>
  <dc:description>© Commonwealth of Australia CC BY-NC-ND ISSN: 2209-6051 (Online)</dc:description>
  <cp:lastPrinted>2018-05-10T02:19:00Z</cp:lastPrinted>
  <dcterms:created xsi:type="dcterms:W3CDTF">2024-08-29T01:46:00Z</dcterms:created>
  <dcterms:modified xsi:type="dcterms:W3CDTF">2024-08-29T01:46:00Z</dcterms:modified>
  <cp:category>Short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2/07/2020</vt:lpwstr>
  </property>
  <property fmtid="{D5CDD505-2E9C-101B-9397-08002B2CF9AE}" pid="5" name="DOI">
    <vt:lpwstr>https://doi.org/10.33321/cdi.2020.44.53</vt:lpwstr>
  </property>
</Properties>
</file>