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BEACD" w14:textId="77777777" w:rsidR="00421337" w:rsidRDefault="00421337" w:rsidP="00421337">
      <w:pPr>
        <w:pStyle w:val="Title"/>
        <w:rPr>
          <w:rFonts w:eastAsia="Times New Roman"/>
          <w:sz w:val="48"/>
          <w:szCs w:val="48"/>
        </w:rPr>
      </w:pPr>
      <w:r>
        <w:rPr>
          <w:rFonts w:eastAsia="Times New Roman"/>
        </w:rPr>
        <w:t xml:space="preserve">Asymptomatic COVID-19 or are we missing something? </w:t>
      </w:r>
    </w:p>
    <w:p w14:paraId="5D6BB14F" w14:textId="77777777" w:rsidR="00421337" w:rsidRDefault="00421337" w:rsidP="00421337">
      <w:r>
        <w:t xml:space="preserve">Jazmin K </w:t>
      </w:r>
      <w:proofErr w:type="spellStart"/>
      <w:r>
        <w:t>Daniells</w:t>
      </w:r>
      <w:proofErr w:type="spellEnd"/>
      <w:r>
        <w:t xml:space="preserve">, Helen L MacCallum, David N Durrheim </w:t>
      </w:r>
    </w:p>
    <w:p w14:paraId="077E00D7" w14:textId="77777777" w:rsidR="00421337" w:rsidRPr="00421337" w:rsidRDefault="00421337" w:rsidP="00421337">
      <w:pPr>
        <w:pStyle w:val="Heading1"/>
      </w:pPr>
      <w:r w:rsidRPr="00421337">
        <w:t xml:space="preserve">Abstract </w:t>
      </w:r>
    </w:p>
    <w:p w14:paraId="07F2E31E" w14:textId="77777777" w:rsidR="00421337" w:rsidRDefault="00421337" w:rsidP="00421337">
      <w:r>
        <w:t xml:space="preserve">A closer review of the asymptomatic COVID-19 cases recorded during the first pandemic wave in the Hunter New England area found that seven of the 26 ‘asymptomatic’ patients actually had experienced COVID-19-like symptoms, with five reporting symptoms prior to testing on review of all available clinical records. There is a need to delve deeper into the symptom history of ‘asymptomatic’ cases than initially recommended in national guidelines. </w:t>
      </w:r>
    </w:p>
    <w:p w14:paraId="0BFFB36B" w14:textId="77777777" w:rsidR="00421337" w:rsidRPr="00421337" w:rsidRDefault="00421337" w:rsidP="00421337">
      <w:pPr>
        <w:pStyle w:val="Heading1"/>
      </w:pPr>
      <w:r w:rsidRPr="00421337">
        <w:t xml:space="preserve">Introduction </w:t>
      </w:r>
    </w:p>
    <w:p w14:paraId="6B92C837" w14:textId="77777777" w:rsidR="00421337" w:rsidRDefault="00421337" w:rsidP="00421337">
      <w:r>
        <w:t>Coronavirus disease 2019 (COVID-19) is a disease caused by the novel coronavirus SARS-CoV-2, which first emerged in late 2019. Australia recorded its first case on 25 January 2020.</w:t>
      </w:r>
      <w:r>
        <w:rPr>
          <w:vertAlign w:val="superscript"/>
        </w:rPr>
        <w:t>1</w:t>
      </w:r>
      <w:r>
        <w:t xml:space="preserve"> The Hunter New England Local Health District (HNELHD) provides health care to 920,370 people in regional New South Wales (NSW), Australia.</w:t>
      </w:r>
      <w:r>
        <w:rPr>
          <w:vertAlign w:val="superscript"/>
        </w:rPr>
        <w:t>2</w:t>
      </w:r>
      <w:r>
        <w:t xml:space="preserve"> As of 30 May 2020, HNELHD recorded 279 confirmed cases of COVID-19. Of the 279 cases recorded in the Hunter New England area, 26 were initially recorded as ‘asymptomatic’. The focus of Australian testing for all cases during the study period was to find symptomatic cases, with strict clinical and epidemiological criteria needing to be met for a swab to be performed. </w:t>
      </w:r>
    </w:p>
    <w:p w14:paraId="7917D698" w14:textId="77777777" w:rsidR="00421337" w:rsidRDefault="00421337" w:rsidP="00421337">
      <w:r>
        <w:t>Internationally the reported percentage of asymptomatic cases of COVID-19 ranges from 6 to 41%.</w:t>
      </w:r>
      <w:r>
        <w:rPr>
          <w:vertAlign w:val="superscript"/>
        </w:rPr>
        <w:t>3</w:t>
      </w:r>
      <w:r>
        <w:t xml:space="preserve"> Many of the published reports have not used widespread community testing and have calculated the asymptomatic ratio based on small numbers of tests. For example, one report of 565 Japanese citizens evacuated from Wuhan estimated an asymptomatic rate of 30.8%.</w:t>
      </w:r>
      <w:r>
        <w:rPr>
          <w:vertAlign w:val="superscript"/>
        </w:rPr>
        <w:t>4</w:t>
      </w:r>
      <w:r>
        <w:t xml:space="preserve"> However, in this study only 13 people were swabbed using reverse transcription–polymerase chain reaction (RT-PCR) testing and the asymptomatic ratio was calculated based on four of these people being asymptomatic. Another study considering the cohort of patients on the Diamond Princess cruise ship estimated that the total number of asymptomatic cases was 17.9%</w:t>
      </w:r>
      <w:proofErr w:type="gramStart"/>
      <w:r>
        <w:t>.</w:t>
      </w:r>
      <w:r>
        <w:rPr>
          <w:vertAlign w:val="superscript"/>
        </w:rPr>
        <w:t>5</w:t>
      </w:r>
      <w:proofErr w:type="gramEnd"/>
      <w:r>
        <w:t xml:space="preserve"> </w:t>
      </w:r>
    </w:p>
    <w:p w14:paraId="229085B9" w14:textId="77777777" w:rsidR="00421337" w:rsidRDefault="00421337" w:rsidP="00421337">
      <w:r>
        <w:t>There is currently no strong evidence to suggest that asymptomatic transmission is a major contributor to the spread of COVID-19. A meta-analysis and systematic review of asymptomatic transmission found only two studies that described possible forward transmission from asymptomatic cases.</w:t>
      </w:r>
      <w:r>
        <w:rPr>
          <w:vertAlign w:val="superscript"/>
        </w:rPr>
        <w:t>3</w:t>
      </w:r>
      <w:r>
        <w:t xml:space="preserve"> There are case reports of presumed asymptomatic transmission, including one family cluster in Wuhan, China where the presumed index case had no symptoms or computed tomography (CT) chest changes.</w:t>
      </w:r>
      <w:r>
        <w:rPr>
          <w:vertAlign w:val="superscript"/>
        </w:rPr>
        <w:t>6</w:t>
      </w:r>
      <w:r>
        <w:t xml:space="preserve"> The evidence is more compelling that patients are infectious in the pre-symptomatic period from 2.3 days (95% CI 0.8–3.0 days) before symptom onset, and that this pre-symptomatic transmission plays a more important transmission role than asymptomatic transmission.</w:t>
      </w:r>
      <w:r>
        <w:rPr>
          <w:vertAlign w:val="superscript"/>
        </w:rPr>
        <w:t xml:space="preserve">7 </w:t>
      </w:r>
    </w:p>
    <w:p w14:paraId="1D66D177" w14:textId="77777777" w:rsidR="00421337" w:rsidRPr="00421337" w:rsidRDefault="00421337" w:rsidP="00421337">
      <w:pPr>
        <w:pStyle w:val="Heading1"/>
      </w:pPr>
      <w:r w:rsidRPr="00421337">
        <w:t xml:space="preserve">Methods </w:t>
      </w:r>
    </w:p>
    <w:p w14:paraId="0C7E921C" w14:textId="77777777" w:rsidR="00421337" w:rsidRDefault="00421337" w:rsidP="00421337">
      <w:r>
        <w:t xml:space="preserve">Ethics approval for this project was not required as COVID-19 is a notifiable disease and this is covered by the NSW </w:t>
      </w:r>
      <w:r w:rsidRPr="007E0038">
        <w:rPr>
          <w:rStyle w:val="Emphasis"/>
          <w:b w:val="0"/>
        </w:rPr>
        <w:t>Public Health Act 2010</w:t>
      </w:r>
      <w:r>
        <w:t>. A case line-list from the Notifiable Conditions Information Management System (NCIMS) that was filtered to include asymptomatic cases was created from the original epidemiological line-list of COVID-19 cases. This captured all cases from 5 March to 30 May 2020 who, at their initial case interview, reported to be asymptomatic. Each case identified on the line-list was then audited independently by two public health medical officers. NCIMS and the local hospital Clinical Application Portal (CAP) were both reviewed for each case: these sources contain initial case interviews, any hospital presentations or hospital-based care (including HNELHD’s COVID-</w:t>
      </w:r>
      <w:r>
        <w:lastRenderedPageBreak/>
        <w:t xml:space="preserve">19 community outreach service), close contacts and any follow-up documentation for cases. Cases were not re-interviewed. Each case was closely investigated for symptoms or changes to baseline symptom severity pre- or post-COVID-19 testing, as well as for any evidence of transmission to identified close contacts. Evidence of transmission was any close contact returning a positive COVID-19 RT-PCR swab; close contacts who were co-exposed were excluded. </w:t>
      </w:r>
    </w:p>
    <w:p w14:paraId="6EB7E169" w14:textId="77777777" w:rsidR="00421337" w:rsidRPr="00421337" w:rsidRDefault="00421337" w:rsidP="00421337">
      <w:pPr>
        <w:pStyle w:val="Heading1"/>
      </w:pPr>
      <w:r w:rsidRPr="00421337">
        <w:t xml:space="preserve">Results </w:t>
      </w:r>
    </w:p>
    <w:p w14:paraId="1F4F5D8D" w14:textId="77777777" w:rsidR="00421337" w:rsidRDefault="00421337" w:rsidP="00421337">
      <w:r>
        <w:t>Of 279 cases of COVID-19 in HNELHD during the first pandemic wave, there were 26 cases initially classified as asymptomatic. Of these 26 cases, five were found to have mild symptoms in the two weeks prior to being swabbed, and another two subsequently developed symptoms in the following 2–5 days (Figure 1). Nineteen cases (19/279; 7%) were truly asymptomatic; thus, over a quarter of the initially identified ‘asymptomatic’ cases had been misclassified as asymptomatic. Of the truly asymptomatic cases, 9 were female (47%) (Table 1). The asymptomatic patients ranged from 9 to 83 years of age, with the most prevalent group aged 9–18 years (n = 5; 26%). Patients who were truly asymptomatic had a range of comorbidities, including those that are recognised as risk factors for more severe COVID-19 disease.</w:t>
      </w:r>
    </w:p>
    <w:p w14:paraId="42C4ACFC" w14:textId="77777777" w:rsidR="00EC1D6F" w:rsidRDefault="00EC1D6F">
      <w:pPr>
        <w:rPr>
          <w:b/>
        </w:rPr>
      </w:pPr>
      <w:r>
        <w:br w:type="page"/>
      </w:r>
    </w:p>
    <w:p w14:paraId="0E2D1352" w14:textId="77777777" w:rsidR="00421337" w:rsidRDefault="00421337" w:rsidP="00421337">
      <w:pPr>
        <w:pStyle w:val="CDIFigures"/>
      </w:pPr>
      <w:r>
        <w:lastRenderedPageBreak/>
        <w:t>Figure 1: Review of HNELHD asymptomatic cases</w:t>
      </w:r>
    </w:p>
    <w:p w14:paraId="724AE71C" w14:textId="77777777" w:rsidR="00421337" w:rsidRDefault="00421337" w:rsidP="006270EE">
      <w:pPr>
        <w:pStyle w:val="NormalWeb"/>
        <w:jc w:val="center"/>
      </w:pPr>
      <w:r>
        <w:rPr>
          <w:noProof/>
        </w:rPr>
        <w:drawing>
          <wp:inline distT="0" distB="0" distL="0" distR="0" wp14:anchorId="59EA96D4" wp14:editId="17A927DF">
            <wp:extent cx="4241904" cy="5313578"/>
            <wp:effectExtent l="0" t="0" r="6350" b="1905"/>
            <wp:docPr id="2" name="Picture 2" descr="Figure 1 is a flow diagram that shows the process in which cases were identified, audited and then categorised as either asymptomatic or symptomatic following audit.  It shows that from 279 cases 26 were identified as ‘asymptomatic’. These 26 cases were then audited with 19 being truly ‘asymptomatic’ and with 7 found to ‘symptomatic’ (5 cases were post-symptomatic at time of swab and 2 were pre-symptomatic at time of sw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flow diagram that shows the process in which cases were identified, audited and then categorised as either asymptomatic or symptomatic following audit.  It shows that from 279 cases 26 were identified as ‘asymptomatic’. These 26 cases were then audited with 19 being truly ‘asymptomatic’ and with 7 found to ‘symptomatic’ (5 cases were post-symptomatic at time of swab and 2 were pre-symptomatic at time of swab).&#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4171" cy="5341471"/>
                    </a:xfrm>
                    <a:prstGeom prst="rect">
                      <a:avLst/>
                    </a:prstGeom>
                    <a:noFill/>
                    <a:ln>
                      <a:noFill/>
                    </a:ln>
                  </pic:spPr>
                </pic:pic>
              </a:graphicData>
            </a:graphic>
          </wp:inline>
        </w:drawing>
      </w:r>
    </w:p>
    <w:p w14:paraId="3E911176" w14:textId="77777777" w:rsidR="00EC1D6F" w:rsidRDefault="00EC1D6F">
      <w:pPr>
        <w:rPr>
          <w:b/>
        </w:rPr>
      </w:pPr>
      <w:r>
        <w:br w:type="page"/>
      </w:r>
    </w:p>
    <w:p w14:paraId="5E57B21C" w14:textId="77777777" w:rsidR="00421337" w:rsidRDefault="00421337" w:rsidP="00421337">
      <w:pPr>
        <w:pStyle w:val="CDIFigures"/>
      </w:pPr>
      <w:r>
        <w:lastRenderedPageBreak/>
        <w:t>Table 1: Demographics of truly asymptomatic and misclassified asymptomatic COVID-19 cases, Hunter New England Local Health District, NSW, March–May 2020</w:t>
      </w:r>
    </w:p>
    <w:tbl>
      <w:tblPr>
        <w:tblStyle w:val="CDI-StandardTable"/>
        <w:tblW w:w="0" w:type="auto"/>
        <w:tblBorders>
          <w:insideV w:val="single" w:sz="2" w:space="0" w:color="000000" w:themeColor="text1"/>
        </w:tblBorders>
        <w:tblCellMar>
          <w:top w:w="57" w:type="dxa"/>
          <w:left w:w="57" w:type="dxa"/>
          <w:bottom w:w="57" w:type="dxa"/>
          <w:right w:w="57" w:type="dxa"/>
        </w:tblCellMar>
        <w:tblLook w:val="04A0" w:firstRow="1" w:lastRow="0" w:firstColumn="1" w:lastColumn="0" w:noHBand="0" w:noVBand="1"/>
        <w:tblDescription w:val="Table 1 shows the demographics of the truly asymptomatic cases in the Hunter New England Local Health District from March to May, including age, sex, Indigenous status and co-morbidities."/>
      </w:tblPr>
      <w:tblGrid>
        <w:gridCol w:w="3119"/>
        <w:gridCol w:w="2410"/>
        <w:gridCol w:w="1559"/>
        <w:gridCol w:w="1984"/>
        <w:gridCol w:w="1394"/>
      </w:tblGrid>
      <w:tr w:rsidR="007F4BAA" w:rsidRPr="00AF0A31" w14:paraId="352BCF82" w14:textId="77777777" w:rsidTr="006A3F13">
        <w:trPr>
          <w:cnfStyle w:val="100000000000" w:firstRow="1" w:lastRow="0" w:firstColumn="0" w:lastColumn="0" w:oddVBand="0" w:evenVBand="0" w:oddHBand="0" w:evenHBand="0" w:firstRowFirstColumn="0" w:firstRowLastColumn="0" w:lastRowFirstColumn="0" w:lastRowLastColumn="0"/>
          <w:tblHeader/>
        </w:trPr>
        <w:tc>
          <w:tcPr>
            <w:tcW w:w="3119" w:type="dxa"/>
            <w:hideMark/>
          </w:tcPr>
          <w:p w14:paraId="6558B8A2" w14:textId="77777777" w:rsidR="00421337" w:rsidRPr="00AF0A31" w:rsidRDefault="00421337">
            <w:pPr>
              <w:pStyle w:val="NormalWeb"/>
              <w:rPr>
                <w:color w:val="FFFFFF" w:themeColor="background1"/>
                <w:sz w:val="20"/>
              </w:rPr>
            </w:pPr>
            <w:r w:rsidRPr="00AF0A31">
              <w:rPr>
                <w:color w:val="FFFFFF" w:themeColor="background1"/>
                <w:sz w:val="20"/>
              </w:rPr>
              <w:t>Characteristic</w:t>
            </w:r>
          </w:p>
        </w:tc>
        <w:tc>
          <w:tcPr>
            <w:tcW w:w="2410" w:type="dxa"/>
            <w:hideMark/>
          </w:tcPr>
          <w:p w14:paraId="17AFFE3D" w14:textId="77777777" w:rsidR="00421337" w:rsidRPr="00AF0A31" w:rsidRDefault="00421337" w:rsidP="007F4BAA">
            <w:pPr>
              <w:pStyle w:val="NormalWeb"/>
              <w:jc w:val="center"/>
              <w:rPr>
                <w:color w:val="FFFFFF" w:themeColor="background1"/>
                <w:sz w:val="20"/>
              </w:rPr>
            </w:pPr>
            <w:r w:rsidRPr="00AF0A31">
              <w:rPr>
                <w:color w:val="FFFFFF" w:themeColor="background1"/>
                <w:sz w:val="20"/>
              </w:rPr>
              <w:t>Truly asymptomatic cases</w:t>
            </w:r>
          </w:p>
        </w:tc>
        <w:tc>
          <w:tcPr>
            <w:tcW w:w="1559" w:type="dxa"/>
            <w:hideMark/>
          </w:tcPr>
          <w:p w14:paraId="55B92667" w14:textId="77777777" w:rsidR="00421337" w:rsidRPr="00AF0A31" w:rsidRDefault="00421337" w:rsidP="007F4BAA">
            <w:pPr>
              <w:pStyle w:val="NormalWeb"/>
              <w:jc w:val="center"/>
              <w:rPr>
                <w:color w:val="FFFFFF" w:themeColor="background1"/>
                <w:sz w:val="20"/>
              </w:rPr>
            </w:pPr>
            <w:r w:rsidRPr="00AF0A31">
              <w:rPr>
                <w:color w:val="FFFFFF" w:themeColor="background1"/>
                <w:sz w:val="20"/>
              </w:rPr>
              <w:t>Percentage (%)</w:t>
            </w:r>
          </w:p>
        </w:tc>
        <w:tc>
          <w:tcPr>
            <w:tcW w:w="1984" w:type="dxa"/>
            <w:hideMark/>
          </w:tcPr>
          <w:p w14:paraId="3B0318C2" w14:textId="77777777" w:rsidR="00421337" w:rsidRPr="00AF0A31" w:rsidRDefault="00421337" w:rsidP="007F4BAA">
            <w:pPr>
              <w:pStyle w:val="NormalWeb"/>
              <w:jc w:val="center"/>
              <w:rPr>
                <w:color w:val="FFFFFF" w:themeColor="background1"/>
                <w:sz w:val="20"/>
              </w:rPr>
            </w:pPr>
            <w:r w:rsidRPr="00AF0A31">
              <w:rPr>
                <w:color w:val="FFFFFF" w:themeColor="background1"/>
                <w:sz w:val="20"/>
              </w:rPr>
              <w:t>Misclassified asymptomatic cases</w:t>
            </w:r>
          </w:p>
        </w:tc>
        <w:tc>
          <w:tcPr>
            <w:tcW w:w="1394" w:type="dxa"/>
            <w:hideMark/>
          </w:tcPr>
          <w:p w14:paraId="00D98E11" w14:textId="77777777" w:rsidR="00421337" w:rsidRPr="00AF0A31" w:rsidRDefault="00421337" w:rsidP="007F4BAA">
            <w:pPr>
              <w:pStyle w:val="NormalWeb"/>
              <w:jc w:val="center"/>
              <w:rPr>
                <w:color w:val="FFFFFF" w:themeColor="background1"/>
                <w:sz w:val="20"/>
              </w:rPr>
            </w:pPr>
            <w:r w:rsidRPr="00AF0A31">
              <w:rPr>
                <w:color w:val="FFFFFF" w:themeColor="background1"/>
                <w:sz w:val="20"/>
              </w:rPr>
              <w:t>Percentage (%)</w:t>
            </w:r>
          </w:p>
        </w:tc>
      </w:tr>
      <w:tr w:rsidR="00860145" w:rsidRPr="00AF0A31" w14:paraId="4A06B876" w14:textId="77777777" w:rsidTr="005828BD">
        <w:tc>
          <w:tcPr>
            <w:tcW w:w="10466" w:type="dxa"/>
            <w:gridSpan w:val="5"/>
            <w:shd w:val="clear" w:color="auto" w:fill="808080" w:themeFill="background1" w:themeFillShade="80"/>
            <w:hideMark/>
          </w:tcPr>
          <w:p w14:paraId="6CC483F1" w14:textId="77777777" w:rsidR="00860145" w:rsidRPr="00AF0A31" w:rsidRDefault="00860145" w:rsidP="00860145">
            <w:pPr>
              <w:rPr>
                <w:rFonts w:eastAsia="Times New Roman"/>
                <w:b/>
                <w:color w:val="FFFFFF" w:themeColor="background1"/>
                <w:sz w:val="20"/>
                <w:szCs w:val="20"/>
              </w:rPr>
            </w:pPr>
            <w:r w:rsidRPr="00AF0A31">
              <w:rPr>
                <w:b/>
                <w:color w:val="FFFFFF" w:themeColor="background1"/>
                <w:sz w:val="20"/>
              </w:rPr>
              <w:t>Age, years</w:t>
            </w:r>
          </w:p>
        </w:tc>
      </w:tr>
      <w:tr w:rsidR="00421337" w:rsidRPr="00AF0A31" w14:paraId="4D51AB81" w14:textId="77777777" w:rsidTr="006A3F13">
        <w:trPr>
          <w:cnfStyle w:val="000000010000" w:firstRow="0" w:lastRow="0" w:firstColumn="0" w:lastColumn="0" w:oddVBand="0" w:evenVBand="0" w:oddHBand="0" w:evenHBand="1" w:firstRowFirstColumn="0" w:firstRowLastColumn="0" w:lastRowFirstColumn="0" w:lastRowLastColumn="0"/>
        </w:trPr>
        <w:tc>
          <w:tcPr>
            <w:tcW w:w="3119" w:type="dxa"/>
            <w:hideMark/>
          </w:tcPr>
          <w:p w14:paraId="7EDF6B7E" w14:textId="77777777" w:rsidR="00421337" w:rsidRPr="00AF0A31" w:rsidRDefault="00421337">
            <w:pPr>
              <w:pStyle w:val="NormalWeb"/>
              <w:rPr>
                <w:sz w:val="20"/>
                <w:szCs w:val="24"/>
              </w:rPr>
            </w:pPr>
            <w:r w:rsidRPr="00AF0A31">
              <w:rPr>
                <w:sz w:val="20"/>
              </w:rPr>
              <w:t>Median</w:t>
            </w:r>
          </w:p>
        </w:tc>
        <w:tc>
          <w:tcPr>
            <w:tcW w:w="2410" w:type="dxa"/>
            <w:hideMark/>
          </w:tcPr>
          <w:p w14:paraId="5C2BBECD" w14:textId="77777777" w:rsidR="00421337" w:rsidRPr="00AF0A31" w:rsidRDefault="00421337" w:rsidP="007F4BAA">
            <w:pPr>
              <w:pStyle w:val="NormalWeb"/>
              <w:jc w:val="center"/>
              <w:rPr>
                <w:sz w:val="20"/>
              </w:rPr>
            </w:pPr>
            <w:r w:rsidRPr="00AF0A31">
              <w:rPr>
                <w:sz w:val="20"/>
              </w:rPr>
              <w:t>37</w:t>
            </w:r>
          </w:p>
        </w:tc>
        <w:tc>
          <w:tcPr>
            <w:tcW w:w="1559" w:type="dxa"/>
            <w:hideMark/>
          </w:tcPr>
          <w:p w14:paraId="1543AC65" w14:textId="77777777" w:rsidR="00421337" w:rsidRPr="00AF0A31" w:rsidRDefault="00421337" w:rsidP="007F4BAA">
            <w:pPr>
              <w:jc w:val="center"/>
              <w:rPr>
                <w:sz w:val="20"/>
              </w:rPr>
            </w:pPr>
          </w:p>
        </w:tc>
        <w:tc>
          <w:tcPr>
            <w:tcW w:w="1984" w:type="dxa"/>
            <w:hideMark/>
          </w:tcPr>
          <w:p w14:paraId="60396413" w14:textId="77777777" w:rsidR="00421337" w:rsidRPr="00AF0A31" w:rsidRDefault="00421337" w:rsidP="007F4BAA">
            <w:pPr>
              <w:pStyle w:val="NormalWeb"/>
              <w:jc w:val="center"/>
              <w:rPr>
                <w:sz w:val="20"/>
                <w:szCs w:val="24"/>
              </w:rPr>
            </w:pPr>
            <w:r w:rsidRPr="00AF0A31">
              <w:rPr>
                <w:sz w:val="20"/>
              </w:rPr>
              <w:t>66</w:t>
            </w:r>
          </w:p>
        </w:tc>
        <w:tc>
          <w:tcPr>
            <w:tcW w:w="1394" w:type="dxa"/>
            <w:hideMark/>
          </w:tcPr>
          <w:p w14:paraId="14C10E63" w14:textId="77777777" w:rsidR="00421337" w:rsidRPr="00AF0A31" w:rsidRDefault="00421337" w:rsidP="007F4BAA">
            <w:pPr>
              <w:jc w:val="center"/>
              <w:rPr>
                <w:sz w:val="20"/>
              </w:rPr>
            </w:pPr>
          </w:p>
        </w:tc>
      </w:tr>
      <w:tr w:rsidR="00421337" w:rsidRPr="00AF0A31" w14:paraId="54194326" w14:textId="77777777" w:rsidTr="006A3F13">
        <w:tc>
          <w:tcPr>
            <w:tcW w:w="3119" w:type="dxa"/>
            <w:hideMark/>
          </w:tcPr>
          <w:p w14:paraId="512D4EE7" w14:textId="77777777" w:rsidR="00421337" w:rsidRPr="00AF0A31" w:rsidRDefault="00421337">
            <w:pPr>
              <w:pStyle w:val="NormalWeb"/>
              <w:rPr>
                <w:sz w:val="20"/>
                <w:szCs w:val="24"/>
              </w:rPr>
            </w:pPr>
            <w:r w:rsidRPr="00AF0A31">
              <w:rPr>
                <w:sz w:val="20"/>
              </w:rPr>
              <w:t>Range</w:t>
            </w:r>
          </w:p>
        </w:tc>
        <w:tc>
          <w:tcPr>
            <w:tcW w:w="2410" w:type="dxa"/>
            <w:hideMark/>
          </w:tcPr>
          <w:p w14:paraId="5238C1FE" w14:textId="77777777" w:rsidR="00421337" w:rsidRPr="00AF0A31" w:rsidRDefault="00421337" w:rsidP="007F4BAA">
            <w:pPr>
              <w:pStyle w:val="NormalWeb"/>
              <w:jc w:val="center"/>
              <w:rPr>
                <w:sz w:val="20"/>
              </w:rPr>
            </w:pPr>
            <w:r w:rsidRPr="00AF0A31">
              <w:rPr>
                <w:sz w:val="20"/>
              </w:rPr>
              <w:t>9–83</w:t>
            </w:r>
          </w:p>
        </w:tc>
        <w:tc>
          <w:tcPr>
            <w:tcW w:w="1559" w:type="dxa"/>
            <w:hideMark/>
          </w:tcPr>
          <w:p w14:paraId="66771173" w14:textId="77777777" w:rsidR="00421337" w:rsidRPr="00AF0A31" w:rsidRDefault="00421337" w:rsidP="007F4BAA">
            <w:pPr>
              <w:jc w:val="center"/>
              <w:rPr>
                <w:sz w:val="20"/>
              </w:rPr>
            </w:pPr>
          </w:p>
        </w:tc>
        <w:tc>
          <w:tcPr>
            <w:tcW w:w="1984" w:type="dxa"/>
            <w:hideMark/>
          </w:tcPr>
          <w:p w14:paraId="00E5635D" w14:textId="77777777" w:rsidR="00421337" w:rsidRPr="00AF0A31" w:rsidRDefault="00421337" w:rsidP="007F4BAA">
            <w:pPr>
              <w:pStyle w:val="NormalWeb"/>
              <w:jc w:val="center"/>
              <w:rPr>
                <w:sz w:val="20"/>
                <w:szCs w:val="24"/>
              </w:rPr>
            </w:pPr>
            <w:r w:rsidRPr="00AF0A31">
              <w:rPr>
                <w:sz w:val="20"/>
              </w:rPr>
              <w:t>19–86</w:t>
            </w:r>
          </w:p>
        </w:tc>
        <w:tc>
          <w:tcPr>
            <w:tcW w:w="1394" w:type="dxa"/>
            <w:hideMark/>
          </w:tcPr>
          <w:p w14:paraId="7B21A08D" w14:textId="77777777" w:rsidR="00421337" w:rsidRPr="00AF0A31" w:rsidRDefault="00421337" w:rsidP="007F4BAA">
            <w:pPr>
              <w:jc w:val="center"/>
              <w:rPr>
                <w:sz w:val="20"/>
              </w:rPr>
            </w:pPr>
          </w:p>
        </w:tc>
      </w:tr>
      <w:tr w:rsidR="00421337" w:rsidRPr="00AF0A31" w14:paraId="5D757F08" w14:textId="77777777" w:rsidTr="006A3F13">
        <w:trPr>
          <w:cnfStyle w:val="000000010000" w:firstRow="0" w:lastRow="0" w:firstColumn="0" w:lastColumn="0" w:oddVBand="0" w:evenVBand="0" w:oddHBand="0" w:evenHBand="1" w:firstRowFirstColumn="0" w:firstRowLastColumn="0" w:lastRowFirstColumn="0" w:lastRowLastColumn="0"/>
        </w:trPr>
        <w:tc>
          <w:tcPr>
            <w:tcW w:w="3119" w:type="dxa"/>
            <w:hideMark/>
          </w:tcPr>
          <w:p w14:paraId="6831ECD5" w14:textId="77777777" w:rsidR="00421337" w:rsidRPr="00AF0A31" w:rsidRDefault="00421337">
            <w:pPr>
              <w:pStyle w:val="NormalWeb"/>
              <w:rPr>
                <w:sz w:val="20"/>
                <w:szCs w:val="24"/>
              </w:rPr>
            </w:pPr>
            <w:r w:rsidRPr="00AF0A31">
              <w:rPr>
                <w:sz w:val="20"/>
              </w:rPr>
              <w:t>Age groups</w:t>
            </w:r>
          </w:p>
        </w:tc>
        <w:tc>
          <w:tcPr>
            <w:tcW w:w="2410" w:type="dxa"/>
            <w:hideMark/>
          </w:tcPr>
          <w:p w14:paraId="5E579406" w14:textId="77777777" w:rsidR="00421337" w:rsidRPr="00AF0A31" w:rsidRDefault="00421337" w:rsidP="007F4BAA">
            <w:pPr>
              <w:jc w:val="center"/>
              <w:rPr>
                <w:sz w:val="20"/>
              </w:rPr>
            </w:pPr>
          </w:p>
        </w:tc>
        <w:tc>
          <w:tcPr>
            <w:tcW w:w="1559" w:type="dxa"/>
            <w:hideMark/>
          </w:tcPr>
          <w:p w14:paraId="60D6928E" w14:textId="77777777" w:rsidR="00421337" w:rsidRPr="00AF0A31" w:rsidRDefault="00421337" w:rsidP="007F4BAA">
            <w:pPr>
              <w:jc w:val="center"/>
              <w:rPr>
                <w:rFonts w:eastAsia="Times New Roman"/>
                <w:sz w:val="20"/>
                <w:szCs w:val="20"/>
              </w:rPr>
            </w:pPr>
          </w:p>
        </w:tc>
        <w:tc>
          <w:tcPr>
            <w:tcW w:w="1984" w:type="dxa"/>
            <w:hideMark/>
          </w:tcPr>
          <w:p w14:paraId="22C12C67" w14:textId="77777777" w:rsidR="00421337" w:rsidRPr="00AF0A31" w:rsidRDefault="00421337" w:rsidP="007F4BAA">
            <w:pPr>
              <w:jc w:val="center"/>
              <w:rPr>
                <w:rFonts w:eastAsia="Times New Roman"/>
                <w:sz w:val="20"/>
                <w:szCs w:val="20"/>
              </w:rPr>
            </w:pPr>
          </w:p>
        </w:tc>
        <w:tc>
          <w:tcPr>
            <w:tcW w:w="1394" w:type="dxa"/>
            <w:hideMark/>
          </w:tcPr>
          <w:p w14:paraId="67D12496" w14:textId="77777777" w:rsidR="00421337" w:rsidRPr="00AF0A31" w:rsidRDefault="00421337" w:rsidP="007F4BAA">
            <w:pPr>
              <w:jc w:val="center"/>
              <w:rPr>
                <w:rFonts w:eastAsia="Times New Roman"/>
                <w:sz w:val="20"/>
                <w:szCs w:val="20"/>
              </w:rPr>
            </w:pPr>
          </w:p>
        </w:tc>
      </w:tr>
      <w:tr w:rsidR="00421337" w:rsidRPr="00AF0A31" w14:paraId="3D0E213D" w14:textId="77777777" w:rsidTr="006A3F13">
        <w:tc>
          <w:tcPr>
            <w:tcW w:w="3119" w:type="dxa"/>
            <w:hideMark/>
          </w:tcPr>
          <w:p w14:paraId="7F974F5D" w14:textId="77777777" w:rsidR="00421337" w:rsidRPr="00AF0A31" w:rsidRDefault="00421337">
            <w:pPr>
              <w:pStyle w:val="NormalWeb"/>
              <w:rPr>
                <w:sz w:val="20"/>
                <w:szCs w:val="24"/>
              </w:rPr>
            </w:pPr>
            <w:r w:rsidRPr="00AF0A31">
              <w:rPr>
                <w:sz w:val="20"/>
              </w:rPr>
              <w:t>9–18</w:t>
            </w:r>
          </w:p>
        </w:tc>
        <w:tc>
          <w:tcPr>
            <w:tcW w:w="2410" w:type="dxa"/>
            <w:hideMark/>
          </w:tcPr>
          <w:p w14:paraId="6ACC8D7B" w14:textId="77777777" w:rsidR="00421337" w:rsidRPr="00AF0A31" w:rsidRDefault="00421337" w:rsidP="007F4BAA">
            <w:pPr>
              <w:pStyle w:val="NormalWeb"/>
              <w:jc w:val="center"/>
              <w:rPr>
                <w:sz w:val="20"/>
              </w:rPr>
            </w:pPr>
            <w:r w:rsidRPr="00AF0A31">
              <w:rPr>
                <w:sz w:val="20"/>
              </w:rPr>
              <w:t>5</w:t>
            </w:r>
          </w:p>
        </w:tc>
        <w:tc>
          <w:tcPr>
            <w:tcW w:w="1559" w:type="dxa"/>
            <w:hideMark/>
          </w:tcPr>
          <w:p w14:paraId="445C9AB3" w14:textId="77777777" w:rsidR="00421337" w:rsidRPr="00AF0A31" w:rsidRDefault="00421337" w:rsidP="007F4BAA">
            <w:pPr>
              <w:pStyle w:val="NormalWeb"/>
              <w:jc w:val="center"/>
              <w:rPr>
                <w:sz w:val="20"/>
              </w:rPr>
            </w:pPr>
            <w:r w:rsidRPr="00AF0A31">
              <w:rPr>
                <w:sz w:val="20"/>
              </w:rPr>
              <w:t>26</w:t>
            </w:r>
          </w:p>
        </w:tc>
        <w:tc>
          <w:tcPr>
            <w:tcW w:w="1984" w:type="dxa"/>
            <w:hideMark/>
          </w:tcPr>
          <w:p w14:paraId="2FA797F9" w14:textId="77777777" w:rsidR="00421337" w:rsidRPr="00AF0A31" w:rsidRDefault="00421337" w:rsidP="007F4BAA">
            <w:pPr>
              <w:pStyle w:val="NormalWeb"/>
              <w:jc w:val="center"/>
              <w:rPr>
                <w:sz w:val="20"/>
              </w:rPr>
            </w:pPr>
            <w:r w:rsidRPr="00AF0A31">
              <w:rPr>
                <w:sz w:val="20"/>
              </w:rPr>
              <w:t>0</w:t>
            </w:r>
          </w:p>
        </w:tc>
        <w:tc>
          <w:tcPr>
            <w:tcW w:w="1394" w:type="dxa"/>
            <w:hideMark/>
          </w:tcPr>
          <w:p w14:paraId="4B7E0838" w14:textId="77777777" w:rsidR="00421337" w:rsidRPr="00AF0A31" w:rsidRDefault="00421337" w:rsidP="007F4BAA">
            <w:pPr>
              <w:pStyle w:val="NormalWeb"/>
              <w:jc w:val="center"/>
              <w:rPr>
                <w:sz w:val="20"/>
              </w:rPr>
            </w:pPr>
            <w:r w:rsidRPr="00AF0A31">
              <w:rPr>
                <w:sz w:val="20"/>
              </w:rPr>
              <w:t>0</w:t>
            </w:r>
          </w:p>
        </w:tc>
      </w:tr>
      <w:tr w:rsidR="00421337" w:rsidRPr="00AF0A31" w14:paraId="304C68A4" w14:textId="77777777" w:rsidTr="006A3F13">
        <w:trPr>
          <w:cnfStyle w:val="000000010000" w:firstRow="0" w:lastRow="0" w:firstColumn="0" w:lastColumn="0" w:oddVBand="0" w:evenVBand="0" w:oddHBand="0" w:evenHBand="1" w:firstRowFirstColumn="0" w:firstRowLastColumn="0" w:lastRowFirstColumn="0" w:lastRowLastColumn="0"/>
        </w:trPr>
        <w:tc>
          <w:tcPr>
            <w:tcW w:w="3119" w:type="dxa"/>
            <w:hideMark/>
          </w:tcPr>
          <w:p w14:paraId="621DF348" w14:textId="77777777" w:rsidR="00421337" w:rsidRPr="00AF0A31" w:rsidRDefault="00421337">
            <w:pPr>
              <w:pStyle w:val="NormalWeb"/>
              <w:rPr>
                <w:sz w:val="20"/>
              </w:rPr>
            </w:pPr>
            <w:r w:rsidRPr="00AF0A31">
              <w:rPr>
                <w:sz w:val="20"/>
              </w:rPr>
              <w:t>19–28</w:t>
            </w:r>
          </w:p>
        </w:tc>
        <w:tc>
          <w:tcPr>
            <w:tcW w:w="2410" w:type="dxa"/>
            <w:hideMark/>
          </w:tcPr>
          <w:p w14:paraId="320AEDFE" w14:textId="77777777" w:rsidR="00421337" w:rsidRPr="00AF0A31" w:rsidRDefault="00421337" w:rsidP="007F4BAA">
            <w:pPr>
              <w:pStyle w:val="NormalWeb"/>
              <w:jc w:val="center"/>
              <w:rPr>
                <w:sz w:val="20"/>
              </w:rPr>
            </w:pPr>
            <w:r w:rsidRPr="00AF0A31">
              <w:rPr>
                <w:sz w:val="20"/>
              </w:rPr>
              <w:t>2</w:t>
            </w:r>
          </w:p>
        </w:tc>
        <w:tc>
          <w:tcPr>
            <w:tcW w:w="1559" w:type="dxa"/>
            <w:hideMark/>
          </w:tcPr>
          <w:p w14:paraId="68590522" w14:textId="77777777" w:rsidR="00421337" w:rsidRPr="00AF0A31" w:rsidRDefault="00421337" w:rsidP="007F4BAA">
            <w:pPr>
              <w:pStyle w:val="NormalWeb"/>
              <w:jc w:val="center"/>
              <w:rPr>
                <w:sz w:val="20"/>
              </w:rPr>
            </w:pPr>
            <w:r w:rsidRPr="00AF0A31">
              <w:rPr>
                <w:sz w:val="20"/>
              </w:rPr>
              <w:t>11</w:t>
            </w:r>
          </w:p>
        </w:tc>
        <w:tc>
          <w:tcPr>
            <w:tcW w:w="1984" w:type="dxa"/>
            <w:hideMark/>
          </w:tcPr>
          <w:p w14:paraId="3A26DDB7" w14:textId="77777777" w:rsidR="00421337" w:rsidRPr="00AF0A31" w:rsidRDefault="00421337" w:rsidP="007F4BAA">
            <w:pPr>
              <w:pStyle w:val="NormalWeb"/>
              <w:jc w:val="center"/>
              <w:rPr>
                <w:sz w:val="20"/>
              </w:rPr>
            </w:pPr>
            <w:r w:rsidRPr="00AF0A31">
              <w:rPr>
                <w:sz w:val="20"/>
              </w:rPr>
              <w:t>3</w:t>
            </w:r>
          </w:p>
        </w:tc>
        <w:tc>
          <w:tcPr>
            <w:tcW w:w="1394" w:type="dxa"/>
            <w:hideMark/>
          </w:tcPr>
          <w:p w14:paraId="001492B2" w14:textId="77777777" w:rsidR="00421337" w:rsidRPr="00AF0A31" w:rsidRDefault="00421337" w:rsidP="007F4BAA">
            <w:pPr>
              <w:pStyle w:val="NormalWeb"/>
              <w:jc w:val="center"/>
              <w:rPr>
                <w:sz w:val="20"/>
              </w:rPr>
            </w:pPr>
            <w:r w:rsidRPr="00AF0A31">
              <w:rPr>
                <w:sz w:val="20"/>
              </w:rPr>
              <w:t>43</w:t>
            </w:r>
          </w:p>
        </w:tc>
      </w:tr>
      <w:tr w:rsidR="00421337" w:rsidRPr="00AF0A31" w14:paraId="588779EC" w14:textId="77777777" w:rsidTr="006A3F13">
        <w:tc>
          <w:tcPr>
            <w:tcW w:w="3119" w:type="dxa"/>
            <w:hideMark/>
          </w:tcPr>
          <w:p w14:paraId="7E573B56" w14:textId="77777777" w:rsidR="00421337" w:rsidRPr="00AF0A31" w:rsidRDefault="00421337">
            <w:pPr>
              <w:pStyle w:val="NormalWeb"/>
              <w:rPr>
                <w:sz w:val="20"/>
              </w:rPr>
            </w:pPr>
            <w:r w:rsidRPr="00AF0A31">
              <w:rPr>
                <w:sz w:val="20"/>
              </w:rPr>
              <w:t>29–38</w:t>
            </w:r>
          </w:p>
        </w:tc>
        <w:tc>
          <w:tcPr>
            <w:tcW w:w="2410" w:type="dxa"/>
            <w:hideMark/>
          </w:tcPr>
          <w:p w14:paraId="738C3EF6" w14:textId="77777777" w:rsidR="00421337" w:rsidRPr="00AF0A31" w:rsidRDefault="00421337" w:rsidP="007F4BAA">
            <w:pPr>
              <w:pStyle w:val="NormalWeb"/>
              <w:jc w:val="center"/>
              <w:rPr>
                <w:sz w:val="20"/>
              </w:rPr>
            </w:pPr>
            <w:r w:rsidRPr="00AF0A31">
              <w:rPr>
                <w:sz w:val="20"/>
              </w:rPr>
              <w:t>2</w:t>
            </w:r>
          </w:p>
        </w:tc>
        <w:tc>
          <w:tcPr>
            <w:tcW w:w="1559" w:type="dxa"/>
            <w:hideMark/>
          </w:tcPr>
          <w:p w14:paraId="665852C9" w14:textId="77777777" w:rsidR="00421337" w:rsidRPr="00AF0A31" w:rsidRDefault="00421337" w:rsidP="007F4BAA">
            <w:pPr>
              <w:pStyle w:val="NormalWeb"/>
              <w:jc w:val="center"/>
              <w:rPr>
                <w:sz w:val="20"/>
              </w:rPr>
            </w:pPr>
            <w:r w:rsidRPr="00AF0A31">
              <w:rPr>
                <w:sz w:val="20"/>
              </w:rPr>
              <w:t>11</w:t>
            </w:r>
          </w:p>
        </w:tc>
        <w:tc>
          <w:tcPr>
            <w:tcW w:w="1984" w:type="dxa"/>
            <w:hideMark/>
          </w:tcPr>
          <w:p w14:paraId="656CC6C1" w14:textId="77777777" w:rsidR="00421337" w:rsidRPr="00AF0A31" w:rsidRDefault="00421337" w:rsidP="007F4BAA">
            <w:pPr>
              <w:pStyle w:val="NormalWeb"/>
              <w:jc w:val="center"/>
              <w:rPr>
                <w:sz w:val="20"/>
              </w:rPr>
            </w:pPr>
            <w:r w:rsidRPr="00AF0A31">
              <w:rPr>
                <w:sz w:val="20"/>
              </w:rPr>
              <w:t>0</w:t>
            </w:r>
          </w:p>
        </w:tc>
        <w:tc>
          <w:tcPr>
            <w:tcW w:w="1394" w:type="dxa"/>
            <w:hideMark/>
          </w:tcPr>
          <w:p w14:paraId="1911BCDF" w14:textId="77777777" w:rsidR="00421337" w:rsidRPr="00AF0A31" w:rsidRDefault="00421337" w:rsidP="007F4BAA">
            <w:pPr>
              <w:pStyle w:val="NormalWeb"/>
              <w:jc w:val="center"/>
              <w:rPr>
                <w:sz w:val="20"/>
              </w:rPr>
            </w:pPr>
            <w:r w:rsidRPr="00AF0A31">
              <w:rPr>
                <w:sz w:val="20"/>
              </w:rPr>
              <w:t>0</w:t>
            </w:r>
          </w:p>
        </w:tc>
      </w:tr>
      <w:tr w:rsidR="00421337" w:rsidRPr="00AF0A31" w14:paraId="2DC27234" w14:textId="77777777" w:rsidTr="006A3F13">
        <w:trPr>
          <w:cnfStyle w:val="000000010000" w:firstRow="0" w:lastRow="0" w:firstColumn="0" w:lastColumn="0" w:oddVBand="0" w:evenVBand="0" w:oddHBand="0" w:evenHBand="1" w:firstRowFirstColumn="0" w:firstRowLastColumn="0" w:lastRowFirstColumn="0" w:lastRowLastColumn="0"/>
        </w:trPr>
        <w:tc>
          <w:tcPr>
            <w:tcW w:w="3119" w:type="dxa"/>
            <w:hideMark/>
          </w:tcPr>
          <w:p w14:paraId="605D3470" w14:textId="77777777" w:rsidR="00421337" w:rsidRPr="00AF0A31" w:rsidRDefault="00421337">
            <w:pPr>
              <w:pStyle w:val="NormalWeb"/>
              <w:rPr>
                <w:sz w:val="20"/>
              </w:rPr>
            </w:pPr>
            <w:r w:rsidRPr="00AF0A31">
              <w:rPr>
                <w:sz w:val="20"/>
              </w:rPr>
              <w:t>39–48</w:t>
            </w:r>
          </w:p>
        </w:tc>
        <w:tc>
          <w:tcPr>
            <w:tcW w:w="2410" w:type="dxa"/>
            <w:hideMark/>
          </w:tcPr>
          <w:p w14:paraId="72B1A77E" w14:textId="77777777" w:rsidR="00421337" w:rsidRPr="00AF0A31" w:rsidRDefault="00421337" w:rsidP="007F4BAA">
            <w:pPr>
              <w:pStyle w:val="NormalWeb"/>
              <w:jc w:val="center"/>
              <w:rPr>
                <w:sz w:val="20"/>
              </w:rPr>
            </w:pPr>
            <w:r w:rsidRPr="00AF0A31">
              <w:rPr>
                <w:sz w:val="20"/>
              </w:rPr>
              <w:t>0</w:t>
            </w:r>
          </w:p>
        </w:tc>
        <w:tc>
          <w:tcPr>
            <w:tcW w:w="1559" w:type="dxa"/>
            <w:hideMark/>
          </w:tcPr>
          <w:p w14:paraId="247381D0" w14:textId="77777777" w:rsidR="00421337" w:rsidRPr="00AF0A31" w:rsidRDefault="00421337" w:rsidP="007F4BAA">
            <w:pPr>
              <w:pStyle w:val="NormalWeb"/>
              <w:jc w:val="center"/>
              <w:rPr>
                <w:sz w:val="20"/>
              </w:rPr>
            </w:pPr>
            <w:r w:rsidRPr="00AF0A31">
              <w:rPr>
                <w:sz w:val="20"/>
              </w:rPr>
              <w:t>0</w:t>
            </w:r>
          </w:p>
        </w:tc>
        <w:tc>
          <w:tcPr>
            <w:tcW w:w="1984" w:type="dxa"/>
            <w:hideMark/>
          </w:tcPr>
          <w:p w14:paraId="7E47D7E8" w14:textId="77777777" w:rsidR="00421337" w:rsidRPr="00AF0A31" w:rsidRDefault="00421337" w:rsidP="007F4BAA">
            <w:pPr>
              <w:pStyle w:val="NormalWeb"/>
              <w:jc w:val="center"/>
              <w:rPr>
                <w:sz w:val="20"/>
              </w:rPr>
            </w:pPr>
            <w:r w:rsidRPr="00AF0A31">
              <w:rPr>
                <w:sz w:val="20"/>
              </w:rPr>
              <w:t>0</w:t>
            </w:r>
          </w:p>
        </w:tc>
        <w:tc>
          <w:tcPr>
            <w:tcW w:w="1394" w:type="dxa"/>
            <w:hideMark/>
          </w:tcPr>
          <w:p w14:paraId="2532ED33" w14:textId="77777777" w:rsidR="00421337" w:rsidRPr="00AF0A31" w:rsidRDefault="00421337" w:rsidP="007F4BAA">
            <w:pPr>
              <w:pStyle w:val="NormalWeb"/>
              <w:jc w:val="center"/>
              <w:rPr>
                <w:sz w:val="20"/>
              </w:rPr>
            </w:pPr>
            <w:r w:rsidRPr="00AF0A31">
              <w:rPr>
                <w:sz w:val="20"/>
              </w:rPr>
              <w:t>0</w:t>
            </w:r>
          </w:p>
        </w:tc>
      </w:tr>
      <w:tr w:rsidR="00421337" w:rsidRPr="00AF0A31" w14:paraId="5271E3D0" w14:textId="77777777" w:rsidTr="006A3F13">
        <w:tc>
          <w:tcPr>
            <w:tcW w:w="3119" w:type="dxa"/>
            <w:hideMark/>
          </w:tcPr>
          <w:p w14:paraId="17A402F8" w14:textId="77777777" w:rsidR="00421337" w:rsidRPr="00AF0A31" w:rsidRDefault="00421337">
            <w:pPr>
              <w:pStyle w:val="NormalWeb"/>
              <w:rPr>
                <w:sz w:val="20"/>
              </w:rPr>
            </w:pPr>
            <w:r w:rsidRPr="00AF0A31">
              <w:rPr>
                <w:sz w:val="20"/>
              </w:rPr>
              <w:t>49–58</w:t>
            </w:r>
          </w:p>
        </w:tc>
        <w:tc>
          <w:tcPr>
            <w:tcW w:w="2410" w:type="dxa"/>
            <w:hideMark/>
          </w:tcPr>
          <w:p w14:paraId="0A12A1EA" w14:textId="77777777" w:rsidR="00421337" w:rsidRPr="00AF0A31" w:rsidRDefault="00421337" w:rsidP="007F4BAA">
            <w:pPr>
              <w:pStyle w:val="NormalWeb"/>
              <w:jc w:val="center"/>
              <w:rPr>
                <w:sz w:val="20"/>
              </w:rPr>
            </w:pPr>
            <w:r w:rsidRPr="00AF0A31">
              <w:rPr>
                <w:sz w:val="20"/>
              </w:rPr>
              <w:t>0</w:t>
            </w:r>
          </w:p>
        </w:tc>
        <w:tc>
          <w:tcPr>
            <w:tcW w:w="1559" w:type="dxa"/>
            <w:hideMark/>
          </w:tcPr>
          <w:p w14:paraId="07DA3BDE" w14:textId="77777777" w:rsidR="00421337" w:rsidRPr="00AF0A31" w:rsidRDefault="00421337" w:rsidP="007F4BAA">
            <w:pPr>
              <w:pStyle w:val="NormalWeb"/>
              <w:jc w:val="center"/>
              <w:rPr>
                <w:sz w:val="20"/>
              </w:rPr>
            </w:pPr>
            <w:r w:rsidRPr="00AF0A31">
              <w:rPr>
                <w:sz w:val="20"/>
              </w:rPr>
              <w:t>0</w:t>
            </w:r>
          </w:p>
        </w:tc>
        <w:tc>
          <w:tcPr>
            <w:tcW w:w="1984" w:type="dxa"/>
            <w:hideMark/>
          </w:tcPr>
          <w:p w14:paraId="5A376D6B" w14:textId="77777777" w:rsidR="00421337" w:rsidRPr="00AF0A31" w:rsidRDefault="00421337" w:rsidP="007F4BAA">
            <w:pPr>
              <w:pStyle w:val="NormalWeb"/>
              <w:jc w:val="center"/>
              <w:rPr>
                <w:sz w:val="20"/>
              </w:rPr>
            </w:pPr>
            <w:r w:rsidRPr="00AF0A31">
              <w:rPr>
                <w:sz w:val="20"/>
              </w:rPr>
              <w:t>0</w:t>
            </w:r>
          </w:p>
        </w:tc>
        <w:tc>
          <w:tcPr>
            <w:tcW w:w="1394" w:type="dxa"/>
            <w:hideMark/>
          </w:tcPr>
          <w:p w14:paraId="1B6D7D70" w14:textId="77777777" w:rsidR="00421337" w:rsidRPr="00AF0A31" w:rsidRDefault="00421337" w:rsidP="007F4BAA">
            <w:pPr>
              <w:pStyle w:val="NormalWeb"/>
              <w:jc w:val="center"/>
              <w:rPr>
                <w:sz w:val="20"/>
              </w:rPr>
            </w:pPr>
            <w:r w:rsidRPr="00AF0A31">
              <w:rPr>
                <w:sz w:val="20"/>
              </w:rPr>
              <w:t>0</w:t>
            </w:r>
          </w:p>
        </w:tc>
      </w:tr>
      <w:tr w:rsidR="00421337" w:rsidRPr="00AF0A31" w14:paraId="25CD56D9" w14:textId="77777777" w:rsidTr="006A3F13">
        <w:trPr>
          <w:cnfStyle w:val="000000010000" w:firstRow="0" w:lastRow="0" w:firstColumn="0" w:lastColumn="0" w:oddVBand="0" w:evenVBand="0" w:oddHBand="0" w:evenHBand="1" w:firstRowFirstColumn="0" w:firstRowLastColumn="0" w:lastRowFirstColumn="0" w:lastRowLastColumn="0"/>
        </w:trPr>
        <w:tc>
          <w:tcPr>
            <w:tcW w:w="3119" w:type="dxa"/>
            <w:hideMark/>
          </w:tcPr>
          <w:p w14:paraId="763D9041" w14:textId="77777777" w:rsidR="00421337" w:rsidRPr="00AF0A31" w:rsidRDefault="00421337">
            <w:pPr>
              <w:pStyle w:val="NormalWeb"/>
              <w:rPr>
                <w:sz w:val="20"/>
              </w:rPr>
            </w:pPr>
            <w:r w:rsidRPr="00AF0A31">
              <w:rPr>
                <w:sz w:val="20"/>
              </w:rPr>
              <w:t>59–68</w:t>
            </w:r>
          </w:p>
        </w:tc>
        <w:tc>
          <w:tcPr>
            <w:tcW w:w="2410" w:type="dxa"/>
            <w:hideMark/>
          </w:tcPr>
          <w:p w14:paraId="32D40AD2" w14:textId="77777777" w:rsidR="00421337" w:rsidRPr="00AF0A31" w:rsidRDefault="00421337" w:rsidP="007F4BAA">
            <w:pPr>
              <w:pStyle w:val="NormalWeb"/>
              <w:jc w:val="center"/>
              <w:rPr>
                <w:sz w:val="20"/>
              </w:rPr>
            </w:pPr>
            <w:r w:rsidRPr="00AF0A31">
              <w:rPr>
                <w:sz w:val="20"/>
              </w:rPr>
              <w:t>2</w:t>
            </w:r>
          </w:p>
        </w:tc>
        <w:tc>
          <w:tcPr>
            <w:tcW w:w="1559" w:type="dxa"/>
            <w:hideMark/>
          </w:tcPr>
          <w:p w14:paraId="0BAFE1D9" w14:textId="77777777" w:rsidR="00421337" w:rsidRPr="00AF0A31" w:rsidRDefault="00421337" w:rsidP="007F4BAA">
            <w:pPr>
              <w:pStyle w:val="NormalWeb"/>
              <w:jc w:val="center"/>
              <w:rPr>
                <w:sz w:val="20"/>
              </w:rPr>
            </w:pPr>
            <w:r w:rsidRPr="00AF0A31">
              <w:rPr>
                <w:sz w:val="20"/>
              </w:rPr>
              <w:t>11</w:t>
            </w:r>
          </w:p>
        </w:tc>
        <w:tc>
          <w:tcPr>
            <w:tcW w:w="1984" w:type="dxa"/>
            <w:hideMark/>
          </w:tcPr>
          <w:p w14:paraId="75780736" w14:textId="77777777" w:rsidR="00421337" w:rsidRPr="00AF0A31" w:rsidRDefault="00421337" w:rsidP="007F4BAA">
            <w:pPr>
              <w:pStyle w:val="NormalWeb"/>
              <w:jc w:val="center"/>
              <w:rPr>
                <w:sz w:val="20"/>
              </w:rPr>
            </w:pPr>
            <w:r w:rsidRPr="00AF0A31">
              <w:rPr>
                <w:sz w:val="20"/>
              </w:rPr>
              <w:t>1</w:t>
            </w:r>
          </w:p>
        </w:tc>
        <w:tc>
          <w:tcPr>
            <w:tcW w:w="1394" w:type="dxa"/>
            <w:hideMark/>
          </w:tcPr>
          <w:p w14:paraId="18B9AA77" w14:textId="77777777" w:rsidR="00421337" w:rsidRPr="00AF0A31" w:rsidRDefault="00421337" w:rsidP="007F4BAA">
            <w:pPr>
              <w:pStyle w:val="NormalWeb"/>
              <w:jc w:val="center"/>
              <w:rPr>
                <w:sz w:val="20"/>
              </w:rPr>
            </w:pPr>
            <w:r w:rsidRPr="00AF0A31">
              <w:rPr>
                <w:sz w:val="20"/>
              </w:rPr>
              <w:t>14</w:t>
            </w:r>
          </w:p>
        </w:tc>
      </w:tr>
      <w:tr w:rsidR="00421337" w:rsidRPr="00AF0A31" w14:paraId="18BCFCF2" w14:textId="77777777" w:rsidTr="006A3F13">
        <w:tc>
          <w:tcPr>
            <w:tcW w:w="3119" w:type="dxa"/>
            <w:hideMark/>
          </w:tcPr>
          <w:p w14:paraId="51897E79" w14:textId="77777777" w:rsidR="00421337" w:rsidRPr="00AF0A31" w:rsidRDefault="00421337">
            <w:pPr>
              <w:pStyle w:val="NormalWeb"/>
              <w:rPr>
                <w:sz w:val="20"/>
              </w:rPr>
            </w:pPr>
            <w:r w:rsidRPr="00AF0A31">
              <w:rPr>
                <w:sz w:val="20"/>
              </w:rPr>
              <w:t>69–78</w:t>
            </w:r>
          </w:p>
        </w:tc>
        <w:tc>
          <w:tcPr>
            <w:tcW w:w="2410" w:type="dxa"/>
            <w:hideMark/>
          </w:tcPr>
          <w:p w14:paraId="22C5D847" w14:textId="77777777" w:rsidR="00421337" w:rsidRPr="00AF0A31" w:rsidRDefault="00421337" w:rsidP="007F4BAA">
            <w:pPr>
              <w:pStyle w:val="NormalWeb"/>
              <w:jc w:val="center"/>
              <w:rPr>
                <w:sz w:val="20"/>
              </w:rPr>
            </w:pPr>
            <w:r w:rsidRPr="00AF0A31">
              <w:rPr>
                <w:sz w:val="20"/>
              </w:rPr>
              <w:t>4</w:t>
            </w:r>
          </w:p>
        </w:tc>
        <w:tc>
          <w:tcPr>
            <w:tcW w:w="1559" w:type="dxa"/>
            <w:hideMark/>
          </w:tcPr>
          <w:p w14:paraId="1B06D9FC" w14:textId="77777777" w:rsidR="00421337" w:rsidRPr="00AF0A31" w:rsidRDefault="00421337" w:rsidP="007F4BAA">
            <w:pPr>
              <w:pStyle w:val="NormalWeb"/>
              <w:jc w:val="center"/>
              <w:rPr>
                <w:sz w:val="20"/>
              </w:rPr>
            </w:pPr>
            <w:r w:rsidRPr="00AF0A31">
              <w:rPr>
                <w:sz w:val="20"/>
              </w:rPr>
              <w:t>21</w:t>
            </w:r>
          </w:p>
        </w:tc>
        <w:tc>
          <w:tcPr>
            <w:tcW w:w="1984" w:type="dxa"/>
            <w:hideMark/>
          </w:tcPr>
          <w:p w14:paraId="70E5693E" w14:textId="77777777" w:rsidR="00421337" w:rsidRPr="00AF0A31" w:rsidRDefault="00421337" w:rsidP="007F4BAA">
            <w:pPr>
              <w:pStyle w:val="NormalWeb"/>
              <w:jc w:val="center"/>
              <w:rPr>
                <w:sz w:val="20"/>
              </w:rPr>
            </w:pPr>
            <w:r w:rsidRPr="00AF0A31">
              <w:rPr>
                <w:sz w:val="20"/>
              </w:rPr>
              <w:t>1</w:t>
            </w:r>
          </w:p>
        </w:tc>
        <w:tc>
          <w:tcPr>
            <w:tcW w:w="1394" w:type="dxa"/>
            <w:hideMark/>
          </w:tcPr>
          <w:p w14:paraId="2C03616A" w14:textId="77777777" w:rsidR="00421337" w:rsidRPr="00AF0A31" w:rsidRDefault="00421337" w:rsidP="007F4BAA">
            <w:pPr>
              <w:pStyle w:val="NormalWeb"/>
              <w:jc w:val="center"/>
              <w:rPr>
                <w:sz w:val="20"/>
              </w:rPr>
            </w:pPr>
            <w:r w:rsidRPr="00AF0A31">
              <w:rPr>
                <w:sz w:val="20"/>
              </w:rPr>
              <w:t>14</w:t>
            </w:r>
          </w:p>
        </w:tc>
      </w:tr>
      <w:tr w:rsidR="00421337" w:rsidRPr="00AF0A31" w14:paraId="2C00B95A" w14:textId="77777777" w:rsidTr="006A3F13">
        <w:trPr>
          <w:cnfStyle w:val="000000010000" w:firstRow="0" w:lastRow="0" w:firstColumn="0" w:lastColumn="0" w:oddVBand="0" w:evenVBand="0" w:oddHBand="0" w:evenHBand="1" w:firstRowFirstColumn="0" w:firstRowLastColumn="0" w:lastRowFirstColumn="0" w:lastRowLastColumn="0"/>
        </w:trPr>
        <w:tc>
          <w:tcPr>
            <w:tcW w:w="3119" w:type="dxa"/>
            <w:hideMark/>
          </w:tcPr>
          <w:p w14:paraId="254096CC" w14:textId="77777777" w:rsidR="00421337" w:rsidRPr="00AF0A31" w:rsidRDefault="00421337">
            <w:pPr>
              <w:pStyle w:val="NormalWeb"/>
              <w:rPr>
                <w:sz w:val="20"/>
              </w:rPr>
            </w:pPr>
            <w:r w:rsidRPr="00AF0A31">
              <w:rPr>
                <w:sz w:val="20"/>
              </w:rPr>
              <w:t>79–88</w:t>
            </w:r>
          </w:p>
        </w:tc>
        <w:tc>
          <w:tcPr>
            <w:tcW w:w="2410" w:type="dxa"/>
            <w:hideMark/>
          </w:tcPr>
          <w:p w14:paraId="39E5E381" w14:textId="77777777" w:rsidR="00421337" w:rsidRPr="00AF0A31" w:rsidRDefault="00421337" w:rsidP="007F4BAA">
            <w:pPr>
              <w:pStyle w:val="NormalWeb"/>
              <w:jc w:val="center"/>
              <w:rPr>
                <w:sz w:val="20"/>
              </w:rPr>
            </w:pPr>
            <w:r w:rsidRPr="00AF0A31">
              <w:rPr>
                <w:sz w:val="20"/>
              </w:rPr>
              <w:t>4</w:t>
            </w:r>
          </w:p>
        </w:tc>
        <w:tc>
          <w:tcPr>
            <w:tcW w:w="1559" w:type="dxa"/>
            <w:hideMark/>
          </w:tcPr>
          <w:p w14:paraId="4355AC12" w14:textId="77777777" w:rsidR="00421337" w:rsidRPr="00AF0A31" w:rsidRDefault="00421337" w:rsidP="007F4BAA">
            <w:pPr>
              <w:pStyle w:val="NormalWeb"/>
              <w:jc w:val="center"/>
              <w:rPr>
                <w:sz w:val="20"/>
              </w:rPr>
            </w:pPr>
            <w:r w:rsidRPr="00AF0A31">
              <w:rPr>
                <w:sz w:val="20"/>
              </w:rPr>
              <w:t>21</w:t>
            </w:r>
          </w:p>
        </w:tc>
        <w:tc>
          <w:tcPr>
            <w:tcW w:w="1984" w:type="dxa"/>
            <w:hideMark/>
          </w:tcPr>
          <w:p w14:paraId="48B71112" w14:textId="77777777" w:rsidR="00421337" w:rsidRPr="00AF0A31" w:rsidRDefault="00421337" w:rsidP="007F4BAA">
            <w:pPr>
              <w:pStyle w:val="NormalWeb"/>
              <w:jc w:val="center"/>
              <w:rPr>
                <w:sz w:val="20"/>
              </w:rPr>
            </w:pPr>
            <w:r w:rsidRPr="00AF0A31">
              <w:rPr>
                <w:sz w:val="20"/>
              </w:rPr>
              <w:t>2</w:t>
            </w:r>
          </w:p>
        </w:tc>
        <w:tc>
          <w:tcPr>
            <w:tcW w:w="1394" w:type="dxa"/>
            <w:hideMark/>
          </w:tcPr>
          <w:p w14:paraId="3216B3E9" w14:textId="77777777" w:rsidR="00421337" w:rsidRPr="00AF0A31" w:rsidRDefault="00421337" w:rsidP="007F4BAA">
            <w:pPr>
              <w:pStyle w:val="NormalWeb"/>
              <w:jc w:val="center"/>
              <w:rPr>
                <w:sz w:val="20"/>
              </w:rPr>
            </w:pPr>
            <w:r w:rsidRPr="00AF0A31">
              <w:rPr>
                <w:sz w:val="20"/>
              </w:rPr>
              <w:t>29</w:t>
            </w:r>
          </w:p>
        </w:tc>
      </w:tr>
      <w:tr w:rsidR="00860145" w:rsidRPr="00AF0A31" w14:paraId="77A2C3B1" w14:textId="77777777" w:rsidTr="00DF0509">
        <w:tc>
          <w:tcPr>
            <w:tcW w:w="10466" w:type="dxa"/>
            <w:gridSpan w:val="5"/>
            <w:shd w:val="clear" w:color="auto" w:fill="808080" w:themeFill="background1" w:themeFillShade="80"/>
            <w:hideMark/>
          </w:tcPr>
          <w:p w14:paraId="32D38504" w14:textId="77777777" w:rsidR="00860145" w:rsidRPr="00AF0A31" w:rsidRDefault="00860145" w:rsidP="00860145">
            <w:pPr>
              <w:rPr>
                <w:rFonts w:eastAsia="Times New Roman"/>
                <w:b/>
                <w:color w:val="FFFFFF" w:themeColor="background1"/>
                <w:sz w:val="20"/>
                <w:szCs w:val="20"/>
              </w:rPr>
            </w:pPr>
            <w:r w:rsidRPr="00AF0A31">
              <w:rPr>
                <w:b/>
                <w:color w:val="FFFFFF" w:themeColor="background1"/>
                <w:sz w:val="20"/>
              </w:rPr>
              <w:t>Sex</w:t>
            </w:r>
          </w:p>
        </w:tc>
      </w:tr>
      <w:tr w:rsidR="00421337" w:rsidRPr="00AF0A31" w14:paraId="0DC7D113" w14:textId="77777777" w:rsidTr="006A3F13">
        <w:trPr>
          <w:cnfStyle w:val="000000010000" w:firstRow="0" w:lastRow="0" w:firstColumn="0" w:lastColumn="0" w:oddVBand="0" w:evenVBand="0" w:oddHBand="0" w:evenHBand="1" w:firstRowFirstColumn="0" w:firstRowLastColumn="0" w:lastRowFirstColumn="0" w:lastRowLastColumn="0"/>
        </w:trPr>
        <w:tc>
          <w:tcPr>
            <w:tcW w:w="3119" w:type="dxa"/>
            <w:hideMark/>
          </w:tcPr>
          <w:p w14:paraId="3A3A43F4" w14:textId="77777777" w:rsidR="00421337" w:rsidRPr="00AF0A31" w:rsidRDefault="00421337">
            <w:pPr>
              <w:pStyle w:val="NormalWeb"/>
              <w:rPr>
                <w:sz w:val="20"/>
                <w:szCs w:val="24"/>
              </w:rPr>
            </w:pPr>
            <w:r w:rsidRPr="00AF0A31">
              <w:rPr>
                <w:sz w:val="20"/>
              </w:rPr>
              <w:t>Female</w:t>
            </w:r>
          </w:p>
        </w:tc>
        <w:tc>
          <w:tcPr>
            <w:tcW w:w="2410" w:type="dxa"/>
            <w:hideMark/>
          </w:tcPr>
          <w:p w14:paraId="684DBBC8" w14:textId="77777777" w:rsidR="00421337" w:rsidRPr="00AF0A31" w:rsidRDefault="00421337" w:rsidP="007F4BAA">
            <w:pPr>
              <w:pStyle w:val="NormalWeb"/>
              <w:jc w:val="center"/>
              <w:rPr>
                <w:sz w:val="20"/>
              </w:rPr>
            </w:pPr>
            <w:r w:rsidRPr="00AF0A31">
              <w:rPr>
                <w:sz w:val="20"/>
              </w:rPr>
              <w:t>9</w:t>
            </w:r>
          </w:p>
        </w:tc>
        <w:tc>
          <w:tcPr>
            <w:tcW w:w="1559" w:type="dxa"/>
            <w:hideMark/>
          </w:tcPr>
          <w:p w14:paraId="0929E730" w14:textId="77777777" w:rsidR="00421337" w:rsidRPr="00AF0A31" w:rsidRDefault="00421337" w:rsidP="007F4BAA">
            <w:pPr>
              <w:pStyle w:val="NormalWeb"/>
              <w:jc w:val="center"/>
              <w:rPr>
                <w:sz w:val="20"/>
              </w:rPr>
            </w:pPr>
            <w:r w:rsidRPr="00AF0A31">
              <w:rPr>
                <w:sz w:val="20"/>
              </w:rPr>
              <w:t>47</w:t>
            </w:r>
          </w:p>
        </w:tc>
        <w:tc>
          <w:tcPr>
            <w:tcW w:w="1984" w:type="dxa"/>
            <w:hideMark/>
          </w:tcPr>
          <w:p w14:paraId="2796D5C2" w14:textId="77777777" w:rsidR="00421337" w:rsidRPr="00AF0A31" w:rsidRDefault="00421337" w:rsidP="007F4BAA">
            <w:pPr>
              <w:pStyle w:val="NormalWeb"/>
              <w:jc w:val="center"/>
              <w:rPr>
                <w:sz w:val="20"/>
              </w:rPr>
            </w:pPr>
            <w:r w:rsidRPr="00AF0A31">
              <w:rPr>
                <w:sz w:val="20"/>
              </w:rPr>
              <w:t>4</w:t>
            </w:r>
          </w:p>
        </w:tc>
        <w:tc>
          <w:tcPr>
            <w:tcW w:w="1394" w:type="dxa"/>
            <w:hideMark/>
          </w:tcPr>
          <w:p w14:paraId="60934B97" w14:textId="77777777" w:rsidR="00421337" w:rsidRPr="00AF0A31" w:rsidRDefault="00421337" w:rsidP="007F4BAA">
            <w:pPr>
              <w:pStyle w:val="NormalWeb"/>
              <w:jc w:val="center"/>
              <w:rPr>
                <w:sz w:val="20"/>
              </w:rPr>
            </w:pPr>
            <w:r w:rsidRPr="00AF0A31">
              <w:rPr>
                <w:sz w:val="20"/>
              </w:rPr>
              <w:t>57</w:t>
            </w:r>
          </w:p>
        </w:tc>
      </w:tr>
      <w:tr w:rsidR="00421337" w:rsidRPr="00AF0A31" w14:paraId="1DF8FAD2" w14:textId="77777777" w:rsidTr="006A3F13">
        <w:tc>
          <w:tcPr>
            <w:tcW w:w="3119" w:type="dxa"/>
            <w:hideMark/>
          </w:tcPr>
          <w:p w14:paraId="45AC8AFC" w14:textId="77777777" w:rsidR="00421337" w:rsidRPr="00AF0A31" w:rsidRDefault="00421337">
            <w:pPr>
              <w:pStyle w:val="NormalWeb"/>
              <w:rPr>
                <w:sz w:val="20"/>
              </w:rPr>
            </w:pPr>
            <w:r w:rsidRPr="00AF0A31">
              <w:rPr>
                <w:sz w:val="20"/>
              </w:rPr>
              <w:t>Male</w:t>
            </w:r>
          </w:p>
        </w:tc>
        <w:tc>
          <w:tcPr>
            <w:tcW w:w="2410" w:type="dxa"/>
            <w:hideMark/>
          </w:tcPr>
          <w:p w14:paraId="075CD186" w14:textId="77777777" w:rsidR="00421337" w:rsidRPr="00AF0A31" w:rsidRDefault="00421337" w:rsidP="007F4BAA">
            <w:pPr>
              <w:pStyle w:val="NormalWeb"/>
              <w:jc w:val="center"/>
              <w:rPr>
                <w:sz w:val="20"/>
              </w:rPr>
            </w:pPr>
            <w:r w:rsidRPr="00AF0A31">
              <w:rPr>
                <w:sz w:val="20"/>
              </w:rPr>
              <w:t>10</w:t>
            </w:r>
          </w:p>
        </w:tc>
        <w:tc>
          <w:tcPr>
            <w:tcW w:w="1559" w:type="dxa"/>
            <w:hideMark/>
          </w:tcPr>
          <w:p w14:paraId="0EDEAB58" w14:textId="77777777" w:rsidR="00421337" w:rsidRPr="00AF0A31" w:rsidRDefault="00421337" w:rsidP="007F4BAA">
            <w:pPr>
              <w:pStyle w:val="NormalWeb"/>
              <w:jc w:val="center"/>
              <w:rPr>
                <w:sz w:val="20"/>
              </w:rPr>
            </w:pPr>
            <w:r w:rsidRPr="00AF0A31">
              <w:rPr>
                <w:sz w:val="20"/>
              </w:rPr>
              <w:t>53</w:t>
            </w:r>
          </w:p>
        </w:tc>
        <w:tc>
          <w:tcPr>
            <w:tcW w:w="1984" w:type="dxa"/>
            <w:hideMark/>
          </w:tcPr>
          <w:p w14:paraId="0F600226" w14:textId="77777777" w:rsidR="00421337" w:rsidRPr="00AF0A31" w:rsidRDefault="00421337" w:rsidP="007F4BAA">
            <w:pPr>
              <w:pStyle w:val="NormalWeb"/>
              <w:jc w:val="center"/>
              <w:rPr>
                <w:sz w:val="20"/>
              </w:rPr>
            </w:pPr>
            <w:r w:rsidRPr="00AF0A31">
              <w:rPr>
                <w:sz w:val="20"/>
              </w:rPr>
              <w:t>3</w:t>
            </w:r>
          </w:p>
        </w:tc>
        <w:tc>
          <w:tcPr>
            <w:tcW w:w="1394" w:type="dxa"/>
            <w:hideMark/>
          </w:tcPr>
          <w:p w14:paraId="713F219A" w14:textId="77777777" w:rsidR="00421337" w:rsidRPr="00AF0A31" w:rsidRDefault="00421337" w:rsidP="007F4BAA">
            <w:pPr>
              <w:pStyle w:val="NormalWeb"/>
              <w:jc w:val="center"/>
              <w:rPr>
                <w:sz w:val="20"/>
              </w:rPr>
            </w:pPr>
            <w:r w:rsidRPr="00AF0A31">
              <w:rPr>
                <w:sz w:val="20"/>
              </w:rPr>
              <w:t>43</w:t>
            </w:r>
          </w:p>
        </w:tc>
      </w:tr>
      <w:tr w:rsidR="00860145" w:rsidRPr="00AF0A31" w14:paraId="6B71AE29" w14:textId="77777777" w:rsidTr="00AB4EAD">
        <w:trPr>
          <w:cnfStyle w:val="000000010000" w:firstRow="0" w:lastRow="0" w:firstColumn="0" w:lastColumn="0" w:oddVBand="0" w:evenVBand="0" w:oddHBand="0" w:evenHBand="1" w:firstRowFirstColumn="0" w:firstRowLastColumn="0" w:lastRowFirstColumn="0" w:lastRowLastColumn="0"/>
        </w:trPr>
        <w:tc>
          <w:tcPr>
            <w:tcW w:w="10466" w:type="dxa"/>
            <w:gridSpan w:val="5"/>
            <w:shd w:val="clear" w:color="auto" w:fill="808080" w:themeFill="background1" w:themeFillShade="80"/>
            <w:hideMark/>
          </w:tcPr>
          <w:p w14:paraId="73BB1716" w14:textId="77777777" w:rsidR="00860145" w:rsidRPr="00AF0A31" w:rsidRDefault="00860145" w:rsidP="00860145">
            <w:pPr>
              <w:rPr>
                <w:rFonts w:eastAsia="Times New Roman"/>
                <w:b/>
                <w:color w:val="FFFFFF" w:themeColor="background1"/>
                <w:sz w:val="20"/>
                <w:szCs w:val="20"/>
              </w:rPr>
            </w:pPr>
            <w:r w:rsidRPr="00AF0A31">
              <w:rPr>
                <w:b/>
                <w:color w:val="FFFFFF" w:themeColor="background1"/>
                <w:sz w:val="20"/>
              </w:rPr>
              <w:t>Comorbidities</w:t>
            </w:r>
          </w:p>
        </w:tc>
      </w:tr>
      <w:tr w:rsidR="00421337" w:rsidRPr="00AF0A31" w14:paraId="325A9E4C" w14:textId="77777777" w:rsidTr="006A3F13">
        <w:tc>
          <w:tcPr>
            <w:tcW w:w="3119" w:type="dxa"/>
            <w:hideMark/>
          </w:tcPr>
          <w:p w14:paraId="03334ED0" w14:textId="77777777" w:rsidR="00421337" w:rsidRPr="00AF0A31" w:rsidRDefault="00421337">
            <w:pPr>
              <w:pStyle w:val="NormalWeb"/>
              <w:rPr>
                <w:sz w:val="20"/>
                <w:szCs w:val="24"/>
              </w:rPr>
            </w:pPr>
            <w:r w:rsidRPr="00AF0A31">
              <w:rPr>
                <w:sz w:val="20"/>
              </w:rPr>
              <w:t>Diabetes</w:t>
            </w:r>
          </w:p>
        </w:tc>
        <w:tc>
          <w:tcPr>
            <w:tcW w:w="2410" w:type="dxa"/>
            <w:hideMark/>
          </w:tcPr>
          <w:p w14:paraId="62633509" w14:textId="77777777" w:rsidR="00421337" w:rsidRPr="00AF0A31" w:rsidRDefault="00421337" w:rsidP="007F4BAA">
            <w:pPr>
              <w:pStyle w:val="NormalWeb"/>
              <w:jc w:val="center"/>
              <w:rPr>
                <w:sz w:val="20"/>
              </w:rPr>
            </w:pPr>
            <w:r w:rsidRPr="00AF0A31">
              <w:rPr>
                <w:sz w:val="20"/>
              </w:rPr>
              <w:t>4</w:t>
            </w:r>
          </w:p>
        </w:tc>
        <w:tc>
          <w:tcPr>
            <w:tcW w:w="1559" w:type="dxa"/>
            <w:hideMark/>
          </w:tcPr>
          <w:p w14:paraId="12F6924F" w14:textId="77777777" w:rsidR="00421337" w:rsidRPr="00AF0A31" w:rsidRDefault="00421337" w:rsidP="007F4BAA">
            <w:pPr>
              <w:pStyle w:val="NormalWeb"/>
              <w:jc w:val="center"/>
              <w:rPr>
                <w:sz w:val="20"/>
              </w:rPr>
            </w:pPr>
            <w:r w:rsidRPr="00AF0A31">
              <w:rPr>
                <w:sz w:val="20"/>
              </w:rPr>
              <w:t>21</w:t>
            </w:r>
          </w:p>
        </w:tc>
        <w:tc>
          <w:tcPr>
            <w:tcW w:w="1984" w:type="dxa"/>
            <w:hideMark/>
          </w:tcPr>
          <w:p w14:paraId="1857AABB" w14:textId="77777777" w:rsidR="00421337" w:rsidRPr="00AF0A31" w:rsidRDefault="00421337" w:rsidP="007F4BAA">
            <w:pPr>
              <w:pStyle w:val="NormalWeb"/>
              <w:jc w:val="center"/>
              <w:rPr>
                <w:sz w:val="20"/>
              </w:rPr>
            </w:pPr>
            <w:r w:rsidRPr="00AF0A31">
              <w:rPr>
                <w:sz w:val="20"/>
              </w:rPr>
              <w:t>1</w:t>
            </w:r>
          </w:p>
        </w:tc>
        <w:tc>
          <w:tcPr>
            <w:tcW w:w="1394" w:type="dxa"/>
            <w:hideMark/>
          </w:tcPr>
          <w:p w14:paraId="763D8D17" w14:textId="77777777" w:rsidR="00421337" w:rsidRPr="00AF0A31" w:rsidRDefault="00421337" w:rsidP="007F4BAA">
            <w:pPr>
              <w:pStyle w:val="NormalWeb"/>
              <w:jc w:val="center"/>
              <w:rPr>
                <w:sz w:val="20"/>
              </w:rPr>
            </w:pPr>
            <w:r w:rsidRPr="00AF0A31">
              <w:rPr>
                <w:sz w:val="20"/>
              </w:rPr>
              <w:t>14</w:t>
            </w:r>
          </w:p>
        </w:tc>
      </w:tr>
      <w:tr w:rsidR="00421337" w:rsidRPr="00AF0A31" w14:paraId="4ED0A3AF" w14:textId="77777777" w:rsidTr="006A3F13">
        <w:trPr>
          <w:cnfStyle w:val="000000010000" w:firstRow="0" w:lastRow="0" w:firstColumn="0" w:lastColumn="0" w:oddVBand="0" w:evenVBand="0" w:oddHBand="0" w:evenHBand="1" w:firstRowFirstColumn="0" w:firstRowLastColumn="0" w:lastRowFirstColumn="0" w:lastRowLastColumn="0"/>
        </w:trPr>
        <w:tc>
          <w:tcPr>
            <w:tcW w:w="3119" w:type="dxa"/>
            <w:hideMark/>
          </w:tcPr>
          <w:p w14:paraId="597795A9" w14:textId="77777777" w:rsidR="00421337" w:rsidRPr="00AF0A31" w:rsidRDefault="00421337">
            <w:pPr>
              <w:pStyle w:val="NormalWeb"/>
              <w:rPr>
                <w:sz w:val="20"/>
              </w:rPr>
            </w:pPr>
            <w:r w:rsidRPr="00AF0A31">
              <w:rPr>
                <w:sz w:val="20"/>
              </w:rPr>
              <w:t>Hypertension</w:t>
            </w:r>
          </w:p>
        </w:tc>
        <w:tc>
          <w:tcPr>
            <w:tcW w:w="2410" w:type="dxa"/>
            <w:hideMark/>
          </w:tcPr>
          <w:p w14:paraId="5BB55C3E" w14:textId="77777777" w:rsidR="00421337" w:rsidRPr="00AF0A31" w:rsidRDefault="00421337" w:rsidP="007F4BAA">
            <w:pPr>
              <w:pStyle w:val="NormalWeb"/>
              <w:jc w:val="center"/>
              <w:rPr>
                <w:sz w:val="20"/>
              </w:rPr>
            </w:pPr>
            <w:r w:rsidRPr="00AF0A31">
              <w:rPr>
                <w:sz w:val="20"/>
              </w:rPr>
              <w:t>4</w:t>
            </w:r>
          </w:p>
        </w:tc>
        <w:tc>
          <w:tcPr>
            <w:tcW w:w="1559" w:type="dxa"/>
            <w:hideMark/>
          </w:tcPr>
          <w:p w14:paraId="57A0AD49" w14:textId="77777777" w:rsidR="00421337" w:rsidRPr="00AF0A31" w:rsidRDefault="00421337" w:rsidP="007F4BAA">
            <w:pPr>
              <w:pStyle w:val="NormalWeb"/>
              <w:jc w:val="center"/>
              <w:rPr>
                <w:sz w:val="20"/>
              </w:rPr>
            </w:pPr>
            <w:r w:rsidRPr="00AF0A31">
              <w:rPr>
                <w:sz w:val="20"/>
              </w:rPr>
              <w:t>21</w:t>
            </w:r>
          </w:p>
        </w:tc>
        <w:tc>
          <w:tcPr>
            <w:tcW w:w="1984" w:type="dxa"/>
            <w:hideMark/>
          </w:tcPr>
          <w:p w14:paraId="4A249F89" w14:textId="77777777" w:rsidR="00421337" w:rsidRPr="00AF0A31" w:rsidRDefault="00421337" w:rsidP="007F4BAA">
            <w:pPr>
              <w:pStyle w:val="NormalWeb"/>
              <w:jc w:val="center"/>
              <w:rPr>
                <w:sz w:val="20"/>
              </w:rPr>
            </w:pPr>
            <w:r w:rsidRPr="00AF0A31">
              <w:rPr>
                <w:sz w:val="20"/>
              </w:rPr>
              <w:t>2</w:t>
            </w:r>
          </w:p>
        </w:tc>
        <w:tc>
          <w:tcPr>
            <w:tcW w:w="1394" w:type="dxa"/>
            <w:hideMark/>
          </w:tcPr>
          <w:p w14:paraId="7A0938B0" w14:textId="77777777" w:rsidR="00421337" w:rsidRPr="00AF0A31" w:rsidRDefault="00421337" w:rsidP="007F4BAA">
            <w:pPr>
              <w:pStyle w:val="NormalWeb"/>
              <w:jc w:val="center"/>
              <w:rPr>
                <w:sz w:val="20"/>
              </w:rPr>
            </w:pPr>
            <w:r w:rsidRPr="00AF0A31">
              <w:rPr>
                <w:sz w:val="20"/>
              </w:rPr>
              <w:t>29</w:t>
            </w:r>
          </w:p>
        </w:tc>
      </w:tr>
      <w:tr w:rsidR="00421337" w:rsidRPr="00AF0A31" w14:paraId="1E31DF69" w14:textId="77777777" w:rsidTr="006A3F13">
        <w:tc>
          <w:tcPr>
            <w:tcW w:w="3119" w:type="dxa"/>
            <w:hideMark/>
          </w:tcPr>
          <w:p w14:paraId="35245235" w14:textId="77777777" w:rsidR="00421337" w:rsidRPr="00AF0A31" w:rsidRDefault="00421337">
            <w:pPr>
              <w:pStyle w:val="NormalWeb"/>
              <w:rPr>
                <w:sz w:val="20"/>
              </w:rPr>
            </w:pPr>
            <w:r w:rsidRPr="00AF0A31">
              <w:rPr>
                <w:sz w:val="20"/>
              </w:rPr>
              <w:t>Cardiovascular disease</w:t>
            </w:r>
          </w:p>
        </w:tc>
        <w:tc>
          <w:tcPr>
            <w:tcW w:w="2410" w:type="dxa"/>
            <w:hideMark/>
          </w:tcPr>
          <w:p w14:paraId="4D7288BB" w14:textId="77777777" w:rsidR="00421337" w:rsidRPr="00AF0A31" w:rsidRDefault="00421337" w:rsidP="007F4BAA">
            <w:pPr>
              <w:pStyle w:val="NormalWeb"/>
              <w:jc w:val="center"/>
              <w:rPr>
                <w:sz w:val="20"/>
              </w:rPr>
            </w:pPr>
            <w:r w:rsidRPr="00AF0A31">
              <w:rPr>
                <w:sz w:val="20"/>
              </w:rPr>
              <w:t>2</w:t>
            </w:r>
          </w:p>
        </w:tc>
        <w:tc>
          <w:tcPr>
            <w:tcW w:w="1559" w:type="dxa"/>
            <w:hideMark/>
          </w:tcPr>
          <w:p w14:paraId="3DF440BB" w14:textId="77777777" w:rsidR="00421337" w:rsidRPr="00AF0A31" w:rsidRDefault="00421337" w:rsidP="007F4BAA">
            <w:pPr>
              <w:pStyle w:val="NormalWeb"/>
              <w:jc w:val="center"/>
              <w:rPr>
                <w:sz w:val="20"/>
              </w:rPr>
            </w:pPr>
            <w:r w:rsidRPr="00AF0A31">
              <w:rPr>
                <w:sz w:val="20"/>
              </w:rPr>
              <w:t>11</w:t>
            </w:r>
          </w:p>
        </w:tc>
        <w:tc>
          <w:tcPr>
            <w:tcW w:w="1984" w:type="dxa"/>
            <w:hideMark/>
          </w:tcPr>
          <w:p w14:paraId="5E6414C2" w14:textId="77777777" w:rsidR="00421337" w:rsidRPr="00AF0A31" w:rsidRDefault="00421337" w:rsidP="007F4BAA">
            <w:pPr>
              <w:pStyle w:val="NormalWeb"/>
              <w:jc w:val="center"/>
              <w:rPr>
                <w:sz w:val="20"/>
              </w:rPr>
            </w:pPr>
            <w:r w:rsidRPr="00AF0A31">
              <w:rPr>
                <w:sz w:val="20"/>
              </w:rPr>
              <w:t>1</w:t>
            </w:r>
          </w:p>
        </w:tc>
        <w:tc>
          <w:tcPr>
            <w:tcW w:w="1394" w:type="dxa"/>
            <w:hideMark/>
          </w:tcPr>
          <w:p w14:paraId="407D339D" w14:textId="77777777" w:rsidR="00421337" w:rsidRPr="00AF0A31" w:rsidRDefault="00421337" w:rsidP="007F4BAA">
            <w:pPr>
              <w:pStyle w:val="NormalWeb"/>
              <w:jc w:val="center"/>
              <w:rPr>
                <w:sz w:val="20"/>
              </w:rPr>
            </w:pPr>
            <w:r w:rsidRPr="00AF0A31">
              <w:rPr>
                <w:sz w:val="20"/>
              </w:rPr>
              <w:t>14</w:t>
            </w:r>
          </w:p>
        </w:tc>
      </w:tr>
      <w:tr w:rsidR="00421337" w:rsidRPr="00AF0A31" w14:paraId="4E4FDBAB" w14:textId="77777777" w:rsidTr="006A3F13">
        <w:trPr>
          <w:cnfStyle w:val="000000010000" w:firstRow="0" w:lastRow="0" w:firstColumn="0" w:lastColumn="0" w:oddVBand="0" w:evenVBand="0" w:oddHBand="0" w:evenHBand="1" w:firstRowFirstColumn="0" w:firstRowLastColumn="0" w:lastRowFirstColumn="0" w:lastRowLastColumn="0"/>
        </w:trPr>
        <w:tc>
          <w:tcPr>
            <w:tcW w:w="3119" w:type="dxa"/>
            <w:hideMark/>
          </w:tcPr>
          <w:p w14:paraId="7A547CA8" w14:textId="77777777" w:rsidR="00421337" w:rsidRPr="00AF0A31" w:rsidRDefault="00421337">
            <w:pPr>
              <w:pStyle w:val="NormalWeb"/>
              <w:rPr>
                <w:sz w:val="20"/>
              </w:rPr>
            </w:pPr>
            <w:r w:rsidRPr="00AF0A31">
              <w:rPr>
                <w:sz w:val="20"/>
              </w:rPr>
              <w:t>≥3 Comorbidities</w:t>
            </w:r>
          </w:p>
        </w:tc>
        <w:tc>
          <w:tcPr>
            <w:tcW w:w="2410" w:type="dxa"/>
            <w:hideMark/>
          </w:tcPr>
          <w:p w14:paraId="163F3E1B" w14:textId="77777777" w:rsidR="00421337" w:rsidRPr="00AF0A31" w:rsidRDefault="00421337" w:rsidP="007F4BAA">
            <w:pPr>
              <w:pStyle w:val="NormalWeb"/>
              <w:jc w:val="center"/>
              <w:rPr>
                <w:sz w:val="20"/>
              </w:rPr>
            </w:pPr>
            <w:r w:rsidRPr="00AF0A31">
              <w:rPr>
                <w:sz w:val="20"/>
              </w:rPr>
              <w:t>6</w:t>
            </w:r>
          </w:p>
        </w:tc>
        <w:tc>
          <w:tcPr>
            <w:tcW w:w="1559" w:type="dxa"/>
            <w:hideMark/>
          </w:tcPr>
          <w:p w14:paraId="133E5C11" w14:textId="77777777" w:rsidR="00421337" w:rsidRPr="00AF0A31" w:rsidRDefault="00421337" w:rsidP="007F4BAA">
            <w:pPr>
              <w:pStyle w:val="NormalWeb"/>
              <w:jc w:val="center"/>
              <w:rPr>
                <w:sz w:val="20"/>
              </w:rPr>
            </w:pPr>
            <w:r w:rsidRPr="00AF0A31">
              <w:rPr>
                <w:sz w:val="20"/>
              </w:rPr>
              <w:t>32</w:t>
            </w:r>
          </w:p>
        </w:tc>
        <w:tc>
          <w:tcPr>
            <w:tcW w:w="1984" w:type="dxa"/>
            <w:hideMark/>
          </w:tcPr>
          <w:p w14:paraId="5A5EABE0" w14:textId="77777777" w:rsidR="00421337" w:rsidRPr="00AF0A31" w:rsidRDefault="00421337" w:rsidP="007F4BAA">
            <w:pPr>
              <w:pStyle w:val="NormalWeb"/>
              <w:jc w:val="center"/>
              <w:rPr>
                <w:sz w:val="20"/>
              </w:rPr>
            </w:pPr>
            <w:r w:rsidRPr="00AF0A31">
              <w:rPr>
                <w:sz w:val="20"/>
              </w:rPr>
              <w:t>4</w:t>
            </w:r>
          </w:p>
        </w:tc>
        <w:tc>
          <w:tcPr>
            <w:tcW w:w="1394" w:type="dxa"/>
            <w:hideMark/>
          </w:tcPr>
          <w:p w14:paraId="7CF496F3" w14:textId="77777777" w:rsidR="00421337" w:rsidRPr="00AF0A31" w:rsidRDefault="00421337" w:rsidP="007F4BAA">
            <w:pPr>
              <w:pStyle w:val="NormalWeb"/>
              <w:jc w:val="center"/>
              <w:rPr>
                <w:sz w:val="20"/>
              </w:rPr>
            </w:pPr>
            <w:r w:rsidRPr="00AF0A31">
              <w:rPr>
                <w:sz w:val="20"/>
              </w:rPr>
              <w:t>57</w:t>
            </w:r>
          </w:p>
        </w:tc>
      </w:tr>
      <w:tr w:rsidR="00860145" w:rsidRPr="00AF0A31" w14:paraId="02F12926" w14:textId="77777777" w:rsidTr="002A4CDC">
        <w:tc>
          <w:tcPr>
            <w:tcW w:w="10466" w:type="dxa"/>
            <w:gridSpan w:val="5"/>
            <w:shd w:val="clear" w:color="auto" w:fill="808080" w:themeFill="background1" w:themeFillShade="80"/>
            <w:hideMark/>
          </w:tcPr>
          <w:p w14:paraId="68AAFE78" w14:textId="77777777" w:rsidR="00860145" w:rsidRPr="00AF0A31" w:rsidRDefault="00860145" w:rsidP="00860145">
            <w:pPr>
              <w:rPr>
                <w:rFonts w:eastAsia="Times New Roman"/>
                <w:b/>
                <w:color w:val="FFFFFF" w:themeColor="background1"/>
                <w:sz w:val="20"/>
                <w:szCs w:val="20"/>
              </w:rPr>
            </w:pPr>
            <w:r w:rsidRPr="00AF0A31">
              <w:rPr>
                <w:b/>
                <w:color w:val="FFFFFF" w:themeColor="background1"/>
                <w:sz w:val="20"/>
              </w:rPr>
              <w:t>Aboriginal status</w:t>
            </w:r>
          </w:p>
        </w:tc>
      </w:tr>
      <w:tr w:rsidR="00421337" w:rsidRPr="00AF0A31" w14:paraId="03FF808C" w14:textId="77777777" w:rsidTr="006A3F13">
        <w:trPr>
          <w:cnfStyle w:val="000000010000" w:firstRow="0" w:lastRow="0" w:firstColumn="0" w:lastColumn="0" w:oddVBand="0" w:evenVBand="0" w:oddHBand="0" w:evenHBand="1" w:firstRowFirstColumn="0" w:firstRowLastColumn="0" w:lastRowFirstColumn="0" w:lastRowLastColumn="0"/>
        </w:trPr>
        <w:tc>
          <w:tcPr>
            <w:tcW w:w="3119" w:type="dxa"/>
            <w:hideMark/>
          </w:tcPr>
          <w:p w14:paraId="78C44B54" w14:textId="77777777" w:rsidR="00421337" w:rsidRPr="00AF0A31" w:rsidRDefault="00421337">
            <w:pPr>
              <w:pStyle w:val="NormalWeb"/>
              <w:rPr>
                <w:sz w:val="20"/>
                <w:szCs w:val="24"/>
              </w:rPr>
            </w:pPr>
            <w:r w:rsidRPr="00AF0A31">
              <w:rPr>
                <w:sz w:val="20"/>
              </w:rPr>
              <w:t>Aboriginal or Torres Strait Islander</w:t>
            </w:r>
          </w:p>
        </w:tc>
        <w:tc>
          <w:tcPr>
            <w:tcW w:w="2410" w:type="dxa"/>
            <w:hideMark/>
          </w:tcPr>
          <w:p w14:paraId="1D8ABC06" w14:textId="77777777" w:rsidR="00421337" w:rsidRPr="00AF0A31" w:rsidRDefault="00421337" w:rsidP="007F4BAA">
            <w:pPr>
              <w:pStyle w:val="NormalWeb"/>
              <w:jc w:val="center"/>
              <w:rPr>
                <w:sz w:val="20"/>
              </w:rPr>
            </w:pPr>
            <w:r w:rsidRPr="00AF0A31">
              <w:rPr>
                <w:sz w:val="20"/>
              </w:rPr>
              <w:t>3</w:t>
            </w:r>
          </w:p>
        </w:tc>
        <w:tc>
          <w:tcPr>
            <w:tcW w:w="1559" w:type="dxa"/>
            <w:hideMark/>
          </w:tcPr>
          <w:p w14:paraId="6E5BE8F3" w14:textId="77777777" w:rsidR="00421337" w:rsidRPr="00AF0A31" w:rsidRDefault="00421337" w:rsidP="007F4BAA">
            <w:pPr>
              <w:pStyle w:val="NormalWeb"/>
              <w:jc w:val="center"/>
              <w:rPr>
                <w:sz w:val="20"/>
              </w:rPr>
            </w:pPr>
            <w:r w:rsidRPr="00AF0A31">
              <w:rPr>
                <w:sz w:val="20"/>
              </w:rPr>
              <w:t>16</w:t>
            </w:r>
          </w:p>
        </w:tc>
        <w:tc>
          <w:tcPr>
            <w:tcW w:w="1984" w:type="dxa"/>
            <w:hideMark/>
          </w:tcPr>
          <w:p w14:paraId="5704AA03" w14:textId="77777777" w:rsidR="00421337" w:rsidRPr="00AF0A31" w:rsidRDefault="00421337" w:rsidP="007F4BAA">
            <w:pPr>
              <w:pStyle w:val="NormalWeb"/>
              <w:jc w:val="center"/>
              <w:rPr>
                <w:sz w:val="20"/>
              </w:rPr>
            </w:pPr>
            <w:r w:rsidRPr="00AF0A31">
              <w:rPr>
                <w:sz w:val="20"/>
              </w:rPr>
              <w:t>0</w:t>
            </w:r>
          </w:p>
        </w:tc>
        <w:tc>
          <w:tcPr>
            <w:tcW w:w="1394" w:type="dxa"/>
            <w:hideMark/>
          </w:tcPr>
          <w:p w14:paraId="68FB191E" w14:textId="77777777" w:rsidR="00421337" w:rsidRPr="00AF0A31" w:rsidRDefault="00421337" w:rsidP="007F4BAA">
            <w:pPr>
              <w:pStyle w:val="NormalWeb"/>
              <w:jc w:val="center"/>
              <w:rPr>
                <w:sz w:val="20"/>
              </w:rPr>
            </w:pPr>
            <w:r w:rsidRPr="00AF0A31">
              <w:rPr>
                <w:sz w:val="20"/>
              </w:rPr>
              <w:t>0</w:t>
            </w:r>
          </w:p>
        </w:tc>
      </w:tr>
      <w:tr w:rsidR="00421337" w:rsidRPr="00AF0A31" w14:paraId="6577CD79" w14:textId="77777777" w:rsidTr="006A3F13">
        <w:tc>
          <w:tcPr>
            <w:tcW w:w="3119" w:type="dxa"/>
            <w:hideMark/>
          </w:tcPr>
          <w:p w14:paraId="7BF33CDE" w14:textId="77777777" w:rsidR="00421337" w:rsidRPr="00AF0A31" w:rsidRDefault="00421337">
            <w:pPr>
              <w:pStyle w:val="NormalWeb"/>
              <w:rPr>
                <w:sz w:val="20"/>
              </w:rPr>
            </w:pPr>
            <w:r w:rsidRPr="00AF0A31">
              <w:rPr>
                <w:sz w:val="20"/>
              </w:rPr>
              <w:t>Non-Indigenous</w:t>
            </w:r>
          </w:p>
        </w:tc>
        <w:tc>
          <w:tcPr>
            <w:tcW w:w="2410" w:type="dxa"/>
            <w:hideMark/>
          </w:tcPr>
          <w:p w14:paraId="3D7311D3" w14:textId="77777777" w:rsidR="00421337" w:rsidRPr="00AF0A31" w:rsidRDefault="00421337" w:rsidP="007F4BAA">
            <w:pPr>
              <w:pStyle w:val="NormalWeb"/>
              <w:jc w:val="center"/>
              <w:rPr>
                <w:sz w:val="20"/>
              </w:rPr>
            </w:pPr>
            <w:r w:rsidRPr="00AF0A31">
              <w:rPr>
                <w:sz w:val="20"/>
              </w:rPr>
              <w:t>16</w:t>
            </w:r>
          </w:p>
        </w:tc>
        <w:tc>
          <w:tcPr>
            <w:tcW w:w="1559" w:type="dxa"/>
            <w:hideMark/>
          </w:tcPr>
          <w:p w14:paraId="027FAB31" w14:textId="77777777" w:rsidR="00421337" w:rsidRPr="00AF0A31" w:rsidRDefault="00421337" w:rsidP="007F4BAA">
            <w:pPr>
              <w:pStyle w:val="NormalWeb"/>
              <w:jc w:val="center"/>
              <w:rPr>
                <w:sz w:val="20"/>
              </w:rPr>
            </w:pPr>
            <w:r w:rsidRPr="00AF0A31">
              <w:rPr>
                <w:sz w:val="20"/>
              </w:rPr>
              <w:t>84</w:t>
            </w:r>
          </w:p>
        </w:tc>
        <w:tc>
          <w:tcPr>
            <w:tcW w:w="1984" w:type="dxa"/>
            <w:hideMark/>
          </w:tcPr>
          <w:p w14:paraId="76D71A9D" w14:textId="77777777" w:rsidR="00421337" w:rsidRPr="00AF0A31" w:rsidRDefault="00421337" w:rsidP="007F4BAA">
            <w:pPr>
              <w:pStyle w:val="NormalWeb"/>
              <w:jc w:val="center"/>
              <w:rPr>
                <w:sz w:val="20"/>
              </w:rPr>
            </w:pPr>
            <w:r w:rsidRPr="00AF0A31">
              <w:rPr>
                <w:sz w:val="20"/>
              </w:rPr>
              <w:t>7</w:t>
            </w:r>
          </w:p>
        </w:tc>
        <w:tc>
          <w:tcPr>
            <w:tcW w:w="1394" w:type="dxa"/>
            <w:hideMark/>
          </w:tcPr>
          <w:p w14:paraId="3524F27F" w14:textId="77777777" w:rsidR="00421337" w:rsidRPr="00AF0A31" w:rsidRDefault="00421337" w:rsidP="007F4BAA">
            <w:pPr>
              <w:pStyle w:val="NormalWeb"/>
              <w:jc w:val="center"/>
              <w:rPr>
                <w:sz w:val="20"/>
              </w:rPr>
            </w:pPr>
            <w:r w:rsidRPr="00AF0A31">
              <w:rPr>
                <w:sz w:val="20"/>
              </w:rPr>
              <w:t>100</w:t>
            </w:r>
          </w:p>
        </w:tc>
      </w:tr>
    </w:tbl>
    <w:p w14:paraId="401284E8" w14:textId="77777777" w:rsidR="00421337" w:rsidRDefault="00421337" w:rsidP="004A245D">
      <w:pPr>
        <w:spacing w:before="400"/>
      </w:pPr>
      <w:r>
        <w:t xml:space="preserve">Of all patients initially thought to be asymptomatic: 15 (58%) were swabbed because they were cruise ship passengers; three (11%) were investigated as a part of a family cluster; three (11%) were tested because they were close contacts of cases; for three (11%) the reason for testing was unclear; one (4%) was tested for international travel clearance; and one (4%) fabricated current symptoms to be tested. </w:t>
      </w:r>
    </w:p>
    <w:p w14:paraId="21818BFA" w14:textId="77777777" w:rsidR="00421337" w:rsidRDefault="00421337" w:rsidP="00421337">
      <w:r>
        <w:t xml:space="preserve">There was no evidence of COVID-19 transmission from an asymptomatic case, though cases were effectively isolated which reduced the potential for transmission. </w:t>
      </w:r>
    </w:p>
    <w:p w14:paraId="01E3CB8B" w14:textId="77777777" w:rsidR="00274FBD" w:rsidRDefault="00274FBD">
      <w:pPr>
        <w:rPr>
          <w:rFonts w:asciiTheme="majorHAnsi" w:eastAsiaTheme="majorEastAsia" w:hAnsiTheme="majorHAnsi" w:cstheme="majorBidi"/>
          <w:b/>
          <w:bCs/>
          <w:sz w:val="32"/>
          <w:szCs w:val="28"/>
        </w:rPr>
      </w:pPr>
      <w:r>
        <w:br w:type="page"/>
      </w:r>
    </w:p>
    <w:p w14:paraId="1B043F2F" w14:textId="77777777" w:rsidR="00421337" w:rsidRPr="00421337" w:rsidRDefault="00421337" w:rsidP="00421337">
      <w:pPr>
        <w:pStyle w:val="Heading1"/>
      </w:pPr>
      <w:r w:rsidRPr="00421337">
        <w:lastRenderedPageBreak/>
        <w:t xml:space="preserve">Discussion </w:t>
      </w:r>
    </w:p>
    <w:p w14:paraId="0CF89D96" w14:textId="77777777" w:rsidR="00421337" w:rsidRDefault="00421337" w:rsidP="00421337">
      <w:r>
        <w:t xml:space="preserve">The detection of asymptomatic patients within the first wave of COVID-19 in HNELHD was likely underestimated in the context of strict testing criteria focused on fever and/or respiratory symptoms. Despite this, our findings highlight the need to thoroughly investigate the past history of asymptomatic cases, and to also follow these cases forward, to avoid misclassification as asymptomatic. As of 17 June, the </w:t>
      </w:r>
      <w:proofErr w:type="spellStart"/>
      <w:r>
        <w:t>SoNG</w:t>
      </w:r>
      <w:proofErr w:type="spellEnd"/>
      <w:r>
        <w:t xml:space="preserve"> revision (version 3.2) would capture missed symptomology as it directs thorough investigation of asymptomatic cases.</w:t>
      </w:r>
      <w:r>
        <w:rPr>
          <w:vertAlign w:val="superscript"/>
        </w:rPr>
        <w:t>10</w:t>
      </w:r>
      <w:r>
        <w:t xml:space="preserve"> </w:t>
      </w:r>
    </w:p>
    <w:p w14:paraId="38C22DC1" w14:textId="77777777" w:rsidR="00421337" w:rsidRDefault="00421337" w:rsidP="00421337">
      <w:r>
        <w:t xml:space="preserve">During the initial case interviews emphasis was placed on contact tracing to ensure isolation of cases and close contacts. It is possible that mild symptoms that occurred in the days prior (up to 20 days) may have been missed as our case interview questionnaire only prompted for current symptoms (based on the CDNA National Guidelines at the time). The availability of laboratory testing capacity during this period was limited and the public health focus was appropriately on mitigating the risk of ongoing community spread. </w:t>
      </w:r>
    </w:p>
    <w:p w14:paraId="0C6209AD" w14:textId="77777777" w:rsidR="00421337" w:rsidRDefault="00421337" w:rsidP="00421337">
      <w:r>
        <w:t>We now know that COVID-19 can cause a prolonged period of viral RNA shedding, with a median time of 20 days reported by a cohort study in Wuhan.</w:t>
      </w:r>
      <w:r>
        <w:rPr>
          <w:vertAlign w:val="superscript"/>
        </w:rPr>
        <w:t>8,9</w:t>
      </w:r>
      <w:r>
        <w:t xml:space="preserve"> Due to this, cases who had mild symptoms in the past (which had subsequently resolved) may be inaccurately labelled as asymptomatic. This distinction is important if there is a suspected difference in infectivity of patients with mild symptoms compared to those with no symptoms at all. It would be interesting to review other studies, such as that conducted by </w:t>
      </w:r>
      <w:proofErr w:type="spellStart"/>
      <w:r>
        <w:t>Mizumoto</w:t>
      </w:r>
      <w:proofErr w:type="spellEnd"/>
      <w:r>
        <w:t xml:space="preserve"> et al,</w:t>
      </w:r>
      <w:r>
        <w:rPr>
          <w:vertAlign w:val="superscript"/>
        </w:rPr>
        <w:t>5</w:t>
      </w:r>
      <w:r>
        <w:t xml:space="preserve"> to determine if asymptomatic cases were in fact post-symptomatic, given the long time-frame in which viral RNA can be detected. </w:t>
      </w:r>
    </w:p>
    <w:p w14:paraId="2819ED0B" w14:textId="77777777" w:rsidR="00421337" w:rsidRDefault="00421337" w:rsidP="00421337">
      <w:r>
        <w:t xml:space="preserve">We acknowledge that this is a small sample in northern NSW and not representative of all asymptomatic cases, as these cases were tested and detected during a time that symptomatic testing was directed by national guidelines. Nonetheless, this provides an important insight into disease dynamics within the local community. </w:t>
      </w:r>
    </w:p>
    <w:p w14:paraId="05A78582" w14:textId="77777777" w:rsidR="00421337" w:rsidRDefault="00421337" w:rsidP="00421337">
      <w:r>
        <w:t>There is clear evidence that a significant proportion of infections with SARS-CoV-2 are asymptomatic, including 7% of cases in the HNELHD.</w:t>
      </w:r>
      <w:r>
        <w:rPr>
          <w:vertAlign w:val="superscript"/>
        </w:rPr>
        <w:t>3</w:t>
      </w:r>
      <w:r>
        <w:t xml:space="preserve"> The implications of this in terms of infectivity and public health risk remain unclear and warrant further investigation. Misclassification of cases as asymptomatic, rather than pre- or post-symptomatic, may warp our understanding of transmission dynamics. To prevent this, the collection of sound surveillance data and thorough investigation of seemingly asymptomatic cases is required. Furthermore, symptom-based screening for COVID-19 — requiring present symptoms at time of testing — may exclude many positive patients; broader testing criteria will be required when the second pandemic wave occurs to accurately capture all cases.</w:t>
      </w:r>
    </w:p>
    <w:p w14:paraId="06B97CC9" w14:textId="77777777" w:rsidR="00421337" w:rsidRPr="00421337" w:rsidRDefault="00421337" w:rsidP="00421337">
      <w:pPr>
        <w:pStyle w:val="Heading1"/>
      </w:pPr>
      <w:r w:rsidRPr="00421337">
        <w:t xml:space="preserve">Acknowledgments </w:t>
      </w:r>
    </w:p>
    <w:p w14:paraId="14F4D31C" w14:textId="77777777" w:rsidR="00421337" w:rsidRDefault="00421337" w:rsidP="00421337">
      <w:r>
        <w:t xml:space="preserve">Many thanks to the Hunter New England COVID-19 Planning Team and epidemiologist Laura Miles for assisting with data access. </w:t>
      </w:r>
    </w:p>
    <w:p w14:paraId="0F539378" w14:textId="77777777" w:rsidR="00421337" w:rsidRDefault="00421337" w:rsidP="00421337">
      <w:r>
        <w:t>Thanks also to all of the fantastic staff working at the Public Health Unit of Hunter New England, to all of the COVID-19 surge staff for their endless hard work, and to Dr Tony Merritt for his review.</w:t>
      </w:r>
    </w:p>
    <w:p w14:paraId="144D2236" w14:textId="77777777" w:rsidR="00B951D7" w:rsidRDefault="00B951D7">
      <w:pPr>
        <w:rPr>
          <w:rFonts w:asciiTheme="majorHAnsi" w:eastAsiaTheme="majorEastAsia" w:hAnsiTheme="majorHAnsi" w:cstheme="majorBidi"/>
          <w:b/>
          <w:bCs/>
          <w:sz w:val="32"/>
          <w:szCs w:val="28"/>
        </w:rPr>
      </w:pPr>
      <w:r>
        <w:br w:type="page"/>
      </w:r>
    </w:p>
    <w:p w14:paraId="6E262D42" w14:textId="77777777" w:rsidR="00421337" w:rsidRPr="00421337" w:rsidRDefault="00421337" w:rsidP="00421337">
      <w:pPr>
        <w:pStyle w:val="Heading1"/>
      </w:pPr>
      <w:r w:rsidRPr="00421337">
        <w:lastRenderedPageBreak/>
        <w:t xml:space="preserve">Author details </w:t>
      </w:r>
    </w:p>
    <w:p w14:paraId="49A32D4B" w14:textId="37AC5FBE" w:rsidR="00421337" w:rsidRDefault="00421337" w:rsidP="00421337">
      <w:r>
        <w:t>Dr Jazmin K Daniells</w:t>
      </w:r>
      <w:r>
        <w:rPr>
          <w:vertAlign w:val="superscript"/>
        </w:rPr>
        <w:t xml:space="preserve">1,2 </w:t>
      </w:r>
      <w:r>
        <w:t>Dr Helen L MacCallum</w:t>
      </w:r>
      <w:r>
        <w:rPr>
          <w:vertAlign w:val="superscript"/>
        </w:rPr>
        <w:t>1,</w:t>
      </w:r>
      <w:r w:rsidR="00EC1D6F">
        <w:rPr>
          <w:vertAlign w:val="superscript"/>
        </w:rPr>
        <w:t xml:space="preserve">2 </w:t>
      </w:r>
      <w:r>
        <w:t>Prof David N Durrheim</w:t>
      </w:r>
      <w:r>
        <w:rPr>
          <w:vertAlign w:val="superscript"/>
        </w:rPr>
        <w:t xml:space="preserve">1,2 </w:t>
      </w:r>
    </w:p>
    <w:p w14:paraId="140D7AE1" w14:textId="77777777" w:rsidR="00421337" w:rsidRDefault="00421337" w:rsidP="00421337">
      <w:pPr>
        <w:numPr>
          <w:ilvl w:val="0"/>
          <w:numId w:val="7"/>
        </w:numPr>
        <w:spacing w:before="100" w:beforeAutospacing="1" w:after="100" w:afterAutospacing="1" w:line="240" w:lineRule="auto"/>
        <w:rPr>
          <w:rFonts w:eastAsia="Times New Roman"/>
        </w:rPr>
      </w:pPr>
      <w:r>
        <w:rPr>
          <w:rFonts w:eastAsia="Times New Roman"/>
        </w:rPr>
        <w:t xml:space="preserve">Hunter New England Population Health, NSW, Australia </w:t>
      </w:r>
    </w:p>
    <w:p w14:paraId="642FBB0A" w14:textId="77777777" w:rsidR="00421337" w:rsidRDefault="00421337" w:rsidP="00421337">
      <w:pPr>
        <w:numPr>
          <w:ilvl w:val="0"/>
          <w:numId w:val="7"/>
        </w:numPr>
        <w:spacing w:before="100" w:beforeAutospacing="1" w:after="100" w:afterAutospacing="1" w:line="240" w:lineRule="auto"/>
        <w:rPr>
          <w:rFonts w:eastAsia="Times New Roman"/>
        </w:rPr>
      </w:pPr>
      <w:r>
        <w:rPr>
          <w:rFonts w:eastAsia="Times New Roman"/>
        </w:rPr>
        <w:t xml:space="preserve">School of Medicine and Public Health, University of Newcastle, NSW, Australia </w:t>
      </w:r>
    </w:p>
    <w:p w14:paraId="7F10B93A" w14:textId="4CFAD13E" w:rsidR="00421337" w:rsidRPr="00421337" w:rsidRDefault="00421337" w:rsidP="00421337">
      <w:pPr>
        <w:pStyle w:val="Heading2"/>
      </w:pPr>
      <w:r w:rsidRPr="00421337">
        <w:t xml:space="preserve">Corresponding author </w:t>
      </w:r>
    </w:p>
    <w:p w14:paraId="3F9ECFCB" w14:textId="77777777" w:rsidR="00EC1D6F" w:rsidRDefault="00421337" w:rsidP="00EC1D6F">
      <w:pPr>
        <w:spacing w:after="0"/>
      </w:pPr>
      <w:r>
        <w:t xml:space="preserve">Dr Jazmin K Daniells </w:t>
      </w:r>
    </w:p>
    <w:p w14:paraId="4A9683F9" w14:textId="77777777" w:rsidR="00EC1D6F" w:rsidRDefault="00421337" w:rsidP="00EC1D6F">
      <w:pPr>
        <w:spacing w:after="0"/>
      </w:pPr>
      <w:r>
        <w:t xml:space="preserve">Public Health Medical Officer, HNE Population Health, Locked Bag 10, Wallsend NSW 2287 Australia. </w:t>
      </w:r>
    </w:p>
    <w:p w14:paraId="0B51D083" w14:textId="77777777" w:rsidR="00EC1D6F" w:rsidRDefault="00421337" w:rsidP="00EC1D6F">
      <w:pPr>
        <w:spacing w:after="0"/>
      </w:pPr>
      <w:r>
        <w:t xml:space="preserve">phone: (02) 4924 </w:t>
      </w:r>
      <w:proofErr w:type="gramStart"/>
      <w:r>
        <w:t>6499</w:t>
      </w:r>
      <w:proofErr w:type="gramEnd"/>
      <w:r>
        <w:t xml:space="preserve"> </w:t>
      </w:r>
    </w:p>
    <w:p w14:paraId="5CB8D807" w14:textId="77777777" w:rsidR="00EC1D6F" w:rsidRDefault="00421337" w:rsidP="00EC1D6F">
      <w:pPr>
        <w:spacing w:after="0"/>
      </w:pPr>
      <w:r>
        <w:t xml:space="preserve">facsimile: (02) 4924 6048 </w:t>
      </w:r>
    </w:p>
    <w:p w14:paraId="3A44655A" w14:textId="77777777" w:rsidR="00421337" w:rsidRDefault="00421337" w:rsidP="00421337">
      <w:r>
        <w:t xml:space="preserve">email: Jazmin.Daniells@health.nsw.gov.au </w:t>
      </w:r>
    </w:p>
    <w:p w14:paraId="6CF0FB3E" w14:textId="77777777" w:rsidR="00421337" w:rsidRPr="00421337" w:rsidRDefault="00421337" w:rsidP="00421337">
      <w:pPr>
        <w:pStyle w:val="Heading1"/>
      </w:pPr>
      <w:r w:rsidRPr="00421337">
        <w:t xml:space="preserve">References </w:t>
      </w:r>
    </w:p>
    <w:p w14:paraId="73E379A6" w14:textId="77777777" w:rsidR="00421337" w:rsidRPr="00421337" w:rsidRDefault="00421337" w:rsidP="00421337">
      <w:pPr>
        <w:pStyle w:val="ListParagraph"/>
        <w:numPr>
          <w:ilvl w:val="0"/>
          <w:numId w:val="9"/>
        </w:numPr>
        <w:rPr>
          <w:rFonts w:eastAsia="Times New Roman"/>
        </w:rPr>
      </w:pPr>
      <w:r w:rsidRPr="00421337">
        <w:rPr>
          <w:rFonts w:eastAsia="Times New Roman"/>
        </w:rPr>
        <w:t xml:space="preserve">Australian Government Department of Health; Ministers. First confirmed case of novel coronavirus in Australia. [Internet.] Canberra: Australian Government Department of Health, the Hon Greg Hunt MP: 25 January 2020. Available from: https://www.health.gov.au/ministers/the-hon-greg-hunt-mp/media/first-confirmed-case-of-novel-coronavirus-in-australia. </w:t>
      </w:r>
    </w:p>
    <w:p w14:paraId="78BEC685" w14:textId="77777777" w:rsidR="00421337" w:rsidRPr="00421337" w:rsidRDefault="00421337" w:rsidP="00421337">
      <w:pPr>
        <w:pStyle w:val="ListParagraph"/>
        <w:numPr>
          <w:ilvl w:val="0"/>
          <w:numId w:val="9"/>
        </w:numPr>
        <w:rPr>
          <w:rFonts w:eastAsia="Times New Roman"/>
        </w:rPr>
      </w:pPr>
      <w:r w:rsidRPr="00421337">
        <w:rPr>
          <w:rFonts w:eastAsia="Times New Roman"/>
        </w:rPr>
        <w:t xml:space="preserve">New South Wales Health. Local health districts: Hunter New England. [Internet.] Sydney: Government of New South Wales; 2018. Available from: https://www.health.nsw.gov.au/lhd/Pages/hnelhd.aspx. </w:t>
      </w:r>
    </w:p>
    <w:p w14:paraId="49D2C7D7" w14:textId="77777777" w:rsidR="00421337" w:rsidRPr="00421337" w:rsidRDefault="00421337" w:rsidP="00421337">
      <w:pPr>
        <w:pStyle w:val="ListParagraph"/>
        <w:numPr>
          <w:ilvl w:val="0"/>
          <w:numId w:val="9"/>
        </w:numPr>
        <w:rPr>
          <w:rFonts w:eastAsia="Times New Roman"/>
        </w:rPr>
      </w:pPr>
      <w:proofErr w:type="spellStart"/>
      <w:r w:rsidRPr="00421337">
        <w:rPr>
          <w:rFonts w:eastAsia="Times New Roman"/>
        </w:rPr>
        <w:t>Byambasuren</w:t>
      </w:r>
      <w:proofErr w:type="spellEnd"/>
      <w:r w:rsidRPr="00421337">
        <w:rPr>
          <w:rFonts w:eastAsia="Times New Roman"/>
        </w:rPr>
        <w:t xml:space="preserve"> O, Cardona M, Bell K, Clark J, </w:t>
      </w:r>
      <w:proofErr w:type="spellStart"/>
      <w:r w:rsidRPr="00421337">
        <w:rPr>
          <w:rFonts w:eastAsia="Times New Roman"/>
        </w:rPr>
        <w:t>McLaws</w:t>
      </w:r>
      <w:proofErr w:type="spellEnd"/>
      <w:r w:rsidRPr="00421337">
        <w:rPr>
          <w:rFonts w:eastAsia="Times New Roman"/>
        </w:rPr>
        <w:t xml:space="preserve"> ML, </w:t>
      </w:r>
      <w:proofErr w:type="spellStart"/>
      <w:r w:rsidRPr="00421337">
        <w:rPr>
          <w:rFonts w:eastAsia="Times New Roman"/>
        </w:rPr>
        <w:t>Glasziou</w:t>
      </w:r>
      <w:proofErr w:type="spellEnd"/>
      <w:r w:rsidRPr="00421337">
        <w:rPr>
          <w:rFonts w:eastAsia="Times New Roman"/>
        </w:rPr>
        <w:t xml:space="preserve"> P. Estimating the extent of true asymptomatic COVID-19 and its potential for community transmission: systematic review and meta-analysis. </w:t>
      </w:r>
      <w:proofErr w:type="spellStart"/>
      <w:r w:rsidRPr="007E0038">
        <w:rPr>
          <w:rStyle w:val="Emphasis"/>
          <w:rFonts w:eastAsia="Times New Roman"/>
          <w:b w:val="0"/>
        </w:rPr>
        <w:t>medRxiv</w:t>
      </w:r>
      <w:proofErr w:type="spellEnd"/>
      <w:r w:rsidRPr="00421337">
        <w:rPr>
          <w:rFonts w:eastAsia="Times New Roman"/>
        </w:rPr>
        <w:t xml:space="preserve">. 2020. doi: https://doi.org/10.1101/2020.05.10.20097543. </w:t>
      </w:r>
    </w:p>
    <w:p w14:paraId="36494FC2" w14:textId="77777777" w:rsidR="00421337" w:rsidRPr="00421337" w:rsidRDefault="00421337" w:rsidP="00421337">
      <w:pPr>
        <w:pStyle w:val="ListParagraph"/>
        <w:numPr>
          <w:ilvl w:val="0"/>
          <w:numId w:val="9"/>
        </w:numPr>
        <w:rPr>
          <w:rFonts w:eastAsia="Times New Roman"/>
        </w:rPr>
      </w:pPr>
      <w:r w:rsidRPr="00421337">
        <w:rPr>
          <w:rFonts w:eastAsia="Times New Roman"/>
        </w:rPr>
        <w:t xml:space="preserve">Nishiura H, Kobayashi T, Miyama T, Suzuki A, Jung SM, Hayashi K et al. Estimation of the asymptomatic ratio of novel coronavirus infections (COVID-19). </w:t>
      </w:r>
      <w:r w:rsidRPr="007E0038">
        <w:rPr>
          <w:rStyle w:val="Emphasis"/>
          <w:rFonts w:eastAsia="Times New Roman"/>
          <w:b w:val="0"/>
        </w:rPr>
        <w:t>Int J Infect Dis</w:t>
      </w:r>
      <w:r w:rsidRPr="00421337">
        <w:rPr>
          <w:rFonts w:eastAsia="Times New Roman"/>
        </w:rPr>
        <w:t xml:space="preserve">. 2020;94:154–5. </w:t>
      </w:r>
    </w:p>
    <w:p w14:paraId="35859859" w14:textId="77777777" w:rsidR="00421337" w:rsidRPr="00421337" w:rsidRDefault="00421337" w:rsidP="00421337">
      <w:pPr>
        <w:pStyle w:val="ListParagraph"/>
        <w:numPr>
          <w:ilvl w:val="0"/>
          <w:numId w:val="9"/>
        </w:numPr>
        <w:rPr>
          <w:rFonts w:eastAsia="Times New Roman"/>
        </w:rPr>
      </w:pPr>
      <w:proofErr w:type="spellStart"/>
      <w:r w:rsidRPr="00421337">
        <w:rPr>
          <w:rFonts w:eastAsia="Times New Roman"/>
        </w:rPr>
        <w:t>Mizumoto</w:t>
      </w:r>
      <w:proofErr w:type="spellEnd"/>
      <w:r w:rsidRPr="00421337">
        <w:rPr>
          <w:rFonts w:eastAsia="Times New Roman"/>
        </w:rPr>
        <w:t xml:space="preserve"> K, </w:t>
      </w:r>
      <w:proofErr w:type="spellStart"/>
      <w:r w:rsidRPr="00421337">
        <w:rPr>
          <w:rFonts w:eastAsia="Times New Roman"/>
        </w:rPr>
        <w:t>Kagaya</w:t>
      </w:r>
      <w:proofErr w:type="spellEnd"/>
      <w:r w:rsidRPr="00421337">
        <w:rPr>
          <w:rFonts w:eastAsia="Times New Roman"/>
        </w:rPr>
        <w:t xml:space="preserve"> K, </w:t>
      </w:r>
      <w:proofErr w:type="spellStart"/>
      <w:r w:rsidRPr="00421337">
        <w:rPr>
          <w:rFonts w:eastAsia="Times New Roman"/>
        </w:rPr>
        <w:t>Zarebski</w:t>
      </w:r>
      <w:proofErr w:type="spellEnd"/>
      <w:r w:rsidRPr="00421337">
        <w:rPr>
          <w:rFonts w:eastAsia="Times New Roman"/>
        </w:rPr>
        <w:t xml:space="preserve"> A, </w:t>
      </w:r>
      <w:proofErr w:type="spellStart"/>
      <w:r w:rsidRPr="00421337">
        <w:rPr>
          <w:rFonts w:eastAsia="Times New Roman"/>
        </w:rPr>
        <w:t>Chowell</w:t>
      </w:r>
      <w:proofErr w:type="spellEnd"/>
      <w:r w:rsidRPr="00421337">
        <w:rPr>
          <w:rFonts w:eastAsia="Times New Roman"/>
        </w:rPr>
        <w:t xml:space="preserve"> G. Estimating the asymptomatic proportion of coronavirus disease 2019 (COVID-19) cases on board the Diamond Princess cruise ship, Yokohama, Japan, 2020. </w:t>
      </w:r>
      <w:r w:rsidRPr="007E0038">
        <w:rPr>
          <w:rStyle w:val="Emphasis"/>
          <w:rFonts w:eastAsia="Times New Roman"/>
          <w:b w:val="0"/>
        </w:rPr>
        <w:t xml:space="preserve">Euro </w:t>
      </w:r>
      <w:proofErr w:type="spellStart"/>
      <w:r w:rsidRPr="007E0038">
        <w:rPr>
          <w:rStyle w:val="Emphasis"/>
          <w:rFonts w:eastAsia="Times New Roman"/>
          <w:b w:val="0"/>
        </w:rPr>
        <w:t>Surveill</w:t>
      </w:r>
      <w:proofErr w:type="spellEnd"/>
      <w:r w:rsidRPr="00421337">
        <w:rPr>
          <w:rFonts w:eastAsia="Times New Roman"/>
        </w:rPr>
        <w:t xml:space="preserve">. 2020;25(10):2000180. </w:t>
      </w:r>
    </w:p>
    <w:p w14:paraId="61326420" w14:textId="77777777" w:rsidR="00421337" w:rsidRPr="00421337" w:rsidRDefault="00421337" w:rsidP="00421337">
      <w:pPr>
        <w:pStyle w:val="ListParagraph"/>
        <w:numPr>
          <w:ilvl w:val="0"/>
          <w:numId w:val="9"/>
        </w:numPr>
        <w:rPr>
          <w:rFonts w:eastAsia="Times New Roman"/>
        </w:rPr>
      </w:pPr>
      <w:r w:rsidRPr="00421337">
        <w:rPr>
          <w:rFonts w:eastAsia="Times New Roman"/>
        </w:rPr>
        <w:t xml:space="preserve">Bai Y, Yao L, Wei T, Tian F, Jin DY, Chen L et al. Presumed asymptomatic carrier transmission of COVID-19. </w:t>
      </w:r>
      <w:r w:rsidRPr="007E0038">
        <w:rPr>
          <w:rStyle w:val="Emphasis"/>
          <w:rFonts w:eastAsia="Times New Roman"/>
          <w:b w:val="0"/>
        </w:rPr>
        <w:t>JAMA</w:t>
      </w:r>
      <w:r w:rsidRPr="00421337">
        <w:rPr>
          <w:rFonts w:eastAsia="Times New Roman"/>
        </w:rPr>
        <w:t xml:space="preserve">. 2020;323(14):1406–7. </w:t>
      </w:r>
    </w:p>
    <w:p w14:paraId="6537F8A3" w14:textId="77777777" w:rsidR="00421337" w:rsidRPr="00421337" w:rsidRDefault="00421337" w:rsidP="00421337">
      <w:pPr>
        <w:pStyle w:val="ListParagraph"/>
        <w:numPr>
          <w:ilvl w:val="0"/>
          <w:numId w:val="9"/>
        </w:numPr>
        <w:rPr>
          <w:rFonts w:eastAsia="Times New Roman"/>
        </w:rPr>
      </w:pPr>
      <w:r w:rsidRPr="00421337">
        <w:rPr>
          <w:rFonts w:eastAsia="Times New Roman"/>
        </w:rPr>
        <w:t xml:space="preserve">He X, Lau EHY, Wu P, Deng X, Wang J, Hao X et al. Temporal dynamics in viral shedding and transmissibility of COVID-19. </w:t>
      </w:r>
      <w:r w:rsidRPr="007E0038">
        <w:rPr>
          <w:rStyle w:val="Emphasis"/>
          <w:rFonts w:eastAsia="Times New Roman"/>
          <w:b w:val="0"/>
        </w:rPr>
        <w:t>Nat Med</w:t>
      </w:r>
      <w:r w:rsidRPr="00421337">
        <w:rPr>
          <w:rFonts w:eastAsia="Times New Roman"/>
        </w:rPr>
        <w:t xml:space="preserve">. 2020;26(5):672–5. </w:t>
      </w:r>
    </w:p>
    <w:p w14:paraId="2F4A7D54" w14:textId="77777777" w:rsidR="00421337" w:rsidRPr="00421337" w:rsidRDefault="00421337" w:rsidP="00421337">
      <w:pPr>
        <w:pStyle w:val="ListParagraph"/>
        <w:numPr>
          <w:ilvl w:val="0"/>
          <w:numId w:val="9"/>
        </w:numPr>
        <w:rPr>
          <w:rFonts w:eastAsia="Times New Roman"/>
        </w:rPr>
      </w:pPr>
      <w:r w:rsidRPr="00421337">
        <w:rPr>
          <w:rFonts w:eastAsia="Times New Roman"/>
        </w:rPr>
        <w:t xml:space="preserve">Hu Z, Song C, Xu C, Jin G, Chen Y, Xu X et al. Clinical characteristics of 24 asymptomatic infections with COVID-19 screened among close contacts in Nanjing, China. </w:t>
      </w:r>
      <w:r w:rsidRPr="007E0038">
        <w:rPr>
          <w:rStyle w:val="Emphasis"/>
          <w:rFonts w:eastAsia="Times New Roman"/>
          <w:b w:val="0"/>
        </w:rPr>
        <w:t>Sci China Life Sci</w:t>
      </w:r>
      <w:r w:rsidRPr="00421337">
        <w:rPr>
          <w:rFonts w:eastAsia="Times New Roman"/>
        </w:rPr>
        <w:t xml:space="preserve">. 2020;63(5):706–11. </w:t>
      </w:r>
    </w:p>
    <w:p w14:paraId="57B6B982" w14:textId="77777777" w:rsidR="00421337" w:rsidRPr="00421337" w:rsidRDefault="00421337" w:rsidP="00421337">
      <w:pPr>
        <w:pStyle w:val="ListParagraph"/>
        <w:numPr>
          <w:ilvl w:val="0"/>
          <w:numId w:val="9"/>
        </w:numPr>
        <w:rPr>
          <w:rFonts w:eastAsia="Times New Roman"/>
        </w:rPr>
      </w:pPr>
      <w:r w:rsidRPr="00421337">
        <w:rPr>
          <w:rFonts w:eastAsia="Times New Roman"/>
        </w:rPr>
        <w:t xml:space="preserve">Zhou F, Yu T, Du R, Fan G, Liu Y, Liu Z et al. Clinical course and risk factors for mortality of adult inpatients with COVID-19 in Wuhan, China: a retrospective cohort study. </w:t>
      </w:r>
      <w:r w:rsidRPr="007E0038">
        <w:rPr>
          <w:rStyle w:val="Emphasis"/>
          <w:rFonts w:eastAsia="Times New Roman"/>
          <w:b w:val="0"/>
        </w:rPr>
        <w:t>Lancet</w:t>
      </w:r>
      <w:r w:rsidRPr="00421337">
        <w:rPr>
          <w:rFonts w:eastAsia="Times New Roman"/>
        </w:rPr>
        <w:t xml:space="preserve">. 2020;395(10229):1054–62. </w:t>
      </w:r>
    </w:p>
    <w:p w14:paraId="17F7A0B2" w14:textId="77777777" w:rsidR="008B5348" w:rsidRDefault="00421337" w:rsidP="00B951D7">
      <w:pPr>
        <w:pStyle w:val="ListParagraph"/>
        <w:numPr>
          <w:ilvl w:val="0"/>
          <w:numId w:val="9"/>
        </w:num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r w:rsidRPr="00421337">
        <w:rPr>
          <w:rFonts w:eastAsia="Times New Roman"/>
        </w:rPr>
        <w:t>Australian Government Department of Health. Series of National Guidelines (</w:t>
      </w:r>
      <w:proofErr w:type="spellStart"/>
      <w:r w:rsidRPr="00421337">
        <w:rPr>
          <w:rFonts w:eastAsia="Times New Roman"/>
        </w:rPr>
        <w:t>SoNGs</w:t>
      </w:r>
      <w:proofErr w:type="spellEnd"/>
      <w:r w:rsidRPr="00421337">
        <w:rPr>
          <w:rFonts w:eastAsia="Times New Roman"/>
        </w:rPr>
        <w:t>): Coronavirus Disease 2019 (COVID-19). CDNA National guidelines for public health units. [Internet.] Canberra: Australian Government Department of Health; 2020. Available from: https://www1.health.gov.au/internet/main/publishing.nsf/Content/cdna-song-novel-coronavirus.htm.</w:t>
      </w:r>
      <w:r w:rsidR="00B951D7">
        <w:rPr>
          <w:rStyle w:val="A10"/>
        </w:rPr>
        <w:t xml:space="preserve"> </w:t>
      </w:r>
    </w:p>
    <w:p w14:paraId="11DC98CB"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6DE6C33"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DE9D32B" w14:textId="77777777" w:rsidR="000A5F42" w:rsidRPr="000606CC" w:rsidRDefault="000A5F42" w:rsidP="000A5F42">
      <w:pPr>
        <w:pStyle w:val="NoSpacing"/>
        <w:rPr>
          <w:rStyle w:val="URI"/>
          <w:rFonts w:cstheme="minorHAnsi"/>
          <w:sz w:val="20"/>
          <w:szCs w:val="18"/>
        </w:rPr>
      </w:pPr>
    </w:p>
    <w:p w14:paraId="7E56EF03"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681C307C" w14:textId="77777777" w:rsidR="000A5F42" w:rsidRPr="000606CC" w:rsidRDefault="000A5F42" w:rsidP="000A5F42">
      <w:pPr>
        <w:pStyle w:val="NoSpacing"/>
        <w:rPr>
          <w:rStyle w:val="Strong"/>
          <w:rFonts w:cstheme="minorHAnsi"/>
          <w:sz w:val="20"/>
          <w:szCs w:val="18"/>
        </w:rPr>
      </w:pPr>
    </w:p>
    <w:p w14:paraId="1C7D028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02D7BE9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9B7081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DBD0E8D"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08E425AC" w14:textId="77777777" w:rsidR="000A5F42" w:rsidRPr="000606CC" w:rsidRDefault="000A5F42" w:rsidP="000A5F42">
      <w:pPr>
        <w:pStyle w:val="NoSpacing"/>
        <w:rPr>
          <w:rStyle w:val="Strong"/>
          <w:rFonts w:cstheme="minorHAnsi"/>
          <w:sz w:val="20"/>
          <w:szCs w:val="18"/>
        </w:rPr>
      </w:pPr>
    </w:p>
    <w:p w14:paraId="3385E112" w14:textId="35C54D8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218421C" w14:textId="77777777" w:rsidR="000A5F42" w:rsidRPr="000606CC" w:rsidRDefault="000A5F42" w:rsidP="000A5F42">
      <w:pPr>
        <w:pStyle w:val="NoSpacing"/>
        <w:rPr>
          <w:rStyle w:val="Strong"/>
          <w:rFonts w:cstheme="minorHAnsi"/>
          <w:sz w:val="20"/>
          <w:szCs w:val="18"/>
        </w:rPr>
      </w:pPr>
    </w:p>
    <w:p w14:paraId="67AD0C7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74C3A7A3" w14:textId="77777777" w:rsidR="000A5F42" w:rsidRPr="000606CC" w:rsidRDefault="000A5F42" w:rsidP="000A5F42">
      <w:pPr>
        <w:pStyle w:val="NoSpacing"/>
        <w:rPr>
          <w:rStyle w:val="Strong"/>
          <w:rFonts w:cstheme="minorHAnsi"/>
          <w:sz w:val="20"/>
          <w:szCs w:val="18"/>
        </w:rPr>
      </w:pPr>
    </w:p>
    <w:p w14:paraId="11030ED4" w14:textId="0E9FF60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D5CA32C" w14:textId="77777777" w:rsidR="000A5F42" w:rsidRPr="000606CC" w:rsidRDefault="000A5F42" w:rsidP="000A5F42">
      <w:pPr>
        <w:pStyle w:val="NoSpacing"/>
        <w:rPr>
          <w:rStyle w:val="Strong"/>
          <w:rFonts w:cstheme="minorHAnsi"/>
          <w:sz w:val="20"/>
          <w:szCs w:val="18"/>
        </w:rPr>
      </w:pPr>
    </w:p>
    <w:p w14:paraId="25ECA5C1" w14:textId="04AB7FFE"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29F9DA1" w14:textId="3D6A9AA1"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406EEC06" w14:textId="77777777" w:rsidR="000A5F42" w:rsidRPr="000606CC" w:rsidRDefault="000A5F42" w:rsidP="000A5F42">
      <w:pPr>
        <w:pStyle w:val="NoSpacing"/>
        <w:pBdr>
          <w:bottom w:val="single" w:sz="6" w:space="1" w:color="auto"/>
        </w:pBdr>
        <w:rPr>
          <w:rStyle w:val="Strong"/>
          <w:rFonts w:cstheme="minorHAnsi"/>
          <w:sz w:val="12"/>
          <w:szCs w:val="18"/>
        </w:rPr>
      </w:pPr>
    </w:p>
    <w:p w14:paraId="7A618768" w14:textId="77777777" w:rsidR="000A5F42" w:rsidRPr="000606CC" w:rsidRDefault="000A5F42" w:rsidP="000A5F42">
      <w:pPr>
        <w:pStyle w:val="NoSpacing"/>
        <w:rPr>
          <w:rFonts w:cstheme="minorHAnsi"/>
          <w:sz w:val="20"/>
          <w:szCs w:val="18"/>
        </w:rPr>
      </w:pPr>
    </w:p>
    <w:p w14:paraId="0A94A0D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02EAF58E" w14:textId="77777777" w:rsidR="000A5F42" w:rsidRPr="000606CC" w:rsidRDefault="000A5F42" w:rsidP="000A5F42">
      <w:pPr>
        <w:pStyle w:val="NoSpacing"/>
        <w:rPr>
          <w:rFonts w:cstheme="minorHAnsi"/>
          <w:sz w:val="20"/>
          <w:szCs w:val="18"/>
        </w:rPr>
      </w:pPr>
    </w:p>
    <w:p w14:paraId="0ADB0AD3"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03B0A03"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43FBD8E4" w14:textId="6D229C10"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FBC7C2E" w14:textId="77777777" w:rsidR="000A5F42" w:rsidRPr="000606CC" w:rsidRDefault="000A5F42" w:rsidP="000A5F42">
      <w:pPr>
        <w:pStyle w:val="NoSpacing"/>
        <w:rPr>
          <w:rFonts w:cstheme="minorHAnsi"/>
          <w:sz w:val="20"/>
          <w:szCs w:val="18"/>
        </w:rPr>
      </w:pPr>
    </w:p>
    <w:p w14:paraId="6CF4CEA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6A96DC9" w14:textId="5FD40DF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CE56EA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78D2736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3CA115F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AD5B5A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3A75FC0" w14:textId="77777777" w:rsidR="000A5F42" w:rsidRPr="000606CC" w:rsidRDefault="000A5F42" w:rsidP="000A5F42">
      <w:pPr>
        <w:pStyle w:val="NoSpacing"/>
        <w:rPr>
          <w:rStyle w:val="Strong"/>
          <w:rFonts w:cstheme="minorHAnsi"/>
          <w:sz w:val="20"/>
          <w:szCs w:val="18"/>
        </w:rPr>
      </w:pPr>
    </w:p>
    <w:p w14:paraId="0711218B"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7408E57" w14:textId="77777777" w:rsidR="000A5F42" w:rsidRPr="000606CC" w:rsidRDefault="000A5F42" w:rsidP="000A5F42">
      <w:pPr>
        <w:pStyle w:val="NoSpacing"/>
        <w:rPr>
          <w:rStyle w:val="Strong"/>
          <w:rFonts w:cstheme="minorHAnsi"/>
          <w:sz w:val="20"/>
          <w:szCs w:val="18"/>
        </w:rPr>
      </w:pPr>
    </w:p>
    <w:p w14:paraId="42A165F7" w14:textId="1577BBA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4D17DB6" w14:textId="77777777" w:rsidR="000A5F42" w:rsidRPr="000606CC" w:rsidRDefault="000A5F42" w:rsidP="000A5F42">
      <w:pPr>
        <w:pStyle w:val="NoSpacing"/>
        <w:rPr>
          <w:rStyle w:val="URI"/>
          <w:rFonts w:cstheme="minorHAnsi"/>
          <w:sz w:val="20"/>
          <w:szCs w:val="18"/>
        </w:rPr>
      </w:pPr>
    </w:p>
    <w:p w14:paraId="33D085CF" w14:textId="4DFC495C"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61AA361B"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E1D1" w14:textId="77777777" w:rsidR="001E7CC0" w:rsidRDefault="001E7CC0" w:rsidP="00E54DBA">
      <w:r>
        <w:separator/>
      </w:r>
    </w:p>
    <w:p w14:paraId="3AABBF68" w14:textId="77777777" w:rsidR="001E7CC0" w:rsidRDefault="001E7CC0"/>
    <w:p w14:paraId="69DAC043" w14:textId="77777777" w:rsidR="001E7CC0" w:rsidRDefault="001E7CC0" w:rsidP="008714B0"/>
  </w:endnote>
  <w:endnote w:type="continuationSeparator" w:id="0">
    <w:p w14:paraId="3660F781" w14:textId="77777777" w:rsidR="001E7CC0" w:rsidRDefault="001E7CC0" w:rsidP="00E54DBA">
      <w:r>
        <w:continuationSeparator/>
      </w:r>
    </w:p>
    <w:p w14:paraId="4103CF07" w14:textId="77777777" w:rsidR="001E7CC0" w:rsidRDefault="001E7CC0"/>
    <w:p w14:paraId="4A2A1E1A" w14:textId="77777777" w:rsidR="001E7CC0" w:rsidRDefault="001E7CC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75F4" w14:textId="6EC96BDF"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A3F13">
      <w:rPr>
        <w:noProof/>
        <w:sz w:val="18"/>
      </w:rPr>
      <w:t>7</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6A3F13">
      <w:rPr>
        <w:noProof/>
        <w:sz w:val="18"/>
      </w:rPr>
      <w:t>7</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7E0038">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1E7CC0">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1E7CC0">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3352F3">
      <w:rPr>
        <w:sz w:val="18"/>
      </w:rPr>
      <w:t>https://doi.org/10.33321/cdi.2020.44.55</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3352F3">
      <w:rPr>
        <w:sz w:val="18"/>
      </w:rPr>
      <w:t>9/7/2020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7AEF" w14:textId="0C16E458"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A3F1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6A3F13">
      <w:rPr>
        <w:noProof/>
        <w:sz w:val="18"/>
      </w:rPr>
      <w:t>7</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7E0038">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1E7CC0">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1E7CC0">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3352F3">
      <w:rPr>
        <w:sz w:val="18"/>
      </w:rPr>
      <w:t>https://doi.org/10.33321/cdi.2020.44.55</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3352F3">
      <w:rPr>
        <w:sz w:val="18"/>
      </w:rPr>
      <w:t>9/7/2020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5BAB5" w14:textId="77777777" w:rsidR="001E7CC0" w:rsidRDefault="001E7CC0" w:rsidP="00E54DBA">
      <w:r>
        <w:separator/>
      </w:r>
    </w:p>
  </w:footnote>
  <w:footnote w:type="continuationSeparator" w:id="0">
    <w:p w14:paraId="399CC60B" w14:textId="77777777" w:rsidR="001E7CC0" w:rsidRDefault="001E7CC0" w:rsidP="00E54DBA">
      <w:r>
        <w:continuationSeparator/>
      </w:r>
    </w:p>
  </w:footnote>
  <w:footnote w:type="continuationNotice" w:id="1">
    <w:p w14:paraId="4B81F18D" w14:textId="77777777" w:rsidR="001E7CC0" w:rsidRPr="00224EFF" w:rsidRDefault="001E7CC0"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E3EF" w14:textId="77777777" w:rsidR="00257484" w:rsidRPr="00A153B6" w:rsidRDefault="004C6584"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E012BD">
          <w:t>Surveillance summary</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6353"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F3C756A" wp14:editId="1D7114E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D69"/>
    <w:multiLevelType w:val="hybridMultilevel"/>
    <w:tmpl w:val="FF7CCF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3E5CB2"/>
    <w:multiLevelType w:val="multilevel"/>
    <w:tmpl w:val="9F08A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F5428"/>
    <w:multiLevelType w:val="multilevel"/>
    <w:tmpl w:val="877A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3483637">
    <w:abstractNumId w:val="4"/>
  </w:num>
  <w:num w:numId="2" w16cid:durableId="168109493">
    <w:abstractNumId w:val="5"/>
  </w:num>
  <w:num w:numId="3" w16cid:durableId="1457871756">
    <w:abstractNumId w:val="6"/>
  </w:num>
  <w:num w:numId="4" w16cid:durableId="1845630243">
    <w:abstractNumId w:val="3"/>
  </w:num>
  <w:num w:numId="5" w16cid:durableId="1361784345">
    <w:abstractNumId w:val="7"/>
  </w:num>
  <w:num w:numId="6" w16cid:durableId="395858850">
    <w:abstractNumId w:val="8"/>
  </w:num>
  <w:num w:numId="7" w16cid:durableId="2049866123">
    <w:abstractNumId w:val="2"/>
  </w:num>
  <w:num w:numId="8" w16cid:durableId="1908228716">
    <w:abstractNumId w:val="1"/>
  </w:num>
  <w:num w:numId="9" w16cid:durableId="25840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CC0"/>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5494"/>
    <w:rsid w:val="00175629"/>
    <w:rsid w:val="00177D47"/>
    <w:rsid w:val="001830EC"/>
    <w:rsid w:val="00183534"/>
    <w:rsid w:val="001A4A96"/>
    <w:rsid w:val="001A5D05"/>
    <w:rsid w:val="001A796C"/>
    <w:rsid w:val="001B2614"/>
    <w:rsid w:val="001B37B8"/>
    <w:rsid w:val="001B552F"/>
    <w:rsid w:val="001C0893"/>
    <w:rsid w:val="001C1303"/>
    <w:rsid w:val="001C70B2"/>
    <w:rsid w:val="001D37C7"/>
    <w:rsid w:val="001D6888"/>
    <w:rsid w:val="001E7CC0"/>
    <w:rsid w:val="00224EFF"/>
    <w:rsid w:val="002276DC"/>
    <w:rsid w:val="00227E00"/>
    <w:rsid w:val="002307CB"/>
    <w:rsid w:val="00231046"/>
    <w:rsid w:val="00234F21"/>
    <w:rsid w:val="00242659"/>
    <w:rsid w:val="002428F7"/>
    <w:rsid w:val="0024315F"/>
    <w:rsid w:val="00252C9A"/>
    <w:rsid w:val="00253807"/>
    <w:rsid w:val="00256309"/>
    <w:rsid w:val="00257484"/>
    <w:rsid w:val="00260636"/>
    <w:rsid w:val="00274FBD"/>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413"/>
    <w:rsid w:val="00301626"/>
    <w:rsid w:val="003059EC"/>
    <w:rsid w:val="00316CCD"/>
    <w:rsid w:val="00324F7E"/>
    <w:rsid w:val="003323BC"/>
    <w:rsid w:val="003352F3"/>
    <w:rsid w:val="00346D42"/>
    <w:rsid w:val="00346E11"/>
    <w:rsid w:val="003601C0"/>
    <w:rsid w:val="003635F5"/>
    <w:rsid w:val="00372A88"/>
    <w:rsid w:val="00381A0F"/>
    <w:rsid w:val="003A183B"/>
    <w:rsid w:val="003A1B3A"/>
    <w:rsid w:val="003A40F5"/>
    <w:rsid w:val="003B5B8C"/>
    <w:rsid w:val="003D79B1"/>
    <w:rsid w:val="003E74EE"/>
    <w:rsid w:val="003F0552"/>
    <w:rsid w:val="003F3BC2"/>
    <w:rsid w:val="00401ED1"/>
    <w:rsid w:val="0040224C"/>
    <w:rsid w:val="00405F46"/>
    <w:rsid w:val="0041268A"/>
    <w:rsid w:val="00413EE1"/>
    <w:rsid w:val="004164BB"/>
    <w:rsid w:val="00421337"/>
    <w:rsid w:val="00421ECE"/>
    <w:rsid w:val="00422FEB"/>
    <w:rsid w:val="0042435E"/>
    <w:rsid w:val="004315F5"/>
    <w:rsid w:val="00433456"/>
    <w:rsid w:val="00433DFA"/>
    <w:rsid w:val="00435D67"/>
    <w:rsid w:val="00464A58"/>
    <w:rsid w:val="00470774"/>
    <w:rsid w:val="00473D2D"/>
    <w:rsid w:val="00485ADF"/>
    <w:rsid w:val="004A2125"/>
    <w:rsid w:val="004A245D"/>
    <w:rsid w:val="004A38F6"/>
    <w:rsid w:val="004B4EB6"/>
    <w:rsid w:val="004C083C"/>
    <w:rsid w:val="004C6584"/>
    <w:rsid w:val="004C67C6"/>
    <w:rsid w:val="004D29DE"/>
    <w:rsid w:val="004F10AF"/>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1D18"/>
    <w:rsid w:val="005D2465"/>
    <w:rsid w:val="005E33DD"/>
    <w:rsid w:val="005E4229"/>
    <w:rsid w:val="005E540E"/>
    <w:rsid w:val="005E55FB"/>
    <w:rsid w:val="005F16BB"/>
    <w:rsid w:val="00607115"/>
    <w:rsid w:val="00620768"/>
    <w:rsid w:val="0062594B"/>
    <w:rsid w:val="006270EE"/>
    <w:rsid w:val="00631406"/>
    <w:rsid w:val="006324FF"/>
    <w:rsid w:val="006351D6"/>
    <w:rsid w:val="00636E0D"/>
    <w:rsid w:val="0064142F"/>
    <w:rsid w:val="00643CB4"/>
    <w:rsid w:val="00656222"/>
    <w:rsid w:val="00656427"/>
    <w:rsid w:val="00660255"/>
    <w:rsid w:val="006971F3"/>
    <w:rsid w:val="006A3F13"/>
    <w:rsid w:val="006C74A3"/>
    <w:rsid w:val="006D1381"/>
    <w:rsid w:val="006D31BC"/>
    <w:rsid w:val="006E7943"/>
    <w:rsid w:val="006F0F32"/>
    <w:rsid w:val="006F24EA"/>
    <w:rsid w:val="00704CA9"/>
    <w:rsid w:val="0071048D"/>
    <w:rsid w:val="00710F86"/>
    <w:rsid w:val="007111A8"/>
    <w:rsid w:val="00731BC3"/>
    <w:rsid w:val="00741192"/>
    <w:rsid w:val="00743A33"/>
    <w:rsid w:val="00746080"/>
    <w:rsid w:val="0075144A"/>
    <w:rsid w:val="00786329"/>
    <w:rsid w:val="00792C7D"/>
    <w:rsid w:val="00794A4D"/>
    <w:rsid w:val="007A2BBC"/>
    <w:rsid w:val="007A5234"/>
    <w:rsid w:val="007B7854"/>
    <w:rsid w:val="007C56A1"/>
    <w:rsid w:val="007C6454"/>
    <w:rsid w:val="007E0038"/>
    <w:rsid w:val="007E01E0"/>
    <w:rsid w:val="007F0B93"/>
    <w:rsid w:val="007F2ECA"/>
    <w:rsid w:val="007F4BAA"/>
    <w:rsid w:val="00811708"/>
    <w:rsid w:val="00814224"/>
    <w:rsid w:val="00816B90"/>
    <w:rsid w:val="00817799"/>
    <w:rsid w:val="00822F5F"/>
    <w:rsid w:val="00824FD3"/>
    <w:rsid w:val="00826589"/>
    <w:rsid w:val="00834BCC"/>
    <w:rsid w:val="008455B2"/>
    <w:rsid w:val="00850D54"/>
    <w:rsid w:val="00860145"/>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1131"/>
    <w:rsid w:val="00935DC9"/>
    <w:rsid w:val="009446C0"/>
    <w:rsid w:val="0096082E"/>
    <w:rsid w:val="00961347"/>
    <w:rsid w:val="00967410"/>
    <w:rsid w:val="00967C17"/>
    <w:rsid w:val="00967D73"/>
    <w:rsid w:val="0098119A"/>
    <w:rsid w:val="00984AAF"/>
    <w:rsid w:val="00991B09"/>
    <w:rsid w:val="00993CB2"/>
    <w:rsid w:val="009A5166"/>
    <w:rsid w:val="009A76F8"/>
    <w:rsid w:val="009B2B83"/>
    <w:rsid w:val="009C49F8"/>
    <w:rsid w:val="009D661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6F9A"/>
    <w:rsid w:val="00AA35E6"/>
    <w:rsid w:val="00AA50B6"/>
    <w:rsid w:val="00AB3472"/>
    <w:rsid w:val="00AB4E6E"/>
    <w:rsid w:val="00AD0762"/>
    <w:rsid w:val="00AE4452"/>
    <w:rsid w:val="00AE7C38"/>
    <w:rsid w:val="00AF0A31"/>
    <w:rsid w:val="00B01F99"/>
    <w:rsid w:val="00B02B37"/>
    <w:rsid w:val="00B05276"/>
    <w:rsid w:val="00B132DB"/>
    <w:rsid w:val="00B31427"/>
    <w:rsid w:val="00B33861"/>
    <w:rsid w:val="00B40DE2"/>
    <w:rsid w:val="00B42CE8"/>
    <w:rsid w:val="00B50210"/>
    <w:rsid w:val="00B53955"/>
    <w:rsid w:val="00B6408A"/>
    <w:rsid w:val="00B71488"/>
    <w:rsid w:val="00B714B8"/>
    <w:rsid w:val="00B82C2C"/>
    <w:rsid w:val="00B8720B"/>
    <w:rsid w:val="00B876EF"/>
    <w:rsid w:val="00B951D7"/>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6068"/>
    <w:rsid w:val="00CA6321"/>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903FE"/>
    <w:rsid w:val="00DA6E56"/>
    <w:rsid w:val="00DB706D"/>
    <w:rsid w:val="00DC6705"/>
    <w:rsid w:val="00DD2DE8"/>
    <w:rsid w:val="00DE38B4"/>
    <w:rsid w:val="00DE5D02"/>
    <w:rsid w:val="00E005A9"/>
    <w:rsid w:val="00E012BD"/>
    <w:rsid w:val="00E03916"/>
    <w:rsid w:val="00E1166E"/>
    <w:rsid w:val="00E24DC0"/>
    <w:rsid w:val="00E2519C"/>
    <w:rsid w:val="00E25F2A"/>
    <w:rsid w:val="00E41455"/>
    <w:rsid w:val="00E42AD2"/>
    <w:rsid w:val="00E50856"/>
    <w:rsid w:val="00E538CC"/>
    <w:rsid w:val="00E54DBA"/>
    <w:rsid w:val="00E63D7C"/>
    <w:rsid w:val="00E640D5"/>
    <w:rsid w:val="00E66E2E"/>
    <w:rsid w:val="00E67691"/>
    <w:rsid w:val="00E92237"/>
    <w:rsid w:val="00E92416"/>
    <w:rsid w:val="00E951EF"/>
    <w:rsid w:val="00EA3D54"/>
    <w:rsid w:val="00EA56D9"/>
    <w:rsid w:val="00EA5CE3"/>
    <w:rsid w:val="00EB51C1"/>
    <w:rsid w:val="00EB5AE1"/>
    <w:rsid w:val="00EB5E0B"/>
    <w:rsid w:val="00EC1D6F"/>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0181"/>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E80FCB"/>
  <w15:docId w15:val="{550E0649-0CB7-4265-BDFC-FC0DB1ED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EC1D6F"/>
    <w:rPr>
      <w:sz w:val="16"/>
      <w:szCs w:val="16"/>
    </w:rPr>
  </w:style>
  <w:style w:type="paragraph" w:styleId="CommentText">
    <w:name w:val="annotation text"/>
    <w:basedOn w:val="Normal"/>
    <w:link w:val="CommentTextChar"/>
    <w:uiPriority w:val="99"/>
    <w:semiHidden/>
    <w:unhideWhenUsed/>
    <w:rsid w:val="00EC1D6F"/>
    <w:pPr>
      <w:spacing w:line="240" w:lineRule="auto"/>
    </w:pPr>
    <w:rPr>
      <w:sz w:val="20"/>
      <w:szCs w:val="20"/>
    </w:rPr>
  </w:style>
  <w:style w:type="character" w:customStyle="1" w:styleId="CommentTextChar">
    <w:name w:val="Comment Text Char"/>
    <w:basedOn w:val="DefaultParagraphFont"/>
    <w:link w:val="CommentText"/>
    <w:uiPriority w:val="99"/>
    <w:semiHidden/>
    <w:rsid w:val="00EC1D6F"/>
    <w:rPr>
      <w:sz w:val="20"/>
      <w:szCs w:val="20"/>
    </w:rPr>
  </w:style>
  <w:style w:type="paragraph" w:styleId="CommentSubject">
    <w:name w:val="annotation subject"/>
    <w:basedOn w:val="CommentText"/>
    <w:next w:val="CommentText"/>
    <w:link w:val="CommentSubjectChar"/>
    <w:uiPriority w:val="99"/>
    <w:semiHidden/>
    <w:unhideWhenUsed/>
    <w:rsid w:val="00EC1D6F"/>
    <w:rPr>
      <w:b/>
      <w:bCs/>
    </w:rPr>
  </w:style>
  <w:style w:type="character" w:customStyle="1" w:styleId="CommentSubjectChar">
    <w:name w:val="Comment Subject Char"/>
    <w:basedOn w:val="CommentTextChar"/>
    <w:link w:val="CommentSubject"/>
    <w:uiPriority w:val="99"/>
    <w:semiHidden/>
    <w:rsid w:val="00EC1D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5B4CA2-D532-4B7F-BCBB-0A99D895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2185</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Communicable Diseases Intelligence 2019 - Asymptomatic COVID-19 or are we missing something?</vt:lpstr>
    </vt:vector>
  </TitlesOfParts>
  <Company>Australian Government, Department of Health</Company>
  <LinksUpToDate>false</LinksUpToDate>
  <CharactersWithSpaces>15336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Asymptomatic COVID-19 or are we missing something?</dc:title>
  <dc:subject>In early 2020 Australia had its first novel coronavirus cases, the Hunter New England Local Health District recorded 278 cases from March-April. A review was conducted of the asymptomatic COVID-19 cases. This report presents the findings of the audit of these cases and the demographics of the asymptomatic cases.</dc:subject>
  <dc:creator>Jazmin K Daniells;Helen L MacCallum;David N Durrheim</dc:creator>
  <dc:description>© Commonwealth of Australia CC BY-NC-ND ISSN: 2209-6051 (Online)</dc:description>
  <cp:lastPrinted>2018-05-10T02:19:00Z</cp:lastPrinted>
  <dcterms:created xsi:type="dcterms:W3CDTF">2024-08-29T01:51:00Z</dcterms:created>
  <dcterms:modified xsi:type="dcterms:W3CDTF">2024-08-29T01:51:00Z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9/7/2020</vt:lpwstr>
  </property>
  <property fmtid="{D5CDD505-2E9C-101B-9397-08002B2CF9AE}" pid="5" name="DOI">
    <vt:lpwstr>https://doi.org/10.33321/cdi.2020.44.55</vt:lpwstr>
  </property>
</Properties>
</file>