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4C88" w14:textId="77777777" w:rsidR="00D623BA" w:rsidRDefault="00D623BA" w:rsidP="00D07A2F">
      <w:pPr>
        <w:pStyle w:val="Title"/>
        <w:rPr>
          <w:rFonts w:eastAsia="Times New Roman"/>
          <w:sz w:val="48"/>
          <w:szCs w:val="48"/>
        </w:rPr>
      </w:pPr>
      <w:r>
        <w:rPr>
          <w:rFonts w:eastAsia="Times New Roman"/>
        </w:rPr>
        <w:t xml:space="preserve">An outbreak of serotype-1 </w:t>
      </w:r>
      <w:proofErr w:type="gramStart"/>
      <w:r>
        <w:rPr>
          <w:rFonts w:eastAsia="Times New Roman"/>
        </w:rPr>
        <w:t>sequence</w:t>
      </w:r>
      <w:proofErr w:type="gramEnd"/>
      <w:r>
        <w:rPr>
          <w:rFonts w:eastAsia="Times New Roman"/>
        </w:rPr>
        <w:t xml:space="preserve"> type 306 invasive pneumococcal disease in an Australian Indigenous population </w:t>
      </w:r>
    </w:p>
    <w:p w14:paraId="1AE7E722" w14:textId="77777777" w:rsidR="00D623BA" w:rsidRDefault="00D623BA" w:rsidP="00D07A2F">
      <w:r>
        <w:t xml:space="preserve">Heather M Cook, Carolien M Giele, Sanjay H Jayasinghe, Angela Wakefield, Vicki L Krause for the Enhanced Invasive Pneumococcal Disease Surveillance Working Group </w:t>
      </w:r>
    </w:p>
    <w:p w14:paraId="4D9AC224" w14:textId="77777777" w:rsidR="00D623BA" w:rsidRPr="00D07A2F" w:rsidRDefault="00D623BA" w:rsidP="00D07A2F">
      <w:pPr>
        <w:pStyle w:val="Heading1"/>
      </w:pPr>
      <w:r w:rsidRPr="00D07A2F">
        <w:t xml:space="preserve">Abstract </w:t>
      </w:r>
    </w:p>
    <w:p w14:paraId="4516C129" w14:textId="77777777" w:rsidR="00D623BA" w:rsidRDefault="00D623BA" w:rsidP="00D07A2F">
      <w:r>
        <w:t xml:space="preserve">Between 2010 and 2013, an outbreak of serotype-1 </w:t>
      </w:r>
      <w:proofErr w:type="gramStart"/>
      <w:r>
        <w:t>sequence</w:t>
      </w:r>
      <w:proofErr w:type="gramEnd"/>
      <w:r>
        <w:t xml:space="preserve"> type 306 (ST306) invasive pneumococcal disease (IPD) occurred primarily in remote locations of Northern and Central Australia. This is a descriptive study of the epidemiology of the outbreak using nationwide IPD surveillance data, supplemented with more detailed data held by affected jurisdictions, and of the response to the outbreak, including vaccination strategies. In the year the outbreak peaked (2011), serotype-1 IPD incidence was over 30-fold higher in the affected regions than in the rest of Australia (incidence rate ratio: 30.7 [95% CI 20.1–48.9]). The study includes 245 cases of serotype-1 IPD from the outbreak regions, with 75.5% identified as Indigenous. </w:t>
      </w:r>
    </w:p>
    <w:p w14:paraId="14FD12D2" w14:textId="77777777" w:rsidR="00D623BA" w:rsidRDefault="00D623BA" w:rsidP="00D07A2F">
      <w:r>
        <w:t xml:space="preserve">No reported cases of serotype-1 IPD occurred in young children who had completed either a 10- or 13-valent pneumococcal conjugate vaccine schedule. </w:t>
      </w:r>
      <w:proofErr w:type="gramStart"/>
      <w:r>
        <w:t>However</w:t>
      </w:r>
      <w:proofErr w:type="gramEnd"/>
      <w:r>
        <w:t xml:space="preserve"> serotype-1 IPD did occur in older children who had previously received 23-valent pneumococcal polysaccharide vaccine. </w:t>
      </w:r>
    </w:p>
    <w:p w14:paraId="4BC7BC5C" w14:textId="77777777" w:rsidR="00D623BA" w:rsidRDefault="00D623BA" w:rsidP="00D07A2F">
      <w:r>
        <w:t xml:space="preserve">Development of public-health-focused national IPD management guidelines, including suitable vaccine strategies for consistent use nationwide, could potentially decrease the duration and intensity of similar outbreaks in the future. </w:t>
      </w:r>
    </w:p>
    <w:p w14:paraId="4891E67E" w14:textId="77777777" w:rsidR="00D623BA" w:rsidRDefault="00D623BA" w:rsidP="00D07A2F">
      <w:r>
        <w:t>Keywords: outbreak, serotype-1, invasive pneumococcal disease, Australian Indigenous, pneumococcal vaccine,</w:t>
      </w:r>
      <w:r w:rsidRPr="003B3354">
        <w:rPr>
          <w:rStyle w:val="Emphasis"/>
          <w:b w:val="0"/>
        </w:rPr>
        <w:t xml:space="preserve"> Streptococcus pneumoniae </w:t>
      </w:r>
    </w:p>
    <w:p w14:paraId="20445E25" w14:textId="77777777" w:rsidR="00D623BA" w:rsidRPr="004024D2" w:rsidRDefault="00D623BA" w:rsidP="004024D2">
      <w:pPr>
        <w:pStyle w:val="Heading1"/>
      </w:pPr>
      <w:r w:rsidRPr="004024D2">
        <w:t xml:space="preserve">Introduction </w:t>
      </w:r>
    </w:p>
    <w:p w14:paraId="79DC7A45" w14:textId="77777777" w:rsidR="00D623BA" w:rsidRDefault="00D623BA" w:rsidP="004024D2">
      <w:r>
        <w:t xml:space="preserve">The epidemiology of invasive pneumococcal disease (IPD) in Australia has been monitored nationally since 2001 through the National Notifiable Diseases Surveillance System (NNDSS), with the data collection and analysis overseen by the Enhanced Invasive Pneumococcal Disease Surveillance Working Group (EIPDSWG). Quarterly and annual reports on IPD epidemiology are published in </w:t>
      </w:r>
      <w:r w:rsidRPr="003B3354">
        <w:rPr>
          <w:rStyle w:val="Emphasis"/>
          <w:b w:val="0"/>
        </w:rPr>
        <w:t>Communicable Diseases Intelligence</w:t>
      </w:r>
      <w:r>
        <w:t xml:space="preserve"> and a subset of IPD notification data is publicly available online.</w:t>
      </w:r>
      <w:r>
        <w:rPr>
          <w:vertAlign w:val="superscript"/>
        </w:rPr>
        <w:t xml:space="preserve">1 </w:t>
      </w:r>
    </w:p>
    <w:p w14:paraId="1A4B9830" w14:textId="77777777" w:rsidR="00D623BA" w:rsidRDefault="00D623BA" w:rsidP="004024D2">
      <w:r>
        <w:t>Pneumococcal polysaccharide vaccines (PPVs) have been available for use in Australia since the early 1980s but were under-utilised in the early years.</w:t>
      </w:r>
      <w:r>
        <w:rPr>
          <w:vertAlign w:val="superscript"/>
        </w:rPr>
        <w:t>2</w:t>
      </w:r>
      <w:r>
        <w:t xml:space="preserve"> Formal national recommendations for 23-valent PPV (23vPPV) use commenced in 1986 followed by funded vaccination programs introduced at national and jurisdictional levels.</w:t>
      </w:r>
      <w:r>
        <w:rPr>
          <w:vertAlign w:val="superscript"/>
        </w:rPr>
        <w:t>3</w:t>
      </w:r>
      <w:r>
        <w:t xml:space="preserve"> In May 2000, the Northern Territory (NT) included Central Australian Indigenous children aged 2 to 5 years in the group recommended to be vaccinated,</w:t>
      </w:r>
      <w:r>
        <w:rPr>
          <w:vertAlign w:val="superscript"/>
        </w:rPr>
        <w:t>2</w:t>
      </w:r>
      <w:r>
        <w:t xml:space="preserve"> who, at the time, had the highest recorded rates of IPD in the world.</w:t>
      </w:r>
      <w:r>
        <w:rPr>
          <w:vertAlign w:val="superscript"/>
        </w:rPr>
        <w:t xml:space="preserve">4 </w:t>
      </w:r>
    </w:p>
    <w:p w14:paraId="611A2B4C" w14:textId="77777777" w:rsidR="00D623BA" w:rsidRDefault="00D623BA" w:rsidP="004024D2">
      <w:r>
        <w:t>The introduction of the 7-valent pneumococcal conjugate vaccine (7vPCV) in 2001 for all Australian Indigenous infants, with a booster dose of 23-valent PPV (23vPPV) for high-risk Indigenous infants and non-Indigenous infants in Central Australia, led to a significant reduction in 7vPCV serotype IPD rates.</w:t>
      </w:r>
      <w:r>
        <w:rPr>
          <w:vertAlign w:val="superscript"/>
        </w:rPr>
        <w:t>5</w:t>
      </w:r>
      <w:r>
        <w:t xml:space="preserve"> As 7vPCV serotypes accounted for only 61.8% of IPD in this group it was anticipated the inclusion of 23vPPV would provide protection against additional serotypes while also boosting immunity to the 7 serotypes in 7vPCV. Although it is possible the 23vPPV booster </w:t>
      </w:r>
      <w:r>
        <w:lastRenderedPageBreak/>
        <w:t>provided protection against some 23v-non7vPCV serotypes, no impact was clearly evident for serotype-1 disease for the years prior to 2011, with a consistent rate for IPD due to serotype-1 of about 10 cases per 100,000 population seen among Indigenous children aged less than 5 years.</w:t>
      </w:r>
      <w:r>
        <w:rPr>
          <w:vertAlign w:val="superscript"/>
        </w:rPr>
        <w:t>6</w:t>
      </w:r>
      <w:r>
        <w:t xml:space="preserve"> </w:t>
      </w:r>
    </w:p>
    <w:p w14:paraId="43FBF5D9" w14:textId="77777777" w:rsidR="00D623BA" w:rsidRDefault="00D623BA" w:rsidP="004024D2">
      <w:r>
        <w:t>Serotype-1 is recognised as an outbreak type with high invasive potential.</w:t>
      </w:r>
      <w:r>
        <w:rPr>
          <w:vertAlign w:val="superscript"/>
        </w:rPr>
        <w:t>7–9</w:t>
      </w:r>
      <w:r>
        <w:t xml:space="preserve"> This means its prevalence in asymptomatic nasopharyngeal carriage is comparatively low. Due to its high antibiotic sensitivity, outbreaks of serotype-1 have now become rare. For both 10-valent pneumococcal conjugate vaccine (10vPCV) and 13-valent pneumococcal conjugate vaccine (13vPCV), pre-licensure trials showed high immune responses against serotype-1 among children. This translated into significant protection against serotype-1 IPD in multiple settings.</w:t>
      </w:r>
      <w:r>
        <w:rPr>
          <w:vertAlign w:val="superscript"/>
        </w:rPr>
        <w:t>10–13</w:t>
      </w:r>
      <w:r>
        <w:t xml:space="preserve"> Table 1 outlines the serotypes covered by each of the pneumococcal vaccines that have been used in Australia.</w:t>
      </w:r>
    </w:p>
    <w:p w14:paraId="34136D9C" w14:textId="77777777" w:rsidR="00D623BA" w:rsidRDefault="00D623BA" w:rsidP="004024D2">
      <w:pPr>
        <w:pStyle w:val="CDIFigures"/>
      </w:pPr>
      <w:r>
        <w:t xml:space="preserve">Table 1: Streptococcus pneumoniae serotypes targeted by pneumococcal </w:t>
      </w:r>
      <w:proofErr w:type="gramStart"/>
      <w:r>
        <w:t>vaccines</w:t>
      </w:r>
      <w:proofErr w:type="gramEnd"/>
      <w:r>
        <w:t xml:space="preserve">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Streptococcus pneumoniae serotypes that are found in each of the pneumococcal vaccines in use in Australia at the time of the outbreak. "/>
      </w:tblPr>
      <w:tblGrid>
        <w:gridCol w:w="858"/>
        <w:gridCol w:w="2300"/>
        <w:gridCol w:w="2377"/>
        <w:gridCol w:w="2377"/>
        <w:gridCol w:w="2554"/>
      </w:tblGrid>
      <w:tr w:rsidR="00D623BA" w:rsidRPr="00803BF3" w14:paraId="30E2BCC6" w14:textId="77777777" w:rsidTr="00E448DD">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6860C319" w14:textId="77777777" w:rsidR="00D623BA" w:rsidRPr="00803BF3" w:rsidRDefault="00D623BA">
            <w:pPr>
              <w:pStyle w:val="NormalWeb"/>
              <w:rPr>
                <w:color w:val="FFFFFF" w:themeColor="background1"/>
                <w:sz w:val="18"/>
                <w:szCs w:val="18"/>
              </w:rPr>
            </w:pPr>
            <w:r w:rsidRPr="00803BF3">
              <w:rPr>
                <w:color w:val="FFFFFF" w:themeColor="background1"/>
                <w:sz w:val="18"/>
                <w:szCs w:val="18"/>
              </w:rPr>
              <w:t>Serotypes</w:t>
            </w:r>
          </w:p>
        </w:tc>
        <w:tc>
          <w:tcPr>
            <w:tcW w:w="0" w:type="auto"/>
            <w:tcBorders>
              <w:left w:val="single" w:sz="2" w:space="0" w:color="FFFFFF" w:themeColor="background1"/>
              <w:right w:val="single" w:sz="2" w:space="0" w:color="FFFFFF" w:themeColor="background1"/>
            </w:tcBorders>
            <w:hideMark/>
          </w:tcPr>
          <w:p w14:paraId="63299695" w14:textId="77777777" w:rsidR="00D623BA" w:rsidRPr="00803BF3" w:rsidRDefault="00D623BA" w:rsidP="00FF6D41">
            <w:pPr>
              <w:pStyle w:val="NormalWeb"/>
              <w:jc w:val="center"/>
              <w:rPr>
                <w:color w:val="FFFFFF" w:themeColor="background1"/>
                <w:sz w:val="18"/>
                <w:szCs w:val="18"/>
              </w:rPr>
            </w:pPr>
            <w:r w:rsidRPr="00803BF3">
              <w:rPr>
                <w:color w:val="FFFFFF" w:themeColor="background1"/>
                <w:sz w:val="18"/>
                <w:szCs w:val="18"/>
              </w:rPr>
              <w:t>7-valent pneumococcal conjugate vaccine (7vPCV)</w:t>
            </w:r>
          </w:p>
        </w:tc>
        <w:tc>
          <w:tcPr>
            <w:tcW w:w="0" w:type="auto"/>
            <w:tcBorders>
              <w:left w:val="single" w:sz="2" w:space="0" w:color="FFFFFF" w:themeColor="background1"/>
              <w:right w:val="single" w:sz="2" w:space="0" w:color="FFFFFF" w:themeColor="background1"/>
            </w:tcBorders>
            <w:hideMark/>
          </w:tcPr>
          <w:p w14:paraId="4D82BFAC" w14:textId="77777777" w:rsidR="00D623BA" w:rsidRPr="00803BF3" w:rsidRDefault="00D623BA" w:rsidP="00FF6D41">
            <w:pPr>
              <w:pStyle w:val="NormalWeb"/>
              <w:jc w:val="center"/>
              <w:rPr>
                <w:color w:val="FFFFFF" w:themeColor="background1"/>
                <w:sz w:val="18"/>
                <w:szCs w:val="18"/>
              </w:rPr>
            </w:pPr>
            <w:r w:rsidRPr="00803BF3">
              <w:rPr>
                <w:color w:val="FFFFFF" w:themeColor="background1"/>
                <w:sz w:val="18"/>
                <w:szCs w:val="18"/>
              </w:rPr>
              <w:t>10-valent pneumococcal conjugate vaccine (10vPCV)</w:t>
            </w:r>
          </w:p>
        </w:tc>
        <w:tc>
          <w:tcPr>
            <w:tcW w:w="0" w:type="auto"/>
            <w:tcBorders>
              <w:left w:val="single" w:sz="2" w:space="0" w:color="FFFFFF" w:themeColor="background1"/>
              <w:right w:val="single" w:sz="2" w:space="0" w:color="FFFFFF" w:themeColor="background1"/>
            </w:tcBorders>
            <w:hideMark/>
          </w:tcPr>
          <w:p w14:paraId="2C0018C1" w14:textId="77777777" w:rsidR="00D623BA" w:rsidRPr="00803BF3" w:rsidRDefault="00D623BA" w:rsidP="00FF6D41">
            <w:pPr>
              <w:pStyle w:val="NormalWeb"/>
              <w:jc w:val="center"/>
              <w:rPr>
                <w:color w:val="FFFFFF" w:themeColor="background1"/>
                <w:sz w:val="18"/>
                <w:szCs w:val="18"/>
              </w:rPr>
            </w:pPr>
            <w:r w:rsidRPr="00803BF3">
              <w:rPr>
                <w:color w:val="FFFFFF" w:themeColor="background1"/>
                <w:sz w:val="18"/>
                <w:szCs w:val="18"/>
              </w:rPr>
              <w:t>13-valent pneumococcal conjugate vaccine (13vPCV)</w:t>
            </w:r>
          </w:p>
        </w:tc>
        <w:tc>
          <w:tcPr>
            <w:tcW w:w="0" w:type="auto"/>
            <w:tcBorders>
              <w:left w:val="single" w:sz="2" w:space="0" w:color="FFFFFF" w:themeColor="background1"/>
            </w:tcBorders>
            <w:hideMark/>
          </w:tcPr>
          <w:p w14:paraId="1AC273D7" w14:textId="77777777" w:rsidR="00D623BA" w:rsidRPr="00803BF3" w:rsidRDefault="00D623BA" w:rsidP="00FF6D41">
            <w:pPr>
              <w:pStyle w:val="NormalWeb"/>
              <w:jc w:val="center"/>
              <w:rPr>
                <w:color w:val="FFFFFF" w:themeColor="background1"/>
                <w:sz w:val="18"/>
                <w:szCs w:val="18"/>
              </w:rPr>
            </w:pPr>
            <w:r w:rsidRPr="00803BF3">
              <w:rPr>
                <w:color w:val="FFFFFF" w:themeColor="background1"/>
                <w:sz w:val="18"/>
                <w:szCs w:val="18"/>
              </w:rPr>
              <w:t>23-valent pneumococcal polysaccharide vaccine (23vPPV)</w:t>
            </w:r>
          </w:p>
        </w:tc>
      </w:tr>
      <w:tr w:rsidR="00D623BA" w:rsidRPr="00803BF3" w14:paraId="097E9DCE" w14:textId="77777777" w:rsidTr="008C3EF5">
        <w:tc>
          <w:tcPr>
            <w:tcW w:w="0" w:type="auto"/>
            <w:hideMark/>
          </w:tcPr>
          <w:p w14:paraId="0570BE37" w14:textId="77777777" w:rsidR="00D623BA" w:rsidRPr="00803BF3" w:rsidRDefault="00D623BA">
            <w:pPr>
              <w:pStyle w:val="NormalWeb"/>
              <w:rPr>
                <w:sz w:val="18"/>
                <w:szCs w:val="18"/>
              </w:rPr>
            </w:pPr>
            <w:r w:rsidRPr="00803BF3">
              <w:rPr>
                <w:sz w:val="18"/>
                <w:szCs w:val="18"/>
              </w:rPr>
              <w:t>1</w:t>
            </w:r>
          </w:p>
        </w:tc>
        <w:tc>
          <w:tcPr>
            <w:tcW w:w="0" w:type="auto"/>
            <w:hideMark/>
          </w:tcPr>
          <w:p w14:paraId="513E05FE" w14:textId="77777777" w:rsidR="00D623BA" w:rsidRPr="00803BF3" w:rsidRDefault="00D623BA" w:rsidP="00FF6D41">
            <w:pPr>
              <w:jc w:val="center"/>
              <w:rPr>
                <w:sz w:val="18"/>
                <w:szCs w:val="18"/>
              </w:rPr>
            </w:pPr>
          </w:p>
        </w:tc>
        <w:tc>
          <w:tcPr>
            <w:tcW w:w="0" w:type="auto"/>
            <w:hideMark/>
          </w:tcPr>
          <w:p w14:paraId="5378BC16"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59D47786"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46FA4039"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46562BF6"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5978AC2B" w14:textId="77777777" w:rsidR="00D623BA" w:rsidRPr="00803BF3" w:rsidRDefault="00D623BA">
            <w:pPr>
              <w:pStyle w:val="NormalWeb"/>
              <w:rPr>
                <w:sz w:val="18"/>
                <w:szCs w:val="18"/>
              </w:rPr>
            </w:pPr>
            <w:r w:rsidRPr="00803BF3">
              <w:rPr>
                <w:sz w:val="18"/>
                <w:szCs w:val="18"/>
              </w:rPr>
              <w:t>2</w:t>
            </w:r>
          </w:p>
        </w:tc>
        <w:tc>
          <w:tcPr>
            <w:tcW w:w="0" w:type="auto"/>
            <w:hideMark/>
          </w:tcPr>
          <w:p w14:paraId="0571E0A4" w14:textId="77777777" w:rsidR="00D623BA" w:rsidRPr="00803BF3" w:rsidRDefault="00D623BA" w:rsidP="00FF6D41">
            <w:pPr>
              <w:jc w:val="center"/>
              <w:rPr>
                <w:sz w:val="18"/>
                <w:szCs w:val="18"/>
              </w:rPr>
            </w:pPr>
          </w:p>
        </w:tc>
        <w:tc>
          <w:tcPr>
            <w:tcW w:w="0" w:type="auto"/>
            <w:hideMark/>
          </w:tcPr>
          <w:p w14:paraId="7CC3A015" w14:textId="77777777" w:rsidR="00D623BA" w:rsidRPr="00803BF3" w:rsidRDefault="00D623BA" w:rsidP="00FF6D41">
            <w:pPr>
              <w:jc w:val="center"/>
              <w:rPr>
                <w:rFonts w:eastAsia="Times New Roman"/>
                <w:sz w:val="18"/>
                <w:szCs w:val="18"/>
              </w:rPr>
            </w:pPr>
          </w:p>
        </w:tc>
        <w:tc>
          <w:tcPr>
            <w:tcW w:w="0" w:type="auto"/>
            <w:hideMark/>
          </w:tcPr>
          <w:p w14:paraId="77E141C8" w14:textId="77777777" w:rsidR="00D623BA" w:rsidRPr="00803BF3" w:rsidRDefault="00D623BA" w:rsidP="00FF6D41">
            <w:pPr>
              <w:jc w:val="center"/>
              <w:rPr>
                <w:rFonts w:eastAsia="Times New Roman"/>
                <w:sz w:val="18"/>
                <w:szCs w:val="18"/>
              </w:rPr>
            </w:pPr>
          </w:p>
        </w:tc>
        <w:tc>
          <w:tcPr>
            <w:tcW w:w="0" w:type="auto"/>
            <w:hideMark/>
          </w:tcPr>
          <w:p w14:paraId="17A5951D"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1D88AB95" w14:textId="77777777" w:rsidTr="008C3EF5">
        <w:tc>
          <w:tcPr>
            <w:tcW w:w="0" w:type="auto"/>
            <w:hideMark/>
          </w:tcPr>
          <w:p w14:paraId="72E15F92" w14:textId="77777777" w:rsidR="00D623BA" w:rsidRPr="00803BF3" w:rsidRDefault="00D623BA">
            <w:pPr>
              <w:pStyle w:val="NormalWeb"/>
              <w:rPr>
                <w:sz w:val="18"/>
                <w:szCs w:val="18"/>
              </w:rPr>
            </w:pPr>
            <w:r w:rsidRPr="00803BF3">
              <w:rPr>
                <w:sz w:val="18"/>
                <w:szCs w:val="18"/>
              </w:rPr>
              <w:t>3</w:t>
            </w:r>
          </w:p>
        </w:tc>
        <w:tc>
          <w:tcPr>
            <w:tcW w:w="0" w:type="auto"/>
            <w:hideMark/>
          </w:tcPr>
          <w:p w14:paraId="4B1C50C2" w14:textId="77777777" w:rsidR="00D623BA" w:rsidRPr="00803BF3" w:rsidRDefault="00D623BA" w:rsidP="00FF6D41">
            <w:pPr>
              <w:jc w:val="center"/>
              <w:rPr>
                <w:sz w:val="18"/>
                <w:szCs w:val="18"/>
              </w:rPr>
            </w:pPr>
          </w:p>
        </w:tc>
        <w:tc>
          <w:tcPr>
            <w:tcW w:w="0" w:type="auto"/>
            <w:hideMark/>
          </w:tcPr>
          <w:p w14:paraId="185311E6" w14:textId="77777777" w:rsidR="00D623BA" w:rsidRPr="00803BF3" w:rsidRDefault="00D623BA" w:rsidP="00FF6D41">
            <w:pPr>
              <w:jc w:val="center"/>
              <w:rPr>
                <w:rFonts w:eastAsia="Times New Roman"/>
                <w:sz w:val="18"/>
                <w:szCs w:val="18"/>
              </w:rPr>
            </w:pPr>
          </w:p>
        </w:tc>
        <w:tc>
          <w:tcPr>
            <w:tcW w:w="0" w:type="auto"/>
            <w:hideMark/>
          </w:tcPr>
          <w:p w14:paraId="45E25BD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17EA95FC"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48F4A925"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1F2B2E1A" w14:textId="77777777" w:rsidR="00D623BA" w:rsidRPr="00803BF3" w:rsidRDefault="00D623BA">
            <w:pPr>
              <w:pStyle w:val="NormalWeb"/>
              <w:rPr>
                <w:sz w:val="18"/>
                <w:szCs w:val="18"/>
              </w:rPr>
            </w:pPr>
            <w:r w:rsidRPr="00803BF3">
              <w:rPr>
                <w:sz w:val="18"/>
                <w:szCs w:val="18"/>
              </w:rPr>
              <w:t>4</w:t>
            </w:r>
          </w:p>
        </w:tc>
        <w:tc>
          <w:tcPr>
            <w:tcW w:w="0" w:type="auto"/>
            <w:hideMark/>
          </w:tcPr>
          <w:p w14:paraId="56944D0C" w14:textId="77777777" w:rsidR="00D623BA" w:rsidRPr="00803BF3" w:rsidRDefault="00583E9C" w:rsidP="000237BB">
            <w:pPr>
              <w:pStyle w:val="NormalWeb"/>
              <w:jc w:val="center"/>
              <w:rPr>
                <w:sz w:val="18"/>
                <w:szCs w:val="18"/>
              </w:rPr>
            </w:pPr>
            <w:r w:rsidRPr="00583E9C">
              <w:rPr>
                <w:rFonts w:ascii="Wingdings" w:hAnsi="Wingdings"/>
                <w:sz w:val="18"/>
                <w:szCs w:val="18"/>
              </w:rPr>
              <w:t></w:t>
            </w:r>
          </w:p>
        </w:tc>
        <w:tc>
          <w:tcPr>
            <w:tcW w:w="0" w:type="auto"/>
            <w:hideMark/>
          </w:tcPr>
          <w:p w14:paraId="125CA8A4"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07BE68E8"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2ECB5124"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627DFC7A" w14:textId="77777777" w:rsidTr="008C3EF5">
        <w:tc>
          <w:tcPr>
            <w:tcW w:w="0" w:type="auto"/>
            <w:hideMark/>
          </w:tcPr>
          <w:p w14:paraId="6D09CCD3" w14:textId="77777777" w:rsidR="00D623BA" w:rsidRPr="00803BF3" w:rsidRDefault="00D623BA">
            <w:pPr>
              <w:pStyle w:val="NormalWeb"/>
              <w:rPr>
                <w:sz w:val="18"/>
                <w:szCs w:val="18"/>
              </w:rPr>
            </w:pPr>
            <w:r w:rsidRPr="00803BF3">
              <w:rPr>
                <w:sz w:val="18"/>
                <w:szCs w:val="18"/>
              </w:rPr>
              <w:t>5</w:t>
            </w:r>
          </w:p>
        </w:tc>
        <w:tc>
          <w:tcPr>
            <w:tcW w:w="0" w:type="auto"/>
            <w:hideMark/>
          </w:tcPr>
          <w:p w14:paraId="2C03B96F" w14:textId="77777777" w:rsidR="00D623BA" w:rsidRPr="00803BF3" w:rsidRDefault="00D623BA" w:rsidP="00FF6D41">
            <w:pPr>
              <w:jc w:val="center"/>
              <w:rPr>
                <w:sz w:val="18"/>
                <w:szCs w:val="18"/>
              </w:rPr>
            </w:pPr>
          </w:p>
        </w:tc>
        <w:tc>
          <w:tcPr>
            <w:tcW w:w="0" w:type="auto"/>
            <w:hideMark/>
          </w:tcPr>
          <w:p w14:paraId="25ED97B1"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26E115E7"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24120607"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79079E6E"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164BCE88" w14:textId="77777777" w:rsidR="00D623BA" w:rsidRPr="00803BF3" w:rsidRDefault="00D623BA">
            <w:pPr>
              <w:pStyle w:val="NormalWeb"/>
              <w:rPr>
                <w:sz w:val="18"/>
                <w:szCs w:val="18"/>
              </w:rPr>
            </w:pPr>
            <w:r w:rsidRPr="00803BF3">
              <w:rPr>
                <w:sz w:val="18"/>
                <w:szCs w:val="18"/>
              </w:rPr>
              <w:t>6A</w:t>
            </w:r>
          </w:p>
        </w:tc>
        <w:tc>
          <w:tcPr>
            <w:tcW w:w="0" w:type="auto"/>
            <w:hideMark/>
          </w:tcPr>
          <w:p w14:paraId="753EF4B2" w14:textId="77777777" w:rsidR="00D623BA" w:rsidRPr="00803BF3" w:rsidRDefault="00D623BA" w:rsidP="00FF6D41">
            <w:pPr>
              <w:jc w:val="center"/>
              <w:rPr>
                <w:sz w:val="18"/>
                <w:szCs w:val="18"/>
              </w:rPr>
            </w:pPr>
          </w:p>
        </w:tc>
        <w:tc>
          <w:tcPr>
            <w:tcW w:w="0" w:type="auto"/>
            <w:hideMark/>
          </w:tcPr>
          <w:p w14:paraId="0B3E40D6" w14:textId="77777777" w:rsidR="00D623BA" w:rsidRPr="00803BF3" w:rsidRDefault="00D623BA" w:rsidP="00FF6D41">
            <w:pPr>
              <w:jc w:val="center"/>
              <w:rPr>
                <w:rFonts w:eastAsia="Times New Roman"/>
                <w:sz w:val="18"/>
                <w:szCs w:val="18"/>
              </w:rPr>
            </w:pPr>
          </w:p>
        </w:tc>
        <w:tc>
          <w:tcPr>
            <w:tcW w:w="0" w:type="auto"/>
            <w:hideMark/>
          </w:tcPr>
          <w:p w14:paraId="6E4A0212"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283E4C73" w14:textId="77777777" w:rsidR="00D623BA" w:rsidRPr="00803BF3" w:rsidRDefault="00D623BA" w:rsidP="00FF6D41">
            <w:pPr>
              <w:jc w:val="center"/>
              <w:rPr>
                <w:sz w:val="18"/>
                <w:szCs w:val="18"/>
              </w:rPr>
            </w:pPr>
          </w:p>
        </w:tc>
      </w:tr>
      <w:tr w:rsidR="00D623BA" w:rsidRPr="00803BF3" w14:paraId="657B47DF" w14:textId="77777777" w:rsidTr="008C3EF5">
        <w:tc>
          <w:tcPr>
            <w:tcW w:w="0" w:type="auto"/>
            <w:hideMark/>
          </w:tcPr>
          <w:p w14:paraId="3455ED2E" w14:textId="77777777" w:rsidR="00D623BA" w:rsidRPr="00803BF3" w:rsidRDefault="00D623BA">
            <w:pPr>
              <w:pStyle w:val="NormalWeb"/>
              <w:rPr>
                <w:sz w:val="18"/>
                <w:szCs w:val="18"/>
              </w:rPr>
            </w:pPr>
            <w:r w:rsidRPr="00803BF3">
              <w:rPr>
                <w:sz w:val="18"/>
                <w:szCs w:val="18"/>
              </w:rPr>
              <w:t>6B</w:t>
            </w:r>
          </w:p>
        </w:tc>
        <w:tc>
          <w:tcPr>
            <w:tcW w:w="0" w:type="auto"/>
            <w:hideMark/>
          </w:tcPr>
          <w:p w14:paraId="5F78C411"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3706AF85"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16885803"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07A524A3"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30602513"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45811ADD" w14:textId="77777777" w:rsidR="00D623BA" w:rsidRPr="00803BF3" w:rsidRDefault="00D623BA">
            <w:pPr>
              <w:pStyle w:val="NormalWeb"/>
              <w:rPr>
                <w:sz w:val="18"/>
                <w:szCs w:val="18"/>
              </w:rPr>
            </w:pPr>
            <w:r w:rsidRPr="00803BF3">
              <w:rPr>
                <w:sz w:val="18"/>
                <w:szCs w:val="18"/>
              </w:rPr>
              <w:t>7F</w:t>
            </w:r>
          </w:p>
        </w:tc>
        <w:tc>
          <w:tcPr>
            <w:tcW w:w="0" w:type="auto"/>
            <w:hideMark/>
          </w:tcPr>
          <w:p w14:paraId="04F07CDC" w14:textId="77777777" w:rsidR="00D623BA" w:rsidRPr="00803BF3" w:rsidRDefault="00D623BA" w:rsidP="00FF6D41">
            <w:pPr>
              <w:jc w:val="center"/>
              <w:rPr>
                <w:sz w:val="18"/>
                <w:szCs w:val="18"/>
              </w:rPr>
            </w:pPr>
          </w:p>
        </w:tc>
        <w:tc>
          <w:tcPr>
            <w:tcW w:w="0" w:type="auto"/>
            <w:hideMark/>
          </w:tcPr>
          <w:p w14:paraId="18F2BEF8"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3394E8A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72AEA0E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0B86607B" w14:textId="77777777" w:rsidTr="008C3EF5">
        <w:tc>
          <w:tcPr>
            <w:tcW w:w="0" w:type="auto"/>
            <w:hideMark/>
          </w:tcPr>
          <w:p w14:paraId="737B0B50" w14:textId="77777777" w:rsidR="00D623BA" w:rsidRPr="00803BF3" w:rsidRDefault="00D623BA">
            <w:pPr>
              <w:pStyle w:val="NormalWeb"/>
              <w:rPr>
                <w:sz w:val="18"/>
                <w:szCs w:val="18"/>
              </w:rPr>
            </w:pPr>
            <w:r w:rsidRPr="00803BF3">
              <w:rPr>
                <w:sz w:val="18"/>
                <w:szCs w:val="18"/>
              </w:rPr>
              <w:t>8</w:t>
            </w:r>
          </w:p>
        </w:tc>
        <w:tc>
          <w:tcPr>
            <w:tcW w:w="0" w:type="auto"/>
            <w:hideMark/>
          </w:tcPr>
          <w:p w14:paraId="526DEBDB" w14:textId="77777777" w:rsidR="00D623BA" w:rsidRPr="00803BF3" w:rsidRDefault="00D623BA" w:rsidP="00FF6D41">
            <w:pPr>
              <w:jc w:val="center"/>
              <w:rPr>
                <w:sz w:val="18"/>
                <w:szCs w:val="18"/>
              </w:rPr>
            </w:pPr>
          </w:p>
        </w:tc>
        <w:tc>
          <w:tcPr>
            <w:tcW w:w="0" w:type="auto"/>
            <w:hideMark/>
          </w:tcPr>
          <w:p w14:paraId="5DFE0AB2" w14:textId="77777777" w:rsidR="00D623BA" w:rsidRPr="00803BF3" w:rsidRDefault="00D623BA" w:rsidP="00FF6D41">
            <w:pPr>
              <w:jc w:val="center"/>
              <w:rPr>
                <w:rFonts w:eastAsia="Times New Roman"/>
                <w:sz w:val="18"/>
                <w:szCs w:val="18"/>
              </w:rPr>
            </w:pPr>
          </w:p>
        </w:tc>
        <w:tc>
          <w:tcPr>
            <w:tcW w:w="0" w:type="auto"/>
            <w:hideMark/>
          </w:tcPr>
          <w:p w14:paraId="75ED3C35" w14:textId="77777777" w:rsidR="00D623BA" w:rsidRPr="00803BF3" w:rsidRDefault="00D623BA" w:rsidP="00FF6D41">
            <w:pPr>
              <w:jc w:val="center"/>
              <w:rPr>
                <w:rFonts w:eastAsia="Times New Roman"/>
                <w:sz w:val="18"/>
                <w:szCs w:val="18"/>
              </w:rPr>
            </w:pPr>
          </w:p>
        </w:tc>
        <w:tc>
          <w:tcPr>
            <w:tcW w:w="0" w:type="auto"/>
            <w:hideMark/>
          </w:tcPr>
          <w:p w14:paraId="292BAC86"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4548BE51"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3D301352" w14:textId="77777777" w:rsidR="00D623BA" w:rsidRPr="00803BF3" w:rsidRDefault="00D623BA">
            <w:pPr>
              <w:pStyle w:val="NormalWeb"/>
              <w:rPr>
                <w:sz w:val="18"/>
                <w:szCs w:val="18"/>
              </w:rPr>
            </w:pPr>
            <w:r w:rsidRPr="00803BF3">
              <w:rPr>
                <w:sz w:val="18"/>
                <w:szCs w:val="18"/>
              </w:rPr>
              <w:t>9N</w:t>
            </w:r>
          </w:p>
        </w:tc>
        <w:tc>
          <w:tcPr>
            <w:tcW w:w="0" w:type="auto"/>
            <w:hideMark/>
          </w:tcPr>
          <w:p w14:paraId="7861F2F3" w14:textId="77777777" w:rsidR="00D623BA" w:rsidRPr="00803BF3" w:rsidRDefault="00D623BA" w:rsidP="00FF6D41">
            <w:pPr>
              <w:jc w:val="center"/>
              <w:rPr>
                <w:sz w:val="18"/>
                <w:szCs w:val="18"/>
              </w:rPr>
            </w:pPr>
          </w:p>
        </w:tc>
        <w:tc>
          <w:tcPr>
            <w:tcW w:w="0" w:type="auto"/>
            <w:hideMark/>
          </w:tcPr>
          <w:p w14:paraId="60B23D07" w14:textId="77777777" w:rsidR="00D623BA" w:rsidRPr="00803BF3" w:rsidRDefault="00D623BA" w:rsidP="00FF6D41">
            <w:pPr>
              <w:jc w:val="center"/>
              <w:rPr>
                <w:rFonts w:eastAsia="Times New Roman"/>
                <w:sz w:val="18"/>
                <w:szCs w:val="18"/>
              </w:rPr>
            </w:pPr>
          </w:p>
        </w:tc>
        <w:tc>
          <w:tcPr>
            <w:tcW w:w="0" w:type="auto"/>
            <w:hideMark/>
          </w:tcPr>
          <w:p w14:paraId="30DC0CFC" w14:textId="77777777" w:rsidR="00D623BA" w:rsidRPr="00803BF3" w:rsidRDefault="00D623BA" w:rsidP="00FF6D41">
            <w:pPr>
              <w:jc w:val="center"/>
              <w:rPr>
                <w:rFonts w:eastAsia="Times New Roman"/>
                <w:sz w:val="18"/>
                <w:szCs w:val="18"/>
              </w:rPr>
            </w:pPr>
          </w:p>
        </w:tc>
        <w:tc>
          <w:tcPr>
            <w:tcW w:w="0" w:type="auto"/>
            <w:hideMark/>
          </w:tcPr>
          <w:p w14:paraId="04EAF86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00E3477A" w14:textId="77777777" w:rsidTr="008C3EF5">
        <w:tc>
          <w:tcPr>
            <w:tcW w:w="0" w:type="auto"/>
            <w:hideMark/>
          </w:tcPr>
          <w:p w14:paraId="12BA1207" w14:textId="77777777" w:rsidR="00D623BA" w:rsidRPr="00803BF3" w:rsidRDefault="00D623BA">
            <w:pPr>
              <w:pStyle w:val="NormalWeb"/>
              <w:rPr>
                <w:sz w:val="18"/>
                <w:szCs w:val="18"/>
              </w:rPr>
            </w:pPr>
            <w:r w:rsidRPr="00803BF3">
              <w:rPr>
                <w:sz w:val="18"/>
                <w:szCs w:val="18"/>
              </w:rPr>
              <w:t>9V</w:t>
            </w:r>
          </w:p>
        </w:tc>
        <w:tc>
          <w:tcPr>
            <w:tcW w:w="0" w:type="auto"/>
            <w:hideMark/>
          </w:tcPr>
          <w:p w14:paraId="07525FE7"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7E35CDB9"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712223DF"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45C710FB"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3697DFD2"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2A39C214" w14:textId="77777777" w:rsidR="00D623BA" w:rsidRPr="00803BF3" w:rsidRDefault="00D623BA">
            <w:pPr>
              <w:pStyle w:val="NormalWeb"/>
              <w:rPr>
                <w:sz w:val="18"/>
                <w:szCs w:val="18"/>
              </w:rPr>
            </w:pPr>
            <w:r w:rsidRPr="00803BF3">
              <w:rPr>
                <w:sz w:val="18"/>
                <w:szCs w:val="18"/>
              </w:rPr>
              <w:t>10A</w:t>
            </w:r>
          </w:p>
        </w:tc>
        <w:tc>
          <w:tcPr>
            <w:tcW w:w="0" w:type="auto"/>
            <w:hideMark/>
          </w:tcPr>
          <w:p w14:paraId="04D739EF" w14:textId="77777777" w:rsidR="00D623BA" w:rsidRPr="00803BF3" w:rsidRDefault="00D623BA" w:rsidP="00FF6D41">
            <w:pPr>
              <w:jc w:val="center"/>
              <w:rPr>
                <w:sz w:val="18"/>
                <w:szCs w:val="18"/>
              </w:rPr>
            </w:pPr>
          </w:p>
        </w:tc>
        <w:tc>
          <w:tcPr>
            <w:tcW w:w="0" w:type="auto"/>
            <w:hideMark/>
          </w:tcPr>
          <w:p w14:paraId="4FD63B6F" w14:textId="77777777" w:rsidR="00D623BA" w:rsidRPr="00803BF3" w:rsidRDefault="00D623BA" w:rsidP="00FF6D41">
            <w:pPr>
              <w:jc w:val="center"/>
              <w:rPr>
                <w:rFonts w:eastAsia="Times New Roman"/>
                <w:sz w:val="18"/>
                <w:szCs w:val="18"/>
              </w:rPr>
            </w:pPr>
          </w:p>
        </w:tc>
        <w:tc>
          <w:tcPr>
            <w:tcW w:w="0" w:type="auto"/>
            <w:hideMark/>
          </w:tcPr>
          <w:p w14:paraId="68B2FCF5" w14:textId="77777777" w:rsidR="00D623BA" w:rsidRPr="00803BF3" w:rsidRDefault="00D623BA" w:rsidP="00FF6D41">
            <w:pPr>
              <w:jc w:val="center"/>
              <w:rPr>
                <w:rFonts w:eastAsia="Times New Roman"/>
                <w:sz w:val="18"/>
                <w:szCs w:val="18"/>
              </w:rPr>
            </w:pPr>
          </w:p>
        </w:tc>
        <w:tc>
          <w:tcPr>
            <w:tcW w:w="0" w:type="auto"/>
            <w:hideMark/>
          </w:tcPr>
          <w:p w14:paraId="359F2D41"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1799717D" w14:textId="77777777" w:rsidTr="008C3EF5">
        <w:tc>
          <w:tcPr>
            <w:tcW w:w="0" w:type="auto"/>
            <w:hideMark/>
          </w:tcPr>
          <w:p w14:paraId="7B724085" w14:textId="77777777" w:rsidR="00D623BA" w:rsidRPr="00803BF3" w:rsidRDefault="00D623BA">
            <w:pPr>
              <w:pStyle w:val="NormalWeb"/>
              <w:rPr>
                <w:sz w:val="18"/>
                <w:szCs w:val="18"/>
              </w:rPr>
            </w:pPr>
            <w:r w:rsidRPr="00803BF3">
              <w:rPr>
                <w:sz w:val="18"/>
                <w:szCs w:val="18"/>
              </w:rPr>
              <w:t>11A</w:t>
            </w:r>
          </w:p>
        </w:tc>
        <w:tc>
          <w:tcPr>
            <w:tcW w:w="0" w:type="auto"/>
            <w:hideMark/>
          </w:tcPr>
          <w:p w14:paraId="69222839" w14:textId="77777777" w:rsidR="00D623BA" w:rsidRPr="00803BF3" w:rsidRDefault="00D623BA" w:rsidP="00FF6D41">
            <w:pPr>
              <w:jc w:val="center"/>
              <w:rPr>
                <w:sz w:val="18"/>
                <w:szCs w:val="18"/>
              </w:rPr>
            </w:pPr>
          </w:p>
        </w:tc>
        <w:tc>
          <w:tcPr>
            <w:tcW w:w="0" w:type="auto"/>
            <w:hideMark/>
          </w:tcPr>
          <w:p w14:paraId="5E6E00ED" w14:textId="77777777" w:rsidR="00D623BA" w:rsidRPr="00803BF3" w:rsidRDefault="00D623BA" w:rsidP="00FF6D41">
            <w:pPr>
              <w:jc w:val="center"/>
              <w:rPr>
                <w:rFonts w:eastAsia="Times New Roman"/>
                <w:sz w:val="18"/>
                <w:szCs w:val="18"/>
              </w:rPr>
            </w:pPr>
          </w:p>
        </w:tc>
        <w:tc>
          <w:tcPr>
            <w:tcW w:w="0" w:type="auto"/>
            <w:hideMark/>
          </w:tcPr>
          <w:p w14:paraId="3D26655B" w14:textId="77777777" w:rsidR="00D623BA" w:rsidRPr="00803BF3" w:rsidRDefault="00D623BA" w:rsidP="00FF6D41">
            <w:pPr>
              <w:jc w:val="center"/>
              <w:rPr>
                <w:rFonts w:eastAsia="Times New Roman"/>
                <w:sz w:val="18"/>
                <w:szCs w:val="18"/>
              </w:rPr>
            </w:pPr>
          </w:p>
        </w:tc>
        <w:tc>
          <w:tcPr>
            <w:tcW w:w="0" w:type="auto"/>
            <w:hideMark/>
          </w:tcPr>
          <w:p w14:paraId="050B250F"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6D699691"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74A3955C" w14:textId="77777777" w:rsidR="00D623BA" w:rsidRPr="00803BF3" w:rsidRDefault="00D623BA">
            <w:pPr>
              <w:pStyle w:val="NormalWeb"/>
              <w:rPr>
                <w:sz w:val="18"/>
                <w:szCs w:val="18"/>
              </w:rPr>
            </w:pPr>
            <w:r w:rsidRPr="00803BF3">
              <w:rPr>
                <w:sz w:val="18"/>
                <w:szCs w:val="18"/>
              </w:rPr>
              <w:t>12F</w:t>
            </w:r>
          </w:p>
        </w:tc>
        <w:tc>
          <w:tcPr>
            <w:tcW w:w="0" w:type="auto"/>
            <w:hideMark/>
          </w:tcPr>
          <w:p w14:paraId="42A5D92B" w14:textId="77777777" w:rsidR="00D623BA" w:rsidRPr="00803BF3" w:rsidRDefault="00D623BA" w:rsidP="00FF6D41">
            <w:pPr>
              <w:jc w:val="center"/>
              <w:rPr>
                <w:sz w:val="18"/>
                <w:szCs w:val="18"/>
              </w:rPr>
            </w:pPr>
          </w:p>
        </w:tc>
        <w:tc>
          <w:tcPr>
            <w:tcW w:w="0" w:type="auto"/>
            <w:hideMark/>
          </w:tcPr>
          <w:p w14:paraId="6F890C14" w14:textId="77777777" w:rsidR="00D623BA" w:rsidRPr="00803BF3" w:rsidRDefault="00D623BA" w:rsidP="00FF6D41">
            <w:pPr>
              <w:jc w:val="center"/>
              <w:rPr>
                <w:rFonts w:eastAsia="Times New Roman"/>
                <w:sz w:val="18"/>
                <w:szCs w:val="18"/>
              </w:rPr>
            </w:pPr>
          </w:p>
        </w:tc>
        <w:tc>
          <w:tcPr>
            <w:tcW w:w="0" w:type="auto"/>
            <w:hideMark/>
          </w:tcPr>
          <w:p w14:paraId="77A143B6" w14:textId="77777777" w:rsidR="00D623BA" w:rsidRPr="00803BF3" w:rsidRDefault="00D623BA" w:rsidP="00FF6D41">
            <w:pPr>
              <w:jc w:val="center"/>
              <w:rPr>
                <w:rFonts w:eastAsia="Times New Roman"/>
                <w:sz w:val="18"/>
                <w:szCs w:val="18"/>
              </w:rPr>
            </w:pPr>
          </w:p>
        </w:tc>
        <w:tc>
          <w:tcPr>
            <w:tcW w:w="0" w:type="auto"/>
            <w:hideMark/>
          </w:tcPr>
          <w:p w14:paraId="00AFA56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0757A5D0" w14:textId="77777777" w:rsidTr="008C3EF5">
        <w:tc>
          <w:tcPr>
            <w:tcW w:w="0" w:type="auto"/>
            <w:hideMark/>
          </w:tcPr>
          <w:p w14:paraId="06C22853" w14:textId="77777777" w:rsidR="00D623BA" w:rsidRPr="00803BF3" w:rsidRDefault="00D623BA">
            <w:pPr>
              <w:pStyle w:val="NormalWeb"/>
              <w:rPr>
                <w:sz w:val="18"/>
                <w:szCs w:val="18"/>
              </w:rPr>
            </w:pPr>
            <w:r w:rsidRPr="00803BF3">
              <w:rPr>
                <w:sz w:val="18"/>
                <w:szCs w:val="18"/>
              </w:rPr>
              <w:t>14</w:t>
            </w:r>
          </w:p>
        </w:tc>
        <w:tc>
          <w:tcPr>
            <w:tcW w:w="0" w:type="auto"/>
            <w:hideMark/>
          </w:tcPr>
          <w:p w14:paraId="6191A987"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2C2194C8"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1F559659"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31759812"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5C46C6B3"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4880C3AD" w14:textId="77777777" w:rsidR="00D623BA" w:rsidRPr="00803BF3" w:rsidRDefault="00D623BA">
            <w:pPr>
              <w:pStyle w:val="NormalWeb"/>
              <w:rPr>
                <w:sz w:val="18"/>
                <w:szCs w:val="18"/>
              </w:rPr>
            </w:pPr>
            <w:r w:rsidRPr="00803BF3">
              <w:rPr>
                <w:sz w:val="18"/>
                <w:szCs w:val="18"/>
              </w:rPr>
              <w:t>15B</w:t>
            </w:r>
          </w:p>
        </w:tc>
        <w:tc>
          <w:tcPr>
            <w:tcW w:w="0" w:type="auto"/>
            <w:hideMark/>
          </w:tcPr>
          <w:p w14:paraId="0EDF96A6" w14:textId="77777777" w:rsidR="00D623BA" w:rsidRPr="00803BF3" w:rsidRDefault="00D623BA" w:rsidP="00FF6D41">
            <w:pPr>
              <w:jc w:val="center"/>
              <w:rPr>
                <w:sz w:val="18"/>
                <w:szCs w:val="18"/>
              </w:rPr>
            </w:pPr>
          </w:p>
        </w:tc>
        <w:tc>
          <w:tcPr>
            <w:tcW w:w="0" w:type="auto"/>
            <w:hideMark/>
          </w:tcPr>
          <w:p w14:paraId="32A306C4" w14:textId="77777777" w:rsidR="00D623BA" w:rsidRPr="00803BF3" w:rsidRDefault="00D623BA" w:rsidP="00FF6D41">
            <w:pPr>
              <w:jc w:val="center"/>
              <w:rPr>
                <w:rFonts w:eastAsia="Times New Roman"/>
                <w:sz w:val="18"/>
                <w:szCs w:val="18"/>
              </w:rPr>
            </w:pPr>
          </w:p>
        </w:tc>
        <w:tc>
          <w:tcPr>
            <w:tcW w:w="0" w:type="auto"/>
            <w:hideMark/>
          </w:tcPr>
          <w:p w14:paraId="33476A57" w14:textId="77777777" w:rsidR="00D623BA" w:rsidRPr="00803BF3" w:rsidRDefault="00D623BA" w:rsidP="00FF6D41">
            <w:pPr>
              <w:jc w:val="center"/>
              <w:rPr>
                <w:rFonts w:eastAsia="Times New Roman"/>
                <w:sz w:val="18"/>
                <w:szCs w:val="18"/>
              </w:rPr>
            </w:pPr>
          </w:p>
        </w:tc>
        <w:tc>
          <w:tcPr>
            <w:tcW w:w="0" w:type="auto"/>
            <w:hideMark/>
          </w:tcPr>
          <w:p w14:paraId="55C75CF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44AE5972" w14:textId="77777777" w:rsidTr="008C3EF5">
        <w:tc>
          <w:tcPr>
            <w:tcW w:w="0" w:type="auto"/>
            <w:hideMark/>
          </w:tcPr>
          <w:p w14:paraId="22419FBD" w14:textId="77777777" w:rsidR="00D623BA" w:rsidRPr="00803BF3" w:rsidRDefault="00D623BA">
            <w:pPr>
              <w:pStyle w:val="NormalWeb"/>
              <w:rPr>
                <w:sz w:val="18"/>
                <w:szCs w:val="18"/>
              </w:rPr>
            </w:pPr>
            <w:r w:rsidRPr="00803BF3">
              <w:rPr>
                <w:sz w:val="18"/>
                <w:szCs w:val="18"/>
              </w:rPr>
              <w:t>17F</w:t>
            </w:r>
          </w:p>
        </w:tc>
        <w:tc>
          <w:tcPr>
            <w:tcW w:w="0" w:type="auto"/>
            <w:hideMark/>
          </w:tcPr>
          <w:p w14:paraId="4A99DFEA" w14:textId="77777777" w:rsidR="00D623BA" w:rsidRPr="00803BF3" w:rsidRDefault="00D623BA" w:rsidP="00FF6D41">
            <w:pPr>
              <w:jc w:val="center"/>
              <w:rPr>
                <w:sz w:val="18"/>
                <w:szCs w:val="18"/>
              </w:rPr>
            </w:pPr>
          </w:p>
        </w:tc>
        <w:tc>
          <w:tcPr>
            <w:tcW w:w="0" w:type="auto"/>
            <w:hideMark/>
          </w:tcPr>
          <w:p w14:paraId="0C2FEE13" w14:textId="77777777" w:rsidR="00D623BA" w:rsidRPr="00803BF3" w:rsidRDefault="00D623BA" w:rsidP="00FF6D41">
            <w:pPr>
              <w:jc w:val="center"/>
              <w:rPr>
                <w:rFonts w:eastAsia="Times New Roman"/>
                <w:sz w:val="18"/>
                <w:szCs w:val="18"/>
              </w:rPr>
            </w:pPr>
          </w:p>
        </w:tc>
        <w:tc>
          <w:tcPr>
            <w:tcW w:w="0" w:type="auto"/>
            <w:hideMark/>
          </w:tcPr>
          <w:p w14:paraId="25CD0F1E" w14:textId="77777777" w:rsidR="00D623BA" w:rsidRPr="00803BF3" w:rsidRDefault="00D623BA" w:rsidP="00FF6D41">
            <w:pPr>
              <w:jc w:val="center"/>
              <w:rPr>
                <w:rFonts w:eastAsia="Times New Roman"/>
                <w:sz w:val="18"/>
                <w:szCs w:val="18"/>
              </w:rPr>
            </w:pPr>
          </w:p>
        </w:tc>
        <w:tc>
          <w:tcPr>
            <w:tcW w:w="0" w:type="auto"/>
            <w:hideMark/>
          </w:tcPr>
          <w:p w14:paraId="46C9BEED"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5FF76F27"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6FAA51F6" w14:textId="77777777" w:rsidR="00D623BA" w:rsidRPr="00803BF3" w:rsidRDefault="00D623BA">
            <w:pPr>
              <w:pStyle w:val="NormalWeb"/>
              <w:rPr>
                <w:sz w:val="18"/>
                <w:szCs w:val="18"/>
              </w:rPr>
            </w:pPr>
            <w:r w:rsidRPr="00803BF3">
              <w:rPr>
                <w:sz w:val="18"/>
                <w:szCs w:val="18"/>
              </w:rPr>
              <w:t>18C</w:t>
            </w:r>
          </w:p>
        </w:tc>
        <w:tc>
          <w:tcPr>
            <w:tcW w:w="0" w:type="auto"/>
            <w:hideMark/>
          </w:tcPr>
          <w:p w14:paraId="74174B9E"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3CBCD2F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32F68DEC"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37AF6D0D"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1BB10715" w14:textId="77777777" w:rsidTr="008C3EF5">
        <w:tc>
          <w:tcPr>
            <w:tcW w:w="0" w:type="auto"/>
            <w:hideMark/>
          </w:tcPr>
          <w:p w14:paraId="3270066F" w14:textId="77777777" w:rsidR="00D623BA" w:rsidRPr="00803BF3" w:rsidRDefault="00D623BA">
            <w:pPr>
              <w:pStyle w:val="NormalWeb"/>
              <w:rPr>
                <w:sz w:val="18"/>
                <w:szCs w:val="18"/>
              </w:rPr>
            </w:pPr>
            <w:r w:rsidRPr="00803BF3">
              <w:rPr>
                <w:sz w:val="18"/>
                <w:szCs w:val="18"/>
              </w:rPr>
              <w:t>19A</w:t>
            </w:r>
          </w:p>
        </w:tc>
        <w:tc>
          <w:tcPr>
            <w:tcW w:w="0" w:type="auto"/>
            <w:hideMark/>
          </w:tcPr>
          <w:p w14:paraId="0EB38CF2" w14:textId="77777777" w:rsidR="00D623BA" w:rsidRPr="00803BF3" w:rsidRDefault="00D623BA" w:rsidP="00FF6D41">
            <w:pPr>
              <w:jc w:val="center"/>
              <w:rPr>
                <w:sz w:val="18"/>
                <w:szCs w:val="18"/>
              </w:rPr>
            </w:pPr>
          </w:p>
        </w:tc>
        <w:tc>
          <w:tcPr>
            <w:tcW w:w="0" w:type="auto"/>
            <w:hideMark/>
          </w:tcPr>
          <w:p w14:paraId="1932D15F" w14:textId="77777777" w:rsidR="00D623BA" w:rsidRPr="00803BF3" w:rsidRDefault="00D623BA" w:rsidP="00FF6D41">
            <w:pPr>
              <w:jc w:val="center"/>
              <w:rPr>
                <w:rFonts w:eastAsia="Times New Roman"/>
                <w:sz w:val="18"/>
                <w:szCs w:val="18"/>
              </w:rPr>
            </w:pPr>
          </w:p>
        </w:tc>
        <w:tc>
          <w:tcPr>
            <w:tcW w:w="0" w:type="auto"/>
            <w:hideMark/>
          </w:tcPr>
          <w:p w14:paraId="4D96D87E"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2EFC2F58"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3725F5A2"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7169685F" w14:textId="77777777" w:rsidR="00D623BA" w:rsidRPr="00803BF3" w:rsidRDefault="00D623BA">
            <w:pPr>
              <w:pStyle w:val="NormalWeb"/>
              <w:rPr>
                <w:sz w:val="18"/>
                <w:szCs w:val="18"/>
              </w:rPr>
            </w:pPr>
            <w:r w:rsidRPr="00803BF3">
              <w:rPr>
                <w:sz w:val="18"/>
                <w:szCs w:val="18"/>
              </w:rPr>
              <w:t>19F</w:t>
            </w:r>
          </w:p>
        </w:tc>
        <w:tc>
          <w:tcPr>
            <w:tcW w:w="0" w:type="auto"/>
            <w:hideMark/>
          </w:tcPr>
          <w:p w14:paraId="73D60A1B"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754EA8E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65B303A1"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1F9F239D"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314C1647" w14:textId="77777777" w:rsidTr="008C3EF5">
        <w:tc>
          <w:tcPr>
            <w:tcW w:w="0" w:type="auto"/>
            <w:hideMark/>
          </w:tcPr>
          <w:p w14:paraId="464D1926" w14:textId="77777777" w:rsidR="00D623BA" w:rsidRPr="00803BF3" w:rsidRDefault="00D623BA">
            <w:pPr>
              <w:pStyle w:val="NormalWeb"/>
              <w:rPr>
                <w:sz w:val="18"/>
                <w:szCs w:val="18"/>
              </w:rPr>
            </w:pPr>
            <w:r w:rsidRPr="00803BF3">
              <w:rPr>
                <w:sz w:val="18"/>
                <w:szCs w:val="18"/>
              </w:rPr>
              <w:t>20</w:t>
            </w:r>
          </w:p>
        </w:tc>
        <w:tc>
          <w:tcPr>
            <w:tcW w:w="0" w:type="auto"/>
            <w:hideMark/>
          </w:tcPr>
          <w:p w14:paraId="16CAA3B8" w14:textId="77777777" w:rsidR="00D623BA" w:rsidRPr="00803BF3" w:rsidRDefault="00D623BA" w:rsidP="00FF6D41">
            <w:pPr>
              <w:jc w:val="center"/>
              <w:rPr>
                <w:sz w:val="18"/>
                <w:szCs w:val="18"/>
              </w:rPr>
            </w:pPr>
          </w:p>
        </w:tc>
        <w:tc>
          <w:tcPr>
            <w:tcW w:w="0" w:type="auto"/>
            <w:hideMark/>
          </w:tcPr>
          <w:p w14:paraId="76F7864F" w14:textId="77777777" w:rsidR="00D623BA" w:rsidRPr="00803BF3" w:rsidRDefault="00D623BA" w:rsidP="00FF6D41">
            <w:pPr>
              <w:jc w:val="center"/>
              <w:rPr>
                <w:rFonts w:eastAsia="Times New Roman"/>
                <w:sz w:val="18"/>
                <w:szCs w:val="18"/>
              </w:rPr>
            </w:pPr>
          </w:p>
        </w:tc>
        <w:tc>
          <w:tcPr>
            <w:tcW w:w="0" w:type="auto"/>
            <w:hideMark/>
          </w:tcPr>
          <w:p w14:paraId="10E874F2" w14:textId="77777777" w:rsidR="00D623BA" w:rsidRPr="00803BF3" w:rsidRDefault="00D623BA" w:rsidP="00FF6D41">
            <w:pPr>
              <w:jc w:val="center"/>
              <w:rPr>
                <w:rFonts w:eastAsia="Times New Roman"/>
                <w:sz w:val="18"/>
                <w:szCs w:val="18"/>
              </w:rPr>
            </w:pPr>
          </w:p>
        </w:tc>
        <w:tc>
          <w:tcPr>
            <w:tcW w:w="0" w:type="auto"/>
            <w:hideMark/>
          </w:tcPr>
          <w:p w14:paraId="40DB1F49"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3E8C689C"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4EFF64B4" w14:textId="77777777" w:rsidR="00D623BA" w:rsidRPr="00803BF3" w:rsidRDefault="00D623BA">
            <w:pPr>
              <w:pStyle w:val="NormalWeb"/>
              <w:rPr>
                <w:sz w:val="18"/>
                <w:szCs w:val="18"/>
              </w:rPr>
            </w:pPr>
            <w:r w:rsidRPr="00803BF3">
              <w:rPr>
                <w:sz w:val="18"/>
                <w:szCs w:val="18"/>
              </w:rPr>
              <w:t>22F</w:t>
            </w:r>
          </w:p>
        </w:tc>
        <w:tc>
          <w:tcPr>
            <w:tcW w:w="0" w:type="auto"/>
            <w:hideMark/>
          </w:tcPr>
          <w:p w14:paraId="36C72F19" w14:textId="77777777" w:rsidR="00D623BA" w:rsidRPr="00803BF3" w:rsidRDefault="00D623BA" w:rsidP="00FF6D41">
            <w:pPr>
              <w:jc w:val="center"/>
              <w:rPr>
                <w:sz w:val="18"/>
                <w:szCs w:val="18"/>
              </w:rPr>
            </w:pPr>
          </w:p>
        </w:tc>
        <w:tc>
          <w:tcPr>
            <w:tcW w:w="0" w:type="auto"/>
            <w:hideMark/>
          </w:tcPr>
          <w:p w14:paraId="1266A688" w14:textId="77777777" w:rsidR="00D623BA" w:rsidRPr="00803BF3" w:rsidRDefault="00D623BA" w:rsidP="00FF6D41">
            <w:pPr>
              <w:jc w:val="center"/>
              <w:rPr>
                <w:rFonts w:eastAsia="Times New Roman"/>
                <w:sz w:val="18"/>
                <w:szCs w:val="18"/>
              </w:rPr>
            </w:pPr>
          </w:p>
        </w:tc>
        <w:tc>
          <w:tcPr>
            <w:tcW w:w="0" w:type="auto"/>
            <w:hideMark/>
          </w:tcPr>
          <w:p w14:paraId="070F57B9" w14:textId="77777777" w:rsidR="00D623BA" w:rsidRPr="00803BF3" w:rsidRDefault="00D623BA" w:rsidP="00FF6D41">
            <w:pPr>
              <w:jc w:val="center"/>
              <w:rPr>
                <w:rFonts w:eastAsia="Times New Roman"/>
                <w:sz w:val="18"/>
                <w:szCs w:val="18"/>
              </w:rPr>
            </w:pPr>
          </w:p>
        </w:tc>
        <w:tc>
          <w:tcPr>
            <w:tcW w:w="0" w:type="auto"/>
            <w:hideMark/>
          </w:tcPr>
          <w:p w14:paraId="72A4FD0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6AA6E4AE" w14:textId="77777777" w:rsidTr="008C3EF5">
        <w:tc>
          <w:tcPr>
            <w:tcW w:w="0" w:type="auto"/>
            <w:hideMark/>
          </w:tcPr>
          <w:p w14:paraId="2B960BCE" w14:textId="77777777" w:rsidR="00D623BA" w:rsidRPr="00803BF3" w:rsidRDefault="00D623BA">
            <w:pPr>
              <w:pStyle w:val="NormalWeb"/>
              <w:rPr>
                <w:sz w:val="18"/>
                <w:szCs w:val="18"/>
              </w:rPr>
            </w:pPr>
            <w:r w:rsidRPr="00803BF3">
              <w:rPr>
                <w:sz w:val="18"/>
                <w:szCs w:val="18"/>
              </w:rPr>
              <w:t>23F</w:t>
            </w:r>
          </w:p>
        </w:tc>
        <w:tc>
          <w:tcPr>
            <w:tcW w:w="0" w:type="auto"/>
            <w:hideMark/>
          </w:tcPr>
          <w:p w14:paraId="364F9D3A"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274F872C"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3101794E"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c>
          <w:tcPr>
            <w:tcW w:w="0" w:type="auto"/>
            <w:hideMark/>
          </w:tcPr>
          <w:p w14:paraId="20976268"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r w:rsidR="00D623BA" w:rsidRPr="00803BF3" w14:paraId="7A9EDC5D" w14:textId="77777777" w:rsidTr="008C3EF5">
        <w:trPr>
          <w:cnfStyle w:val="000000010000" w:firstRow="0" w:lastRow="0" w:firstColumn="0" w:lastColumn="0" w:oddVBand="0" w:evenVBand="0" w:oddHBand="0" w:evenHBand="1" w:firstRowFirstColumn="0" w:firstRowLastColumn="0" w:lastRowFirstColumn="0" w:lastRowLastColumn="0"/>
        </w:trPr>
        <w:tc>
          <w:tcPr>
            <w:tcW w:w="0" w:type="auto"/>
            <w:hideMark/>
          </w:tcPr>
          <w:p w14:paraId="1F9FCA32" w14:textId="77777777" w:rsidR="00D623BA" w:rsidRPr="00803BF3" w:rsidRDefault="00D623BA">
            <w:pPr>
              <w:pStyle w:val="NormalWeb"/>
              <w:rPr>
                <w:sz w:val="18"/>
                <w:szCs w:val="18"/>
              </w:rPr>
            </w:pPr>
            <w:r w:rsidRPr="00803BF3">
              <w:rPr>
                <w:sz w:val="18"/>
                <w:szCs w:val="18"/>
              </w:rPr>
              <w:t>33F</w:t>
            </w:r>
          </w:p>
        </w:tc>
        <w:tc>
          <w:tcPr>
            <w:tcW w:w="0" w:type="auto"/>
            <w:hideMark/>
          </w:tcPr>
          <w:p w14:paraId="501C919E" w14:textId="77777777" w:rsidR="00D623BA" w:rsidRPr="00803BF3" w:rsidRDefault="00D623BA" w:rsidP="00FF6D41">
            <w:pPr>
              <w:jc w:val="center"/>
              <w:rPr>
                <w:sz w:val="18"/>
                <w:szCs w:val="18"/>
              </w:rPr>
            </w:pPr>
          </w:p>
        </w:tc>
        <w:tc>
          <w:tcPr>
            <w:tcW w:w="0" w:type="auto"/>
            <w:hideMark/>
          </w:tcPr>
          <w:p w14:paraId="730B2FBD" w14:textId="77777777" w:rsidR="00D623BA" w:rsidRPr="00803BF3" w:rsidRDefault="00D623BA" w:rsidP="00FF6D41">
            <w:pPr>
              <w:jc w:val="center"/>
              <w:rPr>
                <w:rFonts w:eastAsia="Times New Roman"/>
                <w:sz w:val="18"/>
                <w:szCs w:val="18"/>
              </w:rPr>
            </w:pPr>
          </w:p>
        </w:tc>
        <w:tc>
          <w:tcPr>
            <w:tcW w:w="0" w:type="auto"/>
            <w:hideMark/>
          </w:tcPr>
          <w:p w14:paraId="0F336198" w14:textId="77777777" w:rsidR="00D623BA" w:rsidRPr="00803BF3" w:rsidRDefault="00D623BA" w:rsidP="00FF6D41">
            <w:pPr>
              <w:jc w:val="center"/>
              <w:rPr>
                <w:rFonts w:eastAsia="Times New Roman"/>
                <w:sz w:val="18"/>
                <w:szCs w:val="18"/>
              </w:rPr>
            </w:pPr>
          </w:p>
        </w:tc>
        <w:tc>
          <w:tcPr>
            <w:tcW w:w="0" w:type="auto"/>
            <w:hideMark/>
          </w:tcPr>
          <w:p w14:paraId="4133C87B" w14:textId="77777777" w:rsidR="00D623BA" w:rsidRPr="00803BF3" w:rsidRDefault="00583E9C" w:rsidP="00FF6D41">
            <w:pPr>
              <w:pStyle w:val="NormalWeb"/>
              <w:jc w:val="center"/>
              <w:rPr>
                <w:sz w:val="18"/>
                <w:szCs w:val="18"/>
              </w:rPr>
            </w:pPr>
            <w:r w:rsidRPr="00583E9C">
              <w:rPr>
                <w:rFonts w:ascii="Wingdings" w:hAnsi="Wingdings"/>
                <w:sz w:val="18"/>
                <w:szCs w:val="18"/>
              </w:rPr>
              <w:t></w:t>
            </w:r>
          </w:p>
        </w:tc>
      </w:tr>
    </w:tbl>
    <w:p w14:paraId="3B78D924" w14:textId="77777777" w:rsidR="000B3D22" w:rsidRDefault="000B3D22" w:rsidP="001F00F4"/>
    <w:p w14:paraId="262F0F93" w14:textId="77777777" w:rsidR="00D623BA" w:rsidRDefault="00D623BA" w:rsidP="001F00F4">
      <w:r>
        <w:t xml:space="preserve">In 2010, an increase in cases of serotype-1 IPD was observed in the Central Australian region of the NT, leading to recognition of a serotype-1 outbreak affecting mostly Indigenous persons living in the remote areas of Western Australia (WA), NT and Queensland (Qld). </w:t>
      </w:r>
    </w:p>
    <w:p w14:paraId="7675378A" w14:textId="77777777" w:rsidR="00D623BA" w:rsidRDefault="00D623BA" w:rsidP="001F00F4">
      <w:r>
        <w:lastRenderedPageBreak/>
        <w:t xml:space="preserve">The following is a supplemental report (augmenting routine Australian IPD surveillance reports) that describes the outbreak of serotype-1 IPD which occurred between 2010 and 2013 within the remote locations of Northern and Central Australia. </w:t>
      </w:r>
    </w:p>
    <w:p w14:paraId="09E0B1BB" w14:textId="77777777" w:rsidR="00D623BA" w:rsidRPr="00AB5B90" w:rsidRDefault="00D623BA" w:rsidP="00AB5B90">
      <w:pPr>
        <w:pStyle w:val="Heading1"/>
      </w:pPr>
      <w:r w:rsidRPr="00AB5B90">
        <w:t xml:space="preserve">Methods </w:t>
      </w:r>
    </w:p>
    <w:p w14:paraId="0C0F0B82" w14:textId="77777777" w:rsidR="00D623BA" w:rsidRPr="00AB5B90" w:rsidRDefault="00D623BA" w:rsidP="00AB5B90">
      <w:pPr>
        <w:pStyle w:val="Heading2"/>
      </w:pPr>
      <w:r w:rsidRPr="00AB5B90">
        <w:t xml:space="preserve">Data collection and analysis </w:t>
      </w:r>
    </w:p>
    <w:p w14:paraId="38393306" w14:textId="77777777" w:rsidR="00D623BA" w:rsidRDefault="00D623BA" w:rsidP="00AB5B90">
      <w:r>
        <w:t>Data on all IPD cases notified to the NNDSS with a diagnosis date from 1 January 2003 to 31 December 2014 were extracted on 12 November 2015. The study analysed cases by Indigenous status, age, resident location, clinical category, risk factors and pneumococcal vaccination status. A detailed description of data definitions and collection methods for NNDSS and the methods used for serotype identification has been given elsewhere.</w:t>
      </w:r>
      <w:r>
        <w:rPr>
          <w:vertAlign w:val="superscript"/>
        </w:rPr>
        <w:t>14</w:t>
      </w:r>
      <w:r>
        <w:t xml:space="preserve"> The study reports primarily on the Indigenous population. </w:t>
      </w:r>
    </w:p>
    <w:p w14:paraId="05673AE2" w14:textId="46FABDE6" w:rsidR="00D623BA" w:rsidRDefault="00D623BA" w:rsidP="00AB5B90">
      <w:r>
        <w:t>Australian Bureau of Statistics mid-year estimated resident populations</w:t>
      </w:r>
      <w:r>
        <w:rPr>
          <w:vertAlign w:val="superscript"/>
        </w:rPr>
        <w:t>15</w:t>
      </w:r>
      <w:r>
        <w:t xml:space="preserve"> (extracted on 10 November 2015) were used as the denominator for rates, except in the calculation of rates relating to Hospital and Health Service (HHS) regions in Qld. Population estimates provided by the Queensland Department of Health (Qld DoH) were used for the Qld region-specific calculations.</w:t>
      </w:r>
      <w:r>
        <w:rPr>
          <w:vertAlign w:val="superscript"/>
        </w:rPr>
        <w:t xml:space="preserve">16 </w:t>
      </w:r>
    </w:p>
    <w:p w14:paraId="644AB170" w14:textId="77777777" w:rsidR="00D623BA" w:rsidRDefault="00D623BA" w:rsidP="00AB5B90">
      <w:r>
        <w:t xml:space="preserve">The Queensland Pneumococcal Reference Laboratory performed molecular characterisation of the majority of serotype-1 isolates notified from the 3 jurisdictions during 2010 to </w:t>
      </w:r>
      <w:proofErr w:type="gramStart"/>
      <w:r>
        <w:t>2013.</w:t>
      </w:r>
      <w:r>
        <w:rPr>
          <w:vertAlign w:val="superscript"/>
        </w:rPr>
        <w:t>17</w:t>
      </w:r>
      <w:proofErr w:type="gramEnd"/>
      <w:r>
        <w:t xml:space="preserve"> </w:t>
      </w:r>
    </w:p>
    <w:p w14:paraId="2085FE84" w14:textId="77777777" w:rsidR="00D623BA" w:rsidRDefault="00D623BA" w:rsidP="00AB5B90">
      <w:r>
        <w:t xml:space="preserve">Data were analysed using Stata V13.1 (StataCorp, USA). Ethics approval was not required for the study, as only de-identified data already collected for disease surveillance purposes were used. Permission to use data that had not been captured in the national data collection was obtained from Qld DoH Communicable Diseases Branch and from the NT notifiable diseases data custodian. </w:t>
      </w:r>
    </w:p>
    <w:p w14:paraId="4F81C5D9" w14:textId="77777777" w:rsidR="00D623BA" w:rsidRPr="00AB5B90" w:rsidRDefault="00D623BA" w:rsidP="00AB5B90">
      <w:pPr>
        <w:pStyle w:val="Heading2"/>
      </w:pPr>
      <w:r w:rsidRPr="00AB5B90">
        <w:t xml:space="preserve">Outbreak regions and </w:t>
      </w:r>
      <w:proofErr w:type="gramStart"/>
      <w:r w:rsidRPr="00AB5B90">
        <w:t>period</w:t>
      </w:r>
      <w:proofErr w:type="gramEnd"/>
      <w:r w:rsidRPr="00AB5B90">
        <w:t xml:space="preserve"> </w:t>
      </w:r>
    </w:p>
    <w:p w14:paraId="40900301" w14:textId="77777777" w:rsidR="00D623BA" w:rsidRDefault="00D623BA" w:rsidP="00AB5B90">
      <w:r>
        <w:t xml:space="preserve">Real-time monitoring of data by EIPDSWG members led to the first identification of an increase in serotype-1 notifications in 2010. Long-term Australian serotype-1 trends were analysed to categorise the outbreak reporting years as: </w:t>
      </w:r>
      <w:r w:rsidRPr="003B3354">
        <w:rPr>
          <w:rStyle w:val="Emphasis"/>
          <w:b w:val="0"/>
        </w:rPr>
        <w:t>before</w:t>
      </w:r>
      <w:r>
        <w:t xml:space="preserve"> (2003 to 2009); </w:t>
      </w:r>
      <w:r w:rsidRPr="003B3354">
        <w:rPr>
          <w:rStyle w:val="Emphasis"/>
          <w:b w:val="0"/>
        </w:rPr>
        <w:t>during</w:t>
      </w:r>
      <w:r>
        <w:t xml:space="preserve"> (2010 to 2013); and </w:t>
      </w:r>
      <w:r w:rsidRPr="003B3354">
        <w:rPr>
          <w:rStyle w:val="Emphasis"/>
          <w:b w:val="0"/>
        </w:rPr>
        <w:t xml:space="preserve">after </w:t>
      </w:r>
      <w:r>
        <w:t xml:space="preserve">(2014), and to establish as the outbreak-affected areas the jurisdictions of WA, NT, and Qld. </w:t>
      </w:r>
    </w:p>
    <w:p w14:paraId="6FD009CA" w14:textId="77777777" w:rsidR="00D623BA" w:rsidRDefault="00D623BA" w:rsidP="00AB5B90">
      <w:r>
        <w:t>In Qld the outbreak was limited to certain areas only; these were identified by serotype-1 case resident location and assessed using the HHS regions designated by Qld DoH.</w:t>
      </w:r>
      <w:r>
        <w:rPr>
          <w:vertAlign w:val="superscript"/>
        </w:rPr>
        <w:t>16</w:t>
      </w:r>
      <w:r>
        <w:t xml:space="preserve"> HHS regions with high numbers and clustering of serotype-1 cases were considered outbreak-affected and therefore only cases living in those areas were included in the study. These comprised </w:t>
      </w:r>
      <w:proofErr w:type="gramStart"/>
      <w:r>
        <w:t>North West</w:t>
      </w:r>
      <w:proofErr w:type="gramEnd"/>
      <w:r>
        <w:t>; Central West; Townsville; Cairns and Hinterland; and the Torres and Cape. These five HHS regions in Qld, along with all of the WA and NT, are collectively referred to as the ‘outbreak regions’ in this report (see Figure 1). Overseas residents diagnosed with serotype-1 IPD from outbreak regions were excluded. Serotype-1 IPD incidence rates in outbreak versus non-outbreak regions were compared using the incidence rate ratio (IRR) as the metric.</w:t>
      </w:r>
    </w:p>
    <w:p w14:paraId="1B146EB7" w14:textId="77777777" w:rsidR="00D114B9" w:rsidRDefault="00D114B9" w:rsidP="00D114B9">
      <w:pPr>
        <w:pStyle w:val="CDIFigures"/>
        <w:sectPr w:rsidR="00D114B9"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9E81E58" w14:textId="77777777" w:rsidR="00D623BA" w:rsidRDefault="00D623BA" w:rsidP="00D114B9">
      <w:pPr>
        <w:pStyle w:val="CDIFigures"/>
      </w:pPr>
      <w:r>
        <w:lastRenderedPageBreak/>
        <w:t xml:space="preserve">Figure 1: Map of Australia showing the geographical areas (in yellow) affected by the serotype-1 </w:t>
      </w:r>
      <w:proofErr w:type="gramStart"/>
      <w:r>
        <w:t>outbreak</w:t>
      </w:r>
      <w:proofErr w:type="gramEnd"/>
    </w:p>
    <w:p w14:paraId="58E11B31" w14:textId="77777777" w:rsidR="00D623BA" w:rsidRDefault="00D623BA" w:rsidP="00272103">
      <w:pPr>
        <w:jc w:val="center"/>
        <w:rPr>
          <w:rFonts w:eastAsia="Times New Roman"/>
        </w:rPr>
      </w:pPr>
      <w:r>
        <w:rPr>
          <w:rFonts w:eastAsia="Times New Roman"/>
          <w:noProof/>
        </w:rPr>
        <w:drawing>
          <wp:inline distT="0" distB="0" distL="0" distR="0" wp14:anchorId="267C585E" wp14:editId="0B56CB5E">
            <wp:extent cx="2918298" cy="2718881"/>
            <wp:effectExtent l="19050" t="19050" r="15875" b="24765"/>
            <wp:docPr id="5" name="Picture 5" descr="A map of Australia with the areas included as outbreak regions in the study shaded a different colour to the remainder of Australia. This helps to demonstrate that in Queensland the outbreak did not extend to the more populated southern reg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ustralia with the areas included as outbreak regions in the study shaded a different colour to the remainder of Australia. This helps to demonstrate that in Queensland the outbreak did not extend to the more populated southern regions.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918298" cy="2718881"/>
                    </a:xfrm>
                    <a:prstGeom prst="rect">
                      <a:avLst/>
                    </a:prstGeom>
                    <a:ln w="3175">
                      <a:solidFill>
                        <a:schemeClr val="bg1">
                          <a:lumMod val="50000"/>
                        </a:schemeClr>
                      </a:solidFill>
                    </a:ln>
                  </pic:spPr>
                </pic:pic>
              </a:graphicData>
            </a:graphic>
          </wp:inline>
        </w:drawing>
      </w:r>
    </w:p>
    <w:p w14:paraId="4EDCFF24" w14:textId="77777777" w:rsidR="00D623BA" w:rsidRDefault="00D623BA" w:rsidP="00E143CE">
      <w:r>
        <w:t xml:space="preserve">An epidemiological curve of the outbreak was constructed where the outbreak period spanned from the diagnosis of the first outbreak case on 15 June 2010 (i.e. day 1 of week 1) to the last on 22 November 2013. </w:t>
      </w:r>
    </w:p>
    <w:p w14:paraId="0F34E7D7" w14:textId="77777777" w:rsidR="00D623BA" w:rsidRPr="00E143CE" w:rsidRDefault="00D623BA" w:rsidP="00E143CE">
      <w:pPr>
        <w:pStyle w:val="Heading2"/>
      </w:pPr>
      <w:r w:rsidRPr="00E143CE">
        <w:t xml:space="preserve">Outbreak management and vaccination </w:t>
      </w:r>
      <w:proofErr w:type="gramStart"/>
      <w:r w:rsidRPr="00E143CE">
        <w:t>strategies</w:t>
      </w:r>
      <w:proofErr w:type="gramEnd"/>
      <w:r w:rsidRPr="00E143CE">
        <w:t xml:space="preserve"> </w:t>
      </w:r>
    </w:p>
    <w:p w14:paraId="7BAEDBD3" w14:textId="77777777" w:rsidR="00D623BA" w:rsidRDefault="00D623BA" w:rsidP="00C54A55">
      <w:r>
        <w:t xml:space="preserve">Meetings were convened by the EIPDSWG chair with input from the Australian Government Vaccine Preventable Diseases section and jurisdictional EIPDSWG representatives. </w:t>
      </w:r>
    </w:p>
    <w:p w14:paraId="7E341ABF" w14:textId="77777777" w:rsidR="00D623BA" w:rsidRDefault="00D623BA" w:rsidP="00C54A55">
      <w:r>
        <w:t>Varying pneumococcal vaccine schedules as per the National Immunisation Program (NIP), as well as certain jurisdictional-specific programs, were put in place during the outbreak. The outbreak response varied by jurisdiction, with some jurisdictions adopting additional pneumococcal vaccination strategies along with the promotion of existing vaccine recommendations (Table 2).</w:t>
      </w:r>
    </w:p>
    <w:p w14:paraId="2FF2FD36" w14:textId="77777777" w:rsidR="006F3E06" w:rsidRDefault="006F3E06" w:rsidP="006F3E06">
      <w:pPr>
        <w:pStyle w:val="CDIFigures"/>
        <w:sectPr w:rsidR="006F3E06" w:rsidSect="00A30C37">
          <w:pgSz w:w="11906" w:h="16838"/>
          <w:pgMar w:top="720" w:right="720" w:bottom="1134" w:left="720" w:header="709" w:footer="284" w:gutter="0"/>
          <w:cols w:space="708"/>
          <w:titlePg/>
          <w:docGrid w:linePitch="360"/>
        </w:sectPr>
      </w:pPr>
    </w:p>
    <w:p w14:paraId="17E8C2C8" w14:textId="77777777" w:rsidR="00D623BA" w:rsidRDefault="00D623BA" w:rsidP="006F3E06">
      <w:pPr>
        <w:pStyle w:val="CDIFigures"/>
      </w:pPr>
      <w:r>
        <w:lastRenderedPageBreak/>
        <w:t>Table 2: Pneumococcal vaccine programs for Indigenous persons in the outbreak regions (WA, NT and Qld affected areas) during the outbreak period (June 2010 – December 2013)</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describes the different pneumococcal vaccine schedules and outbreak vaccine strategies in use for Indigenous persons in the outbreak regions during the outbreak."/>
      </w:tblPr>
      <w:tblGrid>
        <w:gridCol w:w="1357"/>
        <w:gridCol w:w="2304"/>
        <w:gridCol w:w="4455"/>
        <w:gridCol w:w="2350"/>
      </w:tblGrid>
      <w:tr w:rsidR="00854CD9" w:rsidRPr="00984163" w14:paraId="52A788E3" w14:textId="77777777" w:rsidTr="00E13479">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808080" w:themeColor="background1" w:themeShade="80"/>
              <w:right w:val="single" w:sz="2" w:space="0" w:color="FFFFFF" w:themeColor="background1"/>
            </w:tcBorders>
            <w:hideMark/>
          </w:tcPr>
          <w:p w14:paraId="5785350B" w14:textId="77777777" w:rsidR="00D623BA" w:rsidRPr="00984163" w:rsidRDefault="00D623BA">
            <w:pPr>
              <w:pStyle w:val="NormalWeb"/>
              <w:rPr>
                <w:color w:val="FFFFFF" w:themeColor="background1"/>
                <w:sz w:val="18"/>
                <w:szCs w:val="18"/>
              </w:rPr>
            </w:pPr>
            <w:r w:rsidRPr="00984163">
              <w:rPr>
                <w:color w:val="FFFFFF" w:themeColor="background1"/>
                <w:sz w:val="18"/>
                <w:szCs w:val="18"/>
              </w:rPr>
              <w:t>Vaccine</w:t>
            </w:r>
          </w:p>
        </w:tc>
        <w:tc>
          <w:tcPr>
            <w:tcW w:w="0" w:type="auto"/>
            <w:tcBorders>
              <w:left w:val="single" w:sz="2" w:space="0" w:color="FFFFFF" w:themeColor="background1"/>
              <w:bottom w:val="single" w:sz="2" w:space="0" w:color="808080" w:themeColor="background1" w:themeShade="80"/>
              <w:right w:val="single" w:sz="2" w:space="0" w:color="FFFFFF" w:themeColor="background1"/>
            </w:tcBorders>
            <w:hideMark/>
          </w:tcPr>
          <w:p w14:paraId="2C50BE4A" w14:textId="77777777" w:rsidR="00D623BA" w:rsidRPr="00984163" w:rsidRDefault="00D623BA">
            <w:pPr>
              <w:pStyle w:val="NormalWeb"/>
              <w:rPr>
                <w:color w:val="FFFFFF" w:themeColor="background1"/>
                <w:sz w:val="18"/>
                <w:szCs w:val="18"/>
              </w:rPr>
            </w:pPr>
            <w:r w:rsidRPr="00984163">
              <w:rPr>
                <w:color w:val="FFFFFF" w:themeColor="background1"/>
                <w:sz w:val="18"/>
                <w:szCs w:val="18"/>
              </w:rPr>
              <w:t>Western Australia</w:t>
            </w:r>
          </w:p>
        </w:tc>
        <w:tc>
          <w:tcPr>
            <w:tcW w:w="0" w:type="auto"/>
            <w:tcBorders>
              <w:left w:val="single" w:sz="2" w:space="0" w:color="FFFFFF" w:themeColor="background1"/>
              <w:bottom w:val="single" w:sz="2" w:space="0" w:color="808080" w:themeColor="background1" w:themeShade="80"/>
              <w:right w:val="single" w:sz="2" w:space="0" w:color="FFFFFF" w:themeColor="background1"/>
            </w:tcBorders>
            <w:hideMark/>
          </w:tcPr>
          <w:p w14:paraId="30A0E7D0" w14:textId="77777777" w:rsidR="00D623BA" w:rsidRPr="00984163" w:rsidRDefault="00D623BA">
            <w:pPr>
              <w:pStyle w:val="NormalWeb"/>
              <w:rPr>
                <w:color w:val="FFFFFF" w:themeColor="background1"/>
                <w:sz w:val="18"/>
                <w:szCs w:val="18"/>
              </w:rPr>
            </w:pPr>
            <w:r w:rsidRPr="00984163">
              <w:rPr>
                <w:color w:val="FFFFFF" w:themeColor="background1"/>
                <w:sz w:val="18"/>
                <w:szCs w:val="18"/>
              </w:rPr>
              <w:t>Northern Territory</w:t>
            </w:r>
          </w:p>
        </w:tc>
        <w:tc>
          <w:tcPr>
            <w:tcW w:w="0" w:type="auto"/>
            <w:tcBorders>
              <w:left w:val="single" w:sz="2" w:space="0" w:color="FFFFFF" w:themeColor="background1"/>
              <w:bottom w:val="single" w:sz="2" w:space="0" w:color="808080" w:themeColor="background1" w:themeShade="80"/>
            </w:tcBorders>
            <w:hideMark/>
          </w:tcPr>
          <w:p w14:paraId="27E9E29E" w14:textId="77777777" w:rsidR="00D623BA" w:rsidRPr="00984163" w:rsidRDefault="00D623BA">
            <w:pPr>
              <w:pStyle w:val="NormalWeb"/>
              <w:rPr>
                <w:color w:val="FFFFFF" w:themeColor="background1"/>
                <w:sz w:val="18"/>
                <w:szCs w:val="18"/>
              </w:rPr>
            </w:pPr>
            <w:r w:rsidRPr="00984163">
              <w:rPr>
                <w:color w:val="FFFFFF" w:themeColor="background1"/>
                <w:sz w:val="18"/>
                <w:szCs w:val="18"/>
              </w:rPr>
              <w:t>Queensland</w:t>
            </w:r>
          </w:p>
        </w:tc>
      </w:tr>
      <w:tr w:rsidR="00D623BA" w:rsidRPr="00984163" w14:paraId="29C2DD00" w14:textId="77777777" w:rsidTr="00E13479">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3B3CDE" w14:textId="77777777" w:rsidR="00D623BA" w:rsidRPr="00984163" w:rsidRDefault="00D623BA">
            <w:pPr>
              <w:pStyle w:val="NormalWeb"/>
              <w:rPr>
                <w:sz w:val="18"/>
                <w:szCs w:val="18"/>
              </w:rPr>
            </w:pPr>
            <w:r w:rsidRPr="00984163">
              <w:rPr>
                <w:sz w:val="18"/>
                <w:szCs w:val="18"/>
              </w:rPr>
              <w:t>Prevenar® (7vPCV)</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9AC04D" w14:textId="77777777" w:rsidR="00D623BA" w:rsidRPr="00984163" w:rsidRDefault="00D623BA">
            <w:pPr>
              <w:pStyle w:val="NormalWeb"/>
              <w:rPr>
                <w:sz w:val="18"/>
                <w:szCs w:val="18"/>
              </w:rPr>
            </w:pPr>
            <w:r w:rsidRPr="00984163">
              <w:rPr>
                <w:sz w:val="18"/>
                <w:szCs w:val="18"/>
              </w:rPr>
              <w:t>3 primary doses at age 2, 4 &amp; 6 months plus a booster at 12 months if medically at risk</w:t>
            </w:r>
            <w:r w:rsidRPr="00B51735">
              <w:rPr>
                <w:sz w:val="18"/>
                <w:szCs w:val="18"/>
                <w:vertAlign w:val="superscript"/>
              </w:rPr>
              <w:t>a</w:t>
            </w:r>
            <w:r w:rsidRPr="00984163">
              <w:rPr>
                <w:sz w:val="18"/>
                <w:szCs w:val="18"/>
              </w:rPr>
              <w:t xml:space="preserve"> until end June 2011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D037E4" w14:textId="77777777" w:rsidR="00D623BA" w:rsidRPr="00984163" w:rsidRDefault="00D623BA">
            <w:pPr>
              <w:pStyle w:val="NormalWeb"/>
              <w:rPr>
                <w:sz w:val="18"/>
                <w:szCs w:val="18"/>
              </w:rPr>
            </w:pPr>
            <w:r w:rsidRPr="00984163">
              <w:rPr>
                <w:sz w:val="18"/>
                <w:szCs w:val="18"/>
              </w:rPr>
              <w:t>Not in use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FD200A" w14:textId="77777777" w:rsidR="00D623BA" w:rsidRPr="00984163" w:rsidRDefault="00D623BA">
            <w:pPr>
              <w:pStyle w:val="NormalWeb"/>
              <w:rPr>
                <w:sz w:val="18"/>
                <w:szCs w:val="18"/>
              </w:rPr>
            </w:pPr>
            <w:r w:rsidRPr="00984163">
              <w:rPr>
                <w:sz w:val="18"/>
                <w:szCs w:val="18"/>
              </w:rPr>
              <w:t>3 primary doses at age 2, 4 &amp; 6 months plus a booster at 12 months if medically at risk</w:t>
            </w:r>
            <w:r w:rsidRPr="00B414E0">
              <w:rPr>
                <w:sz w:val="18"/>
                <w:szCs w:val="18"/>
                <w:vertAlign w:val="superscript"/>
              </w:rPr>
              <w:t>a</w:t>
            </w:r>
            <w:r w:rsidRPr="00984163">
              <w:rPr>
                <w:sz w:val="18"/>
                <w:szCs w:val="18"/>
              </w:rPr>
              <w:t xml:space="preserve"> until end June 2011</w:t>
            </w:r>
          </w:p>
        </w:tc>
      </w:tr>
      <w:tr w:rsidR="00D623BA" w:rsidRPr="00984163" w14:paraId="07847595" w14:textId="77777777" w:rsidTr="00E13479">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A519C6" w14:textId="77777777" w:rsidR="00D623BA" w:rsidRPr="00984163" w:rsidRDefault="00D623BA">
            <w:pPr>
              <w:pStyle w:val="NormalWeb"/>
              <w:rPr>
                <w:sz w:val="18"/>
                <w:szCs w:val="18"/>
              </w:rPr>
            </w:pPr>
            <w:r w:rsidRPr="00984163">
              <w:rPr>
                <w:sz w:val="18"/>
                <w:szCs w:val="18"/>
              </w:rPr>
              <w:t>Synflorix® (10vPCV)</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DA936D" w14:textId="77777777" w:rsidR="00D623BA" w:rsidRPr="00984163" w:rsidRDefault="00D623BA">
            <w:pPr>
              <w:pStyle w:val="NormalWeb"/>
              <w:rPr>
                <w:sz w:val="18"/>
                <w:szCs w:val="18"/>
              </w:rPr>
            </w:pPr>
            <w:r w:rsidRPr="00984163">
              <w:rPr>
                <w:sz w:val="18"/>
                <w:szCs w:val="18"/>
              </w:rPr>
              <w:t>Not in use</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5695E9" w14:textId="77777777" w:rsidR="00D623BA" w:rsidRPr="00984163" w:rsidRDefault="00D623BA">
            <w:pPr>
              <w:pStyle w:val="NormalWeb"/>
              <w:rPr>
                <w:sz w:val="18"/>
                <w:szCs w:val="18"/>
              </w:rPr>
            </w:pPr>
            <w:r w:rsidRPr="00984163">
              <w:rPr>
                <w:sz w:val="18"/>
                <w:szCs w:val="18"/>
              </w:rPr>
              <w:t>4 primary doses at age 2, 4, 6, and 18 months from October 2009 through September 2011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C1F944" w14:textId="77777777" w:rsidR="00D623BA" w:rsidRPr="00984163" w:rsidRDefault="00D623BA">
            <w:pPr>
              <w:pStyle w:val="NormalWeb"/>
              <w:rPr>
                <w:sz w:val="18"/>
                <w:szCs w:val="18"/>
              </w:rPr>
            </w:pPr>
            <w:r w:rsidRPr="00984163">
              <w:rPr>
                <w:sz w:val="18"/>
                <w:szCs w:val="18"/>
              </w:rPr>
              <w:t>Not in use</w:t>
            </w:r>
          </w:p>
        </w:tc>
      </w:tr>
      <w:tr w:rsidR="00D623BA" w:rsidRPr="00984163" w14:paraId="7F095A47" w14:textId="77777777" w:rsidTr="00E13479">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9F7A5D" w14:textId="77777777" w:rsidR="00D623BA" w:rsidRPr="00984163" w:rsidRDefault="00D623BA">
            <w:pPr>
              <w:pStyle w:val="NormalWeb"/>
              <w:rPr>
                <w:sz w:val="18"/>
                <w:szCs w:val="18"/>
              </w:rPr>
            </w:pPr>
            <w:r w:rsidRPr="00984163">
              <w:rPr>
                <w:sz w:val="18"/>
                <w:szCs w:val="18"/>
              </w:rPr>
              <w:t>Prevenar13® (13vPCV)</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264C8E" w14:textId="77777777" w:rsidR="00D623BA" w:rsidRPr="00984163" w:rsidRDefault="00D623BA">
            <w:pPr>
              <w:pStyle w:val="NormalWeb"/>
              <w:rPr>
                <w:sz w:val="18"/>
                <w:szCs w:val="18"/>
              </w:rPr>
            </w:pPr>
            <w:r w:rsidRPr="00984163">
              <w:rPr>
                <w:sz w:val="18"/>
                <w:szCs w:val="18"/>
              </w:rPr>
              <w:t>3 primary doses at age 6–8 weeks, 4 &amp; 6 months plus a booster at 12 months from July 2011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53A658" w14:textId="77777777" w:rsidR="00D623BA" w:rsidRPr="00984163" w:rsidRDefault="00D623BA">
            <w:pPr>
              <w:pStyle w:val="NormalWeb"/>
              <w:rPr>
                <w:sz w:val="18"/>
                <w:szCs w:val="18"/>
              </w:rPr>
            </w:pPr>
            <w:r w:rsidRPr="00984163">
              <w:rPr>
                <w:sz w:val="18"/>
                <w:szCs w:val="18"/>
              </w:rPr>
              <w:t>3 primary doses at age 6–8 weeks, 4 &amp; 6 months plus a booster at 18 months from October 2011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21781A" w14:textId="77777777" w:rsidR="00D623BA" w:rsidRPr="00984163" w:rsidRDefault="00D623BA">
            <w:pPr>
              <w:pStyle w:val="NormalWeb"/>
              <w:rPr>
                <w:sz w:val="18"/>
                <w:szCs w:val="18"/>
              </w:rPr>
            </w:pPr>
            <w:r w:rsidRPr="00984163">
              <w:rPr>
                <w:sz w:val="18"/>
                <w:szCs w:val="18"/>
              </w:rPr>
              <w:t>3 primary doses at age 6–8 weeks, 4 &amp; 6 months plus a booster at 12 months from July 2011</w:t>
            </w:r>
          </w:p>
        </w:tc>
      </w:tr>
      <w:tr w:rsidR="00D623BA" w:rsidRPr="00984163" w14:paraId="084C7454" w14:textId="77777777" w:rsidTr="00E13479">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D95805" w14:textId="77777777" w:rsidR="00D623BA" w:rsidRPr="00984163" w:rsidRDefault="00D623BA">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1285F8" w14:textId="77777777" w:rsidR="00D623BA" w:rsidRPr="00984163" w:rsidRDefault="00D623BA">
            <w:pPr>
              <w:pStyle w:val="NormalWeb"/>
              <w:rPr>
                <w:sz w:val="18"/>
                <w:szCs w:val="18"/>
              </w:rPr>
            </w:pPr>
            <w:r w:rsidRPr="00984163">
              <w:rPr>
                <w:sz w:val="18"/>
                <w:szCs w:val="18"/>
              </w:rPr>
              <w:t>Supplementary dose at age 12–35 months for those who received primary course of 7vPCV until September 2012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AA3FE0" w14:textId="77777777" w:rsidR="00D623BA" w:rsidRPr="00984163" w:rsidRDefault="00D623BA">
            <w:pPr>
              <w:pStyle w:val="NormalWeb"/>
              <w:rPr>
                <w:sz w:val="18"/>
                <w:szCs w:val="18"/>
              </w:rPr>
            </w:pPr>
            <w:r w:rsidRPr="00984163">
              <w:rPr>
                <w:sz w:val="18"/>
                <w:szCs w:val="18"/>
              </w:rPr>
              <w:t>Single dose for children at age 12–35 months who received less than 4 doses of 10vPCV or 7vPCV from October 2011 through January 2013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616AD6" w14:textId="77777777" w:rsidR="00D623BA" w:rsidRPr="00984163" w:rsidRDefault="00D623BA">
            <w:pPr>
              <w:pStyle w:val="NormalWeb"/>
              <w:rPr>
                <w:sz w:val="18"/>
                <w:szCs w:val="18"/>
              </w:rPr>
            </w:pPr>
            <w:r w:rsidRPr="00984163">
              <w:rPr>
                <w:sz w:val="18"/>
                <w:szCs w:val="18"/>
              </w:rPr>
              <w:t>Supplementary dose at age 12–35 months who received primary course of 7vPCV until September 2012</w:t>
            </w:r>
          </w:p>
        </w:tc>
      </w:tr>
      <w:tr w:rsidR="00D623BA" w:rsidRPr="00984163" w14:paraId="2FACA7F3" w14:textId="77777777" w:rsidTr="00E13479">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177329" w14:textId="77777777" w:rsidR="00D623BA" w:rsidRPr="00984163" w:rsidRDefault="00D623BA">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A9D206" w14:textId="77777777" w:rsidR="00D623BA" w:rsidRPr="00984163" w:rsidRDefault="00D623BA">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2BEAF9D6" w14:textId="77777777" w:rsidR="00D623BA" w:rsidRPr="00984163" w:rsidRDefault="00D623BA">
            <w:pPr>
              <w:pStyle w:val="NormalWeb"/>
              <w:rPr>
                <w:b/>
                <w:i/>
                <w:sz w:val="18"/>
                <w:szCs w:val="18"/>
              </w:rPr>
            </w:pPr>
            <w:r w:rsidRPr="00984163">
              <w:rPr>
                <w:b/>
                <w:i/>
                <w:sz w:val="18"/>
                <w:szCs w:val="18"/>
              </w:rPr>
              <w:t xml:space="preserve">Outbreak </w:t>
            </w:r>
            <w:proofErr w:type="gramStart"/>
            <w:r w:rsidRPr="00984163">
              <w:rPr>
                <w:b/>
                <w:i/>
                <w:sz w:val="18"/>
                <w:szCs w:val="18"/>
              </w:rPr>
              <w:t>strategy</w:t>
            </w:r>
            <w:proofErr w:type="gramEnd"/>
          </w:p>
          <w:p w14:paraId="707F4F6C" w14:textId="77777777" w:rsidR="00D623BA" w:rsidRPr="00984163" w:rsidRDefault="00D623BA">
            <w:pPr>
              <w:pStyle w:val="NormalWeb"/>
              <w:rPr>
                <w:sz w:val="18"/>
                <w:szCs w:val="18"/>
              </w:rPr>
            </w:pPr>
            <w:r w:rsidRPr="00984163">
              <w:rPr>
                <w:sz w:val="18"/>
                <w:szCs w:val="18"/>
              </w:rPr>
              <w:t>Single dose for SEROTYPE-1 IPD cases and their household contacts aged &lt; 6 or &gt; 49 years who had not previously received a SEROTYPE-1 containing conjugate pneumococcal vaccine. Given at least 12 months after any previous polysaccharide pneumococcal vaccine from November 2011 to mid-September 2012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hideMark/>
          </w:tcPr>
          <w:p w14:paraId="5F16C36A" w14:textId="77777777" w:rsidR="00D623BA" w:rsidRPr="00984163" w:rsidRDefault="00D623BA">
            <w:pPr>
              <w:pStyle w:val="NormalWeb"/>
              <w:rPr>
                <w:b/>
                <w:i/>
                <w:sz w:val="18"/>
                <w:szCs w:val="18"/>
              </w:rPr>
            </w:pPr>
            <w:r w:rsidRPr="00984163">
              <w:rPr>
                <w:b/>
                <w:i/>
                <w:sz w:val="18"/>
                <w:szCs w:val="18"/>
              </w:rPr>
              <w:t xml:space="preserve">Outbreak </w:t>
            </w:r>
            <w:proofErr w:type="gramStart"/>
            <w:r w:rsidRPr="00984163">
              <w:rPr>
                <w:b/>
                <w:i/>
                <w:sz w:val="18"/>
                <w:szCs w:val="18"/>
              </w:rPr>
              <w:t>strategy</w:t>
            </w:r>
            <w:proofErr w:type="gramEnd"/>
          </w:p>
          <w:p w14:paraId="0753A9FB" w14:textId="77777777" w:rsidR="00D623BA" w:rsidRPr="00984163" w:rsidRDefault="00D623BA">
            <w:pPr>
              <w:pStyle w:val="NormalWeb"/>
              <w:rPr>
                <w:sz w:val="18"/>
                <w:szCs w:val="18"/>
              </w:rPr>
            </w:pPr>
            <w:r w:rsidRPr="00984163">
              <w:rPr>
                <w:sz w:val="18"/>
                <w:szCs w:val="18"/>
              </w:rPr>
              <w:t>Single dose for children aged 36–59 months residing in Indigenous communities at risk</w:t>
            </w:r>
            <w:r w:rsidRPr="00816B4F">
              <w:rPr>
                <w:sz w:val="18"/>
                <w:szCs w:val="18"/>
                <w:vertAlign w:val="superscript"/>
              </w:rPr>
              <w:t>b</w:t>
            </w:r>
            <w:r w:rsidRPr="00984163">
              <w:rPr>
                <w:sz w:val="18"/>
                <w:szCs w:val="18"/>
              </w:rPr>
              <w:t xml:space="preserve"> from May to September 2012</w:t>
            </w:r>
          </w:p>
        </w:tc>
      </w:tr>
      <w:tr w:rsidR="00D623BA" w:rsidRPr="00984163" w14:paraId="766C6A94" w14:textId="77777777" w:rsidTr="00E13479">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B3DDBD" w14:textId="77777777" w:rsidR="00D623BA" w:rsidRPr="00984163" w:rsidRDefault="00D623BA">
            <w:pPr>
              <w:pStyle w:val="NormalWeb"/>
              <w:rPr>
                <w:sz w:val="18"/>
                <w:szCs w:val="18"/>
              </w:rPr>
            </w:pPr>
            <w:r w:rsidRPr="00984163">
              <w:rPr>
                <w:sz w:val="18"/>
                <w:szCs w:val="18"/>
              </w:rPr>
              <w:t>Pneumovax23® (23vPPV)</w:t>
            </w:r>
            <w:r w:rsidRPr="00A52B29">
              <w:rPr>
                <w:sz w:val="18"/>
                <w:szCs w:val="18"/>
                <w:vertAlign w:val="superscript"/>
              </w:rPr>
              <w:t>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4E4193" w14:textId="77777777" w:rsidR="00D623BA" w:rsidRPr="00984163" w:rsidRDefault="00D623BA">
            <w:pPr>
              <w:pStyle w:val="NormalWeb"/>
              <w:rPr>
                <w:sz w:val="18"/>
                <w:szCs w:val="18"/>
              </w:rPr>
            </w:pPr>
            <w:r w:rsidRPr="00984163">
              <w:rPr>
                <w:sz w:val="18"/>
                <w:szCs w:val="18"/>
              </w:rPr>
              <w:t>As a booster at age 12–18 months until end June 2011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367ACB" w14:textId="77777777" w:rsidR="00D623BA" w:rsidRPr="00984163" w:rsidRDefault="00D623BA">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11A825" w14:textId="77777777" w:rsidR="00D623BA" w:rsidRPr="00984163" w:rsidRDefault="00D623BA">
            <w:pPr>
              <w:pStyle w:val="NormalWeb"/>
              <w:rPr>
                <w:sz w:val="18"/>
                <w:szCs w:val="18"/>
              </w:rPr>
            </w:pPr>
            <w:r w:rsidRPr="00984163">
              <w:rPr>
                <w:sz w:val="18"/>
                <w:szCs w:val="18"/>
              </w:rPr>
              <w:t>As a booster at age 12–18 months until end June 2011</w:t>
            </w:r>
          </w:p>
        </w:tc>
      </w:tr>
      <w:tr w:rsidR="00D623BA" w:rsidRPr="00984163" w14:paraId="07253870" w14:textId="77777777" w:rsidTr="00E13479">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41B97C" w14:textId="77777777" w:rsidR="00D623BA" w:rsidRPr="00984163" w:rsidRDefault="00D623BA">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759E7E" w14:textId="77777777" w:rsidR="00D623BA" w:rsidRPr="00984163" w:rsidRDefault="00D623BA">
            <w:pPr>
              <w:pStyle w:val="NormalWeb"/>
              <w:rPr>
                <w:sz w:val="18"/>
                <w:szCs w:val="18"/>
              </w:rPr>
            </w:pPr>
            <w:r w:rsidRPr="00984163">
              <w:rPr>
                <w:sz w:val="18"/>
                <w:szCs w:val="18"/>
              </w:rPr>
              <w:t>At age 15–49 years for those with risk factors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4E1672" w14:textId="77777777" w:rsidR="00D623BA" w:rsidRPr="00984163" w:rsidRDefault="00D623BA">
            <w:pPr>
              <w:pStyle w:val="NormalWeb"/>
              <w:rPr>
                <w:sz w:val="18"/>
                <w:szCs w:val="18"/>
              </w:rPr>
            </w:pPr>
            <w:r w:rsidRPr="00984163">
              <w:rPr>
                <w:sz w:val="18"/>
                <w:szCs w:val="18"/>
              </w:rPr>
              <w:t>At age 15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C008F9" w14:textId="77777777" w:rsidR="00D623BA" w:rsidRPr="00984163" w:rsidRDefault="00D623BA">
            <w:pPr>
              <w:pStyle w:val="NormalWeb"/>
              <w:rPr>
                <w:sz w:val="18"/>
                <w:szCs w:val="18"/>
              </w:rPr>
            </w:pPr>
            <w:r w:rsidRPr="00984163">
              <w:rPr>
                <w:sz w:val="18"/>
                <w:szCs w:val="18"/>
              </w:rPr>
              <w:t>At age 15–49 years for those with risk factors</w:t>
            </w:r>
            <w:r w:rsidRPr="000C07CC">
              <w:rPr>
                <w:sz w:val="18"/>
                <w:szCs w:val="18"/>
                <w:vertAlign w:val="superscript"/>
              </w:rPr>
              <w:t>b</w:t>
            </w:r>
          </w:p>
        </w:tc>
      </w:tr>
      <w:tr w:rsidR="00D623BA" w:rsidRPr="00984163" w14:paraId="6318BCBE" w14:textId="77777777" w:rsidTr="00E13479">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F2DD74" w14:textId="77777777" w:rsidR="00D623BA" w:rsidRPr="00984163" w:rsidRDefault="00D623BA">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2690E5" w14:textId="77777777" w:rsidR="00D623BA" w:rsidRPr="00984163" w:rsidRDefault="00D623BA">
            <w:pPr>
              <w:pStyle w:val="NormalWeb"/>
              <w:rPr>
                <w:sz w:val="18"/>
                <w:szCs w:val="18"/>
              </w:rPr>
            </w:pPr>
            <w:r w:rsidRPr="00984163">
              <w:rPr>
                <w:sz w:val="18"/>
                <w:szCs w:val="18"/>
              </w:rPr>
              <w:t>5 years after dose 1</w:t>
            </w:r>
            <w:r w:rsidRPr="00DB7067">
              <w:rPr>
                <w:sz w:val="18"/>
                <w:szCs w:val="18"/>
                <w:vertAlign w:val="superscript"/>
              </w:rPr>
              <w:t>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916E4B" w14:textId="77777777" w:rsidR="00D623BA" w:rsidRPr="00984163" w:rsidRDefault="00D623BA">
            <w:pPr>
              <w:pStyle w:val="NormalWeb"/>
              <w:rPr>
                <w:sz w:val="18"/>
                <w:szCs w:val="18"/>
              </w:rPr>
            </w:pPr>
            <w:r w:rsidRPr="00984163">
              <w:rPr>
                <w:sz w:val="18"/>
                <w:szCs w:val="18"/>
              </w:rPr>
              <w:t>5 years after dose 1</w:t>
            </w:r>
            <w:r w:rsidRPr="00DB7067">
              <w:rPr>
                <w:sz w:val="18"/>
                <w:szCs w:val="18"/>
                <w:vertAlign w:val="superscript"/>
              </w:rPr>
              <w:t>d</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410991" w14:textId="77777777" w:rsidR="00D623BA" w:rsidRPr="00984163" w:rsidRDefault="00D623BA">
            <w:pPr>
              <w:pStyle w:val="NormalWeb"/>
              <w:rPr>
                <w:sz w:val="18"/>
                <w:szCs w:val="18"/>
              </w:rPr>
            </w:pPr>
            <w:r w:rsidRPr="00984163">
              <w:rPr>
                <w:sz w:val="18"/>
                <w:szCs w:val="18"/>
              </w:rPr>
              <w:t>5 years after dose 1</w:t>
            </w:r>
            <w:r w:rsidRPr="00C17BA6">
              <w:rPr>
                <w:sz w:val="18"/>
                <w:szCs w:val="18"/>
                <w:vertAlign w:val="superscript"/>
              </w:rPr>
              <w:t>d</w:t>
            </w:r>
          </w:p>
        </w:tc>
      </w:tr>
      <w:tr w:rsidR="00D623BA" w:rsidRPr="00984163" w14:paraId="1D6DE823" w14:textId="77777777" w:rsidTr="00E13479">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0DA049" w14:textId="77777777" w:rsidR="00D623BA" w:rsidRPr="00984163" w:rsidRDefault="00D623BA">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CAF37F" w14:textId="77777777" w:rsidR="00D623BA" w:rsidRPr="00984163" w:rsidRDefault="00D623BA">
            <w:pPr>
              <w:pStyle w:val="NormalWeb"/>
              <w:rPr>
                <w:sz w:val="18"/>
                <w:szCs w:val="18"/>
              </w:rPr>
            </w:pPr>
            <w:r w:rsidRPr="00984163">
              <w:rPr>
                <w:sz w:val="18"/>
                <w:szCs w:val="18"/>
              </w:rPr>
              <w:t>At age 50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EC4D51" w14:textId="77777777" w:rsidR="00D623BA" w:rsidRPr="00984163" w:rsidRDefault="00D623BA">
            <w:pPr>
              <w:pStyle w:val="NormalWeb"/>
              <w:rPr>
                <w:sz w:val="18"/>
                <w:szCs w:val="18"/>
              </w:rPr>
            </w:pPr>
            <w:r w:rsidRPr="00984163">
              <w:rPr>
                <w:sz w:val="18"/>
                <w:szCs w:val="18"/>
              </w:rPr>
              <w:t>At age 50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5EF1C4" w14:textId="77777777" w:rsidR="00D623BA" w:rsidRPr="00984163" w:rsidRDefault="00D623BA">
            <w:pPr>
              <w:pStyle w:val="NormalWeb"/>
              <w:rPr>
                <w:sz w:val="18"/>
                <w:szCs w:val="18"/>
              </w:rPr>
            </w:pPr>
            <w:r w:rsidRPr="00984163">
              <w:rPr>
                <w:sz w:val="18"/>
                <w:szCs w:val="18"/>
              </w:rPr>
              <w:t>At age 50 years</w:t>
            </w:r>
          </w:p>
        </w:tc>
      </w:tr>
      <w:tr w:rsidR="00D623BA" w:rsidRPr="00984163" w14:paraId="14533F7E" w14:textId="77777777" w:rsidTr="00E13479">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6F4AD4" w14:textId="77777777" w:rsidR="00D623BA" w:rsidRPr="00984163" w:rsidRDefault="00D623BA">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965EC2" w14:textId="77777777" w:rsidR="00D623BA" w:rsidRPr="00984163" w:rsidRDefault="00D623BA">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7BE3E13" w14:textId="77777777" w:rsidR="00D623BA" w:rsidRPr="00984163" w:rsidRDefault="00D623BA">
            <w:pPr>
              <w:pStyle w:val="NormalWeb"/>
              <w:rPr>
                <w:b/>
                <w:i/>
                <w:sz w:val="18"/>
                <w:szCs w:val="18"/>
              </w:rPr>
            </w:pPr>
            <w:r w:rsidRPr="00984163">
              <w:rPr>
                <w:b/>
                <w:i/>
                <w:sz w:val="18"/>
                <w:szCs w:val="18"/>
              </w:rPr>
              <w:t xml:space="preserve">Outbreak </w:t>
            </w:r>
            <w:proofErr w:type="gramStart"/>
            <w:r w:rsidRPr="00984163">
              <w:rPr>
                <w:b/>
                <w:i/>
                <w:sz w:val="18"/>
                <w:szCs w:val="18"/>
              </w:rPr>
              <w:t>strategy</w:t>
            </w:r>
            <w:proofErr w:type="gramEnd"/>
          </w:p>
          <w:p w14:paraId="686033A5" w14:textId="77777777" w:rsidR="00D623BA" w:rsidRPr="00984163" w:rsidRDefault="00E07A9A">
            <w:pPr>
              <w:pStyle w:val="NormalWeb"/>
              <w:rPr>
                <w:sz w:val="18"/>
                <w:szCs w:val="18"/>
              </w:rPr>
            </w:pPr>
            <w:r w:rsidRPr="00984163">
              <w:rPr>
                <w:sz w:val="18"/>
                <w:szCs w:val="18"/>
              </w:rPr>
              <w:t>Single dose for</w:t>
            </w:r>
            <w:r w:rsidR="00D623BA" w:rsidRPr="00984163">
              <w:rPr>
                <w:sz w:val="18"/>
                <w:szCs w:val="18"/>
              </w:rPr>
              <w:t xml:space="preserve"> SEROTYPE-1 IPD cases and all their household contacts aged 6–49 years who had not previously received a polysaccharide pneumococcal vaccine from October 2011 to mid-September 2012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AA2B7D" w14:textId="77777777" w:rsidR="00D623BA" w:rsidRPr="00984163" w:rsidRDefault="00D623BA">
            <w:pPr>
              <w:rPr>
                <w:sz w:val="18"/>
                <w:szCs w:val="18"/>
              </w:rPr>
            </w:pPr>
          </w:p>
        </w:tc>
      </w:tr>
    </w:tbl>
    <w:p w14:paraId="58B77986" w14:textId="77777777" w:rsidR="00D623BA" w:rsidRDefault="00D623BA" w:rsidP="00EA5B76">
      <w:pPr>
        <w:pStyle w:val="CDIfootnotes"/>
        <w:rPr>
          <w:sz w:val="24"/>
          <w:szCs w:val="24"/>
        </w:rPr>
      </w:pPr>
      <w:r>
        <w:t>a</w:t>
      </w:r>
      <w:r>
        <w:tab/>
        <w:t xml:space="preserve">Refer to the Australian Immunisation Handbook18 for list of risk factors where vaccination </w:t>
      </w:r>
      <w:proofErr w:type="gramStart"/>
      <w:r>
        <w:t>were</w:t>
      </w:r>
      <w:proofErr w:type="gramEnd"/>
      <w:r>
        <w:t xml:space="preserve"> recommended.</w:t>
      </w:r>
    </w:p>
    <w:p w14:paraId="11BDDEBA" w14:textId="77777777" w:rsidR="00D623BA" w:rsidRDefault="00D623BA" w:rsidP="00EA5B76">
      <w:pPr>
        <w:pStyle w:val="CDIfootnotes"/>
      </w:pPr>
      <w:r>
        <w:t>b</w:t>
      </w:r>
      <w:r>
        <w:tab/>
        <w:t xml:space="preserve">Includes all Mt Isa, Torres Strait/NPA and Cape York Health Service Districts and the communities of Yarrabah, Palm Island, Woorabinda, Boulia, Winton, </w:t>
      </w:r>
      <w:proofErr w:type="gramStart"/>
      <w:r>
        <w:t>Bedourie</w:t>
      </w:r>
      <w:proofErr w:type="gramEnd"/>
      <w:r>
        <w:t xml:space="preserve"> and Birdsville.</w:t>
      </w:r>
    </w:p>
    <w:p w14:paraId="3C163F44" w14:textId="77777777" w:rsidR="00D623BA" w:rsidRDefault="00D623BA" w:rsidP="00EA5B76">
      <w:pPr>
        <w:pStyle w:val="CDIfootnotes"/>
      </w:pPr>
      <w:r>
        <w:t>c</w:t>
      </w:r>
      <w:r>
        <w:tab/>
        <w:t xml:space="preserve">Not in routine use for children &lt; 15 years in the NT unless medically at risk, </w:t>
      </w:r>
      <w:proofErr w:type="gramStart"/>
      <w:r>
        <w:t>however</w:t>
      </w:r>
      <w:proofErr w:type="gramEnd"/>
      <w:r>
        <w:t xml:space="preserve"> was provided to Central Australian Indigenous children at 2–5 years prior to June 2001 and to all NT Indigenous children at 18 months from June 2001 to October 2009.</w:t>
      </w:r>
    </w:p>
    <w:p w14:paraId="3C85E84C" w14:textId="77777777" w:rsidR="00D623BA" w:rsidRDefault="00D623BA" w:rsidP="00EA5B76">
      <w:pPr>
        <w:pStyle w:val="CDIfootnotes"/>
      </w:pPr>
      <w:r>
        <w:t>d</w:t>
      </w:r>
      <w:r>
        <w:tab/>
        <w:t>Due to reports of increasing local side effects, the recommendation for repeat doses of 23vPPV was suspended in Australia on 25 March 2011. Revised recommendations regarding which patients should be re-vaccinated under the National Immunisation Program were provided in December 2011.</w:t>
      </w:r>
    </w:p>
    <w:p w14:paraId="782D8838" w14:textId="77777777" w:rsidR="005016B6" w:rsidRDefault="005016B6" w:rsidP="00EA5B76">
      <w:pPr>
        <w:pStyle w:val="Heading1"/>
        <w:sectPr w:rsidR="005016B6" w:rsidSect="00A30C37">
          <w:pgSz w:w="11906" w:h="16838"/>
          <w:pgMar w:top="720" w:right="720" w:bottom="1134" w:left="720" w:header="709" w:footer="284" w:gutter="0"/>
          <w:cols w:space="708"/>
          <w:titlePg/>
          <w:docGrid w:linePitch="360"/>
        </w:sectPr>
      </w:pPr>
    </w:p>
    <w:p w14:paraId="05CFB9AB" w14:textId="77777777" w:rsidR="00D623BA" w:rsidRPr="00EA5B76" w:rsidRDefault="00D623BA" w:rsidP="00EA5B76">
      <w:pPr>
        <w:pStyle w:val="Heading1"/>
      </w:pPr>
      <w:r w:rsidRPr="00EA5B76">
        <w:lastRenderedPageBreak/>
        <w:t xml:space="preserve">Results </w:t>
      </w:r>
    </w:p>
    <w:p w14:paraId="0D128933" w14:textId="77777777" w:rsidR="00D623BA" w:rsidRPr="00EA5B76" w:rsidRDefault="00D623BA" w:rsidP="00EA5B76">
      <w:pPr>
        <w:pStyle w:val="Heading2"/>
      </w:pPr>
      <w:r w:rsidRPr="00EA5B76">
        <w:t xml:space="preserve">Overview </w:t>
      </w:r>
    </w:p>
    <w:p w14:paraId="1B262639" w14:textId="77777777" w:rsidR="00BE1ADE" w:rsidRDefault="00D623BA" w:rsidP="00C91C7F">
      <w:r>
        <w:t>A total of 245 cases of serotype-1 IPD were notified in the outbreak regions. This represented a substantial increase in the percentage due to serotype-1 among all IPD in each of the three affected jurisdictions. Collectively, the percentage increased from 2.5% before the outbreak, to 17.7% during 2010–2013 prior to declining across all three jurisdictions by 2014. Almost half of the cases of IPD reported in the NT in 2011 were due to serotype-1 (Table 3).</w:t>
      </w:r>
    </w:p>
    <w:p w14:paraId="21951121" w14:textId="77777777" w:rsidR="00C91C7F" w:rsidRDefault="00AD692F" w:rsidP="00C91C7F">
      <w:r>
        <w:t>The epidemiological curve shows 2011 (weeks 29 to 81) had the highest number of cases (n = 130</w:t>
      </w:r>
      <w:r w:rsidRPr="003B3354">
        <w:rPr>
          <w:rStyle w:val="Emphasis"/>
          <w:b w:val="0"/>
        </w:rPr>
        <w:t>)</w:t>
      </w:r>
      <w:r>
        <w:t>. The geographic spread of cases is demonstrated by the stratification of cases by jurisdiction over the time period (Figure 2).</w:t>
      </w:r>
    </w:p>
    <w:p w14:paraId="6EBEF035" w14:textId="77777777" w:rsidR="00C91C7F" w:rsidRDefault="00C91C7F" w:rsidP="00C91C7F">
      <w:r>
        <w:t>The serotype-1 incidence rate was higher in the outbreak regions than in the remainder of Australia during this period, sharply rising at the commencement of the outbreak (2010) and reaching a peak in 2011 (IRR 30.70 [95% CI 20.09–48.89]), as shown in Table 4.</w:t>
      </w:r>
    </w:p>
    <w:p w14:paraId="2E121D90" w14:textId="77777777" w:rsidR="00C91C7F" w:rsidRDefault="00C91C7F" w:rsidP="00C91C7F">
      <w:r>
        <w:t xml:space="preserve">All 245 cases of serotype-1 IPD in the outbreak regions had Indigenous status recorded. Of these, 185 (75.5%) identified as Indigenous with a median age of 15 years (range 2 months to 92 years) compared to 27.5 years (range 3 to 93 years) for non-Indigenous cases. </w:t>
      </w:r>
      <w:proofErr w:type="gramStart"/>
      <w:r>
        <w:t>Overall</w:t>
      </w:r>
      <w:proofErr w:type="gramEnd"/>
      <w:r>
        <w:t xml:space="preserve"> the serotype-1 IPD rates among the non-Indigenous population were substantially lower across all ages (Figure 3).</w:t>
      </w:r>
    </w:p>
    <w:p w14:paraId="0804DDFB" w14:textId="77777777" w:rsidR="00C91C7F" w:rsidRDefault="00C91C7F" w:rsidP="00C91C7F">
      <w:pPr>
        <w:sectPr w:rsidR="00C91C7F" w:rsidSect="00A30C37">
          <w:pgSz w:w="11906" w:h="16838"/>
          <w:pgMar w:top="720" w:right="720" w:bottom="1134" w:left="720" w:header="709" w:footer="284" w:gutter="0"/>
          <w:cols w:space="708"/>
          <w:titlePg/>
          <w:docGrid w:linePitch="360"/>
        </w:sectPr>
      </w:pPr>
    </w:p>
    <w:p w14:paraId="3DC4904B" w14:textId="77777777" w:rsidR="00D623BA" w:rsidRDefault="00D623BA" w:rsidP="00222740">
      <w:pPr>
        <w:pStyle w:val="CDIFigures"/>
      </w:pPr>
      <w:r>
        <w:lastRenderedPageBreak/>
        <w:t xml:space="preserve">Table 3: Number of cases of IPD and percentage that were due to serotype-1 in the outbreak regions before, during and after the outbreak, by </w:t>
      </w:r>
      <w:proofErr w:type="gramStart"/>
      <w:r>
        <w:t>jurisdiction</w:t>
      </w:r>
      <w:proofErr w:type="gramEnd"/>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3 shows the total number of cases, the number of serotype 1 cases and the percentage that were due to serotype 1 in the outbreak regions before, during and after the outbreak for each of the three affected jurisdictions. The total number of cases excludes cases where a serotype was unknown."/>
      </w:tblPr>
      <w:tblGrid>
        <w:gridCol w:w="1985"/>
        <w:gridCol w:w="1079"/>
        <w:gridCol w:w="1080"/>
        <w:gridCol w:w="1079"/>
        <w:gridCol w:w="1080"/>
        <w:gridCol w:w="1079"/>
        <w:gridCol w:w="1080"/>
        <w:gridCol w:w="1080"/>
        <w:gridCol w:w="1079"/>
        <w:gridCol w:w="1080"/>
        <w:gridCol w:w="1079"/>
        <w:gridCol w:w="1080"/>
        <w:gridCol w:w="1080"/>
      </w:tblGrid>
      <w:tr w:rsidR="00DC3E95" w:rsidRPr="00F477C1" w14:paraId="588A8671" w14:textId="77777777" w:rsidTr="005124FF">
        <w:trPr>
          <w:cnfStyle w:val="100000000000" w:firstRow="1" w:lastRow="0" w:firstColumn="0" w:lastColumn="0" w:oddVBand="0" w:evenVBand="0" w:oddHBand="0" w:evenHBand="0" w:firstRowFirstColumn="0" w:firstRowLastColumn="0" w:lastRowFirstColumn="0" w:lastRowLastColumn="0"/>
          <w:tblHeader/>
        </w:trPr>
        <w:tc>
          <w:tcPr>
            <w:tcW w:w="1985" w:type="dxa"/>
            <w:tcBorders>
              <w:right w:val="single" w:sz="2" w:space="0" w:color="FFFFFF" w:themeColor="background1"/>
            </w:tcBorders>
            <w:hideMark/>
          </w:tcPr>
          <w:p w14:paraId="38E06A3C" w14:textId="77777777" w:rsidR="00D623BA" w:rsidRPr="00F477C1" w:rsidRDefault="00D623BA">
            <w:pPr>
              <w:rPr>
                <w:color w:val="FFFFFF" w:themeColor="background1"/>
                <w:sz w:val="18"/>
                <w:szCs w:val="18"/>
              </w:rPr>
            </w:pPr>
          </w:p>
        </w:tc>
        <w:tc>
          <w:tcPr>
            <w:tcW w:w="3238" w:type="dxa"/>
            <w:gridSpan w:val="3"/>
            <w:tcBorders>
              <w:left w:val="single" w:sz="2" w:space="0" w:color="FFFFFF" w:themeColor="background1"/>
              <w:right w:val="single" w:sz="2" w:space="0" w:color="FFFFFF" w:themeColor="background1"/>
            </w:tcBorders>
            <w:hideMark/>
          </w:tcPr>
          <w:p w14:paraId="1458433C"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Western Australia</w:t>
            </w:r>
          </w:p>
        </w:tc>
        <w:tc>
          <w:tcPr>
            <w:tcW w:w="3239" w:type="dxa"/>
            <w:gridSpan w:val="3"/>
            <w:tcBorders>
              <w:left w:val="single" w:sz="2" w:space="0" w:color="FFFFFF" w:themeColor="background1"/>
              <w:right w:val="single" w:sz="2" w:space="0" w:color="FFFFFF" w:themeColor="background1"/>
            </w:tcBorders>
            <w:hideMark/>
          </w:tcPr>
          <w:p w14:paraId="19181A8F"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Northern Territory</w:t>
            </w:r>
          </w:p>
        </w:tc>
        <w:tc>
          <w:tcPr>
            <w:tcW w:w="3239" w:type="dxa"/>
            <w:gridSpan w:val="3"/>
            <w:tcBorders>
              <w:left w:val="single" w:sz="2" w:space="0" w:color="FFFFFF" w:themeColor="background1"/>
              <w:right w:val="single" w:sz="2" w:space="0" w:color="FFFFFF" w:themeColor="background1"/>
            </w:tcBorders>
            <w:hideMark/>
          </w:tcPr>
          <w:p w14:paraId="4CBF978C"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Queensland (outbreak affected)</w:t>
            </w:r>
          </w:p>
        </w:tc>
        <w:tc>
          <w:tcPr>
            <w:tcW w:w="3239" w:type="dxa"/>
            <w:gridSpan w:val="3"/>
            <w:tcBorders>
              <w:left w:val="single" w:sz="2" w:space="0" w:color="FFFFFF" w:themeColor="background1"/>
            </w:tcBorders>
            <w:hideMark/>
          </w:tcPr>
          <w:p w14:paraId="6D25A727"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All outbreak regions combined</w:t>
            </w:r>
          </w:p>
        </w:tc>
      </w:tr>
      <w:tr w:rsidR="00282463" w:rsidRPr="00F477C1" w14:paraId="7DE4A514" w14:textId="77777777" w:rsidTr="005124FF">
        <w:trPr>
          <w:cnfStyle w:val="100000000000" w:firstRow="1" w:lastRow="0" w:firstColumn="0" w:lastColumn="0" w:oddVBand="0" w:evenVBand="0" w:oddHBand="0" w:evenHBand="0" w:firstRowFirstColumn="0" w:firstRowLastColumn="0" w:lastRowFirstColumn="0" w:lastRowLastColumn="0"/>
          <w:tblHeader/>
        </w:trPr>
        <w:tc>
          <w:tcPr>
            <w:tcW w:w="1985" w:type="dxa"/>
            <w:tcBorders>
              <w:right w:val="single" w:sz="2" w:space="0" w:color="FFFFFF" w:themeColor="background1"/>
            </w:tcBorders>
            <w:hideMark/>
          </w:tcPr>
          <w:p w14:paraId="55547FE1" w14:textId="77777777" w:rsidR="00D623BA" w:rsidRPr="00F477C1" w:rsidRDefault="00D623BA">
            <w:pPr>
              <w:pStyle w:val="NormalWeb"/>
              <w:rPr>
                <w:color w:val="FFFFFF" w:themeColor="background1"/>
                <w:sz w:val="18"/>
                <w:szCs w:val="18"/>
              </w:rPr>
            </w:pPr>
            <w:r w:rsidRPr="00F477C1">
              <w:rPr>
                <w:color w:val="FFFFFF" w:themeColor="background1"/>
                <w:sz w:val="18"/>
                <w:szCs w:val="18"/>
              </w:rPr>
              <w:t>Timespan or year</w:t>
            </w:r>
          </w:p>
        </w:tc>
        <w:tc>
          <w:tcPr>
            <w:tcW w:w="1079" w:type="dxa"/>
            <w:tcBorders>
              <w:left w:val="single" w:sz="2" w:space="0" w:color="FFFFFF" w:themeColor="background1"/>
              <w:right w:val="single" w:sz="2" w:space="0" w:color="FFFFFF" w:themeColor="background1"/>
            </w:tcBorders>
            <w:hideMark/>
          </w:tcPr>
          <w:p w14:paraId="25BACAFC"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Ser.1 IPD cases</w:t>
            </w:r>
          </w:p>
        </w:tc>
        <w:tc>
          <w:tcPr>
            <w:tcW w:w="1080" w:type="dxa"/>
            <w:tcBorders>
              <w:left w:val="single" w:sz="2" w:space="0" w:color="FFFFFF" w:themeColor="background1"/>
              <w:right w:val="single" w:sz="2" w:space="0" w:color="FFFFFF" w:themeColor="background1"/>
            </w:tcBorders>
            <w:hideMark/>
          </w:tcPr>
          <w:p w14:paraId="0A09DCC6" w14:textId="77777777" w:rsidR="00D623BA" w:rsidRPr="00F477C1" w:rsidRDefault="00D623BA" w:rsidP="00DA3980">
            <w:pPr>
              <w:pStyle w:val="NormalWeb"/>
              <w:jc w:val="center"/>
              <w:rPr>
                <w:color w:val="FFFFFF" w:themeColor="background1"/>
                <w:sz w:val="18"/>
                <w:szCs w:val="18"/>
              </w:rPr>
            </w:pPr>
            <w:r w:rsidRPr="00F477C1">
              <w:rPr>
                <w:color w:val="FFFFFF" w:themeColor="background1"/>
                <w:sz w:val="18"/>
                <w:szCs w:val="18"/>
              </w:rPr>
              <w:t>Total IPD cases</w:t>
            </w:r>
            <w:r w:rsidRPr="00DA3980">
              <w:rPr>
                <w:color w:val="FFFFFF" w:themeColor="background1"/>
                <w:sz w:val="18"/>
                <w:szCs w:val="18"/>
                <w:vertAlign w:val="superscript"/>
              </w:rPr>
              <w:t>a</w:t>
            </w:r>
          </w:p>
        </w:tc>
        <w:tc>
          <w:tcPr>
            <w:tcW w:w="1079" w:type="dxa"/>
            <w:tcBorders>
              <w:left w:val="single" w:sz="2" w:space="0" w:color="FFFFFF" w:themeColor="background1"/>
              <w:right w:val="single" w:sz="2" w:space="0" w:color="FFFFFF" w:themeColor="background1"/>
            </w:tcBorders>
            <w:hideMark/>
          </w:tcPr>
          <w:p w14:paraId="37674663"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 of cases due to serotype-1</w:t>
            </w:r>
          </w:p>
        </w:tc>
        <w:tc>
          <w:tcPr>
            <w:tcW w:w="1080" w:type="dxa"/>
            <w:tcBorders>
              <w:left w:val="single" w:sz="2" w:space="0" w:color="FFFFFF" w:themeColor="background1"/>
              <w:right w:val="single" w:sz="2" w:space="0" w:color="FFFFFF" w:themeColor="background1"/>
            </w:tcBorders>
            <w:hideMark/>
          </w:tcPr>
          <w:p w14:paraId="10040F1F"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Ser.1 IPD cases</w:t>
            </w:r>
          </w:p>
        </w:tc>
        <w:tc>
          <w:tcPr>
            <w:tcW w:w="1079" w:type="dxa"/>
            <w:tcBorders>
              <w:left w:val="single" w:sz="2" w:space="0" w:color="FFFFFF" w:themeColor="background1"/>
              <w:right w:val="single" w:sz="2" w:space="0" w:color="FFFFFF" w:themeColor="background1"/>
            </w:tcBorders>
            <w:hideMark/>
          </w:tcPr>
          <w:p w14:paraId="06C4D2DC" w14:textId="77777777" w:rsidR="00D623BA" w:rsidRPr="00F477C1" w:rsidRDefault="005C1128" w:rsidP="00420BC2">
            <w:pPr>
              <w:pStyle w:val="NormalWeb"/>
              <w:jc w:val="center"/>
              <w:rPr>
                <w:color w:val="FFFFFF" w:themeColor="background1"/>
                <w:sz w:val="18"/>
                <w:szCs w:val="18"/>
              </w:rPr>
            </w:pPr>
            <w:r>
              <w:rPr>
                <w:color w:val="FFFFFF" w:themeColor="background1"/>
                <w:sz w:val="18"/>
                <w:szCs w:val="18"/>
              </w:rPr>
              <w:t>Total</w:t>
            </w:r>
            <w:r w:rsidR="00D623BA" w:rsidRPr="005C1128">
              <w:rPr>
                <w:color w:val="FFFFFF" w:themeColor="background1"/>
                <w:sz w:val="18"/>
                <w:szCs w:val="18"/>
                <w:vertAlign w:val="superscript"/>
              </w:rPr>
              <w:t>a</w:t>
            </w:r>
            <w:r w:rsidR="00D623BA" w:rsidRPr="00F477C1">
              <w:rPr>
                <w:color w:val="FFFFFF" w:themeColor="background1"/>
                <w:sz w:val="18"/>
                <w:szCs w:val="18"/>
              </w:rPr>
              <w:t xml:space="preserve"> IPD cases</w:t>
            </w:r>
          </w:p>
        </w:tc>
        <w:tc>
          <w:tcPr>
            <w:tcW w:w="1080" w:type="dxa"/>
            <w:tcBorders>
              <w:left w:val="single" w:sz="2" w:space="0" w:color="FFFFFF" w:themeColor="background1"/>
              <w:right w:val="single" w:sz="2" w:space="0" w:color="FFFFFF" w:themeColor="background1"/>
            </w:tcBorders>
            <w:hideMark/>
          </w:tcPr>
          <w:p w14:paraId="47D9F70C"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 of cases due to serotype-1</w:t>
            </w:r>
          </w:p>
        </w:tc>
        <w:tc>
          <w:tcPr>
            <w:tcW w:w="1080" w:type="dxa"/>
            <w:tcBorders>
              <w:left w:val="single" w:sz="2" w:space="0" w:color="FFFFFF" w:themeColor="background1"/>
              <w:right w:val="single" w:sz="2" w:space="0" w:color="FFFFFF" w:themeColor="background1"/>
            </w:tcBorders>
            <w:hideMark/>
          </w:tcPr>
          <w:p w14:paraId="0FE758E2"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Ser.1 IPD cases</w:t>
            </w:r>
          </w:p>
        </w:tc>
        <w:tc>
          <w:tcPr>
            <w:tcW w:w="1079" w:type="dxa"/>
            <w:tcBorders>
              <w:left w:val="single" w:sz="2" w:space="0" w:color="FFFFFF" w:themeColor="background1"/>
              <w:right w:val="single" w:sz="2" w:space="0" w:color="FFFFFF" w:themeColor="background1"/>
            </w:tcBorders>
            <w:hideMark/>
          </w:tcPr>
          <w:p w14:paraId="3949A18E"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Total</w:t>
            </w:r>
            <w:r w:rsidRPr="00282463">
              <w:rPr>
                <w:color w:val="FFFFFF" w:themeColor="background1"/>
                <w:sz w:val="18"/>
                <w:szCs w:val="18"/>
                <w:vertAlign w:val="superscript"/>
              </w:rPr>
              <w:t>a</w:t>
            </w:r>
            <w:r w:rsidRPr="00F477C1">
              <w:rPr>
                <w:color w:val="FFFFFF" w:themeColor="background1"/>
                <w:sz w:val="18"/>
                <w:szCs w:val="18"/>
              </w:rPr>
              <w:t xml:space="preserve"> IPD cases</w:t>
            </w:r>
          </w:p>
        </w:tc>
        <w:tc>
          <w:tcPr>
            <w:tcW w:w="1080" w:type="dxa"/>
            <w:tcBorders>
              <w:left w:val="single" w:sz="2" w:space="0" w:color="FFFFFF" w:themeColor="background1"/>
              <w:right w:val="single" w:sz="2" w:space="0" w:color="FFFFFF" w:themeColor="background1"/>
            </w:tcBorders>
            <w:hideMark/>
          </w:tcPr>
          <w:p w14:paraId="58C79B0D"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 of cases due to serotype-1</w:t>
            </w:r>
          </w:p>
        </w:tc>
        <w:tc>
          <w:tcPr>
            <w:tcW w:w="1079" w:type="dxa"/>
            <w:tcBorders>
              <w:left w:val="single" w:sz="2" w:space="0" w:color="FFFFFF" w:themeColor="background1"/>
              <w:right w:val="single" w:sz="2" w:space="0" w:color="FFFFFF" w:themeColor="background1"/>
            </w:tcBorders>
            <w:hideMark/>
          </w:tcPr>
          <w:p w14:paraId="7C943316"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Ser.1 IPD cases</w:t>
            </w:r>
          </w:p>
        </w:tc>
        <w:tc>
          <w:tcPr>
            <w:tcW w:w="1080" w:type="dxa"/>
            <w:tcBorders>
              <w:left w:val="single" w:sz="2" w:space="0" w:color="FFFFFF" w:themeColor="background1"/>
              <w:right w:val="single" w:sz="2" w:space="0" w:color="FFFFFF" w:themeColor="background1"/>
            </w:tcBorders>
            <w:hideMark/>
          </w:tcPr>
          <w:p w14:paraId="5C78CC60" w14:textId="77777777" w:rsidR="00D623BA" w:rsidRPr="00F477C1" w:rsidRDefault="00D623BA" w:rsidP="003C6E8D">
            <w:pPr>
              <w:pStyle w:val="NormalWeb"/>
              <w:jc w:val="center"/>
              <w:rPr>
                <w:color w:val="FFFFFF" w:themeColor="background1"/>
                <w:sz w:val="18"/>
                <w:szCs w:val="18"/>
              </w:rPr>
            </w:pPr>
            <w:r w:rsidRPr="00F477C1">
              <w:rPr>
                <w:color w:val="FFFFFF" w:themeColor="background1"/>
                <w:sz w:val="18"/>
                <w:szCs w:val="18"/>
              </w:rPr>
              <w:t>Total</w:t>
            </w:r>
            <w:r w:rsidRPr="003C6E8D">
              <w:rPr>
                <w:color w:val="FFFFFF" w:themeColor="background1"/>
                <w:sz w:val="18"/>
                <w:szCs w:val="18"/>
                <w:vertAlign w:val="superscript"/>
              </w:rPr>
              <w:t>a</w:t>
            </w:r>
            <w:r w:rsidRPr="00F477C1">
              <w:rPr>
                <w:color w:val="FFFFFF" w:themeColor="background1"/>
                <w:sz w:val="18"/>
                <w:szCs w:val="18"/>
              </w:rPr>
              <w:t xml:space="preserve"> IPD cases</w:t>
            </w:r>
          </w:p>
        </w:tc>
        <w:tc>
          <w:tcPr>
            <w:tcW w:w="1080" w:type="dxa"/>
            <w:tcBorders>
              <w:left w:val="single" w:sz="2" w:space="0" w:color="FFFFFF" w:themeColor="background1"/>
            </w:tcBorders>
            <w:hideMark/>
          </w:tcPr>
          <w:p w14:paraId="2145629B" w14:textId="77777777" w:rsidR="00D623BA" w:rsidRPr="00F477C1" w:rsidRDefault="00D623BA" w:rsidP="00420BC2">
            <w:pPr>
              <w:pStyle w:val="NormalWeb"/>
              <w:jc w:val="center"/>
              <w:rPr>
                <w:color w:val="FFFFFF" w:themeColor="background1"/>
                <w:sz w:val="18"/>
                <w:szCs w:val="18"/>
              </w:rPr>
            </w:pPr>
            <w:r w:rsidRPr="00F477C1">
              <w:rPr>
                <w:color w:val="FFFFFF" w:themeColor="background1"/>
                <w:sz w:val="18"/>
                <w:szCs w:val="18"/>
              </w:rPr>
              <w:t>% of cases due to serotype-1</w:t>
            </w:r>
          </w:p>
        </w:tc>
      </w:tr>
      <w:tr w:rsidR="005124FF" w:rsidRPr="00F477C1" w14:paraId="21EF0C04" w14:textId="77777777" w:rsidTr="005124FF">
        <w:tc>
          <w:tcPr>
            <w:tcW w:w="1985" w:type="dxa"/>
            <w:tcBorders>
              <w:right w:val="single" w:sz="2" w:space="0" w:color="808080" w:themeColor="background1" w:themeShade="80"/>
            </w:tcBorders>
            <w:hideMark/>
          </w:tcPr>
          <w:p w14:paraId="479DE920" w14:textId="77777777" w:rsidR="00D623BA" w:rsidRPr="00F477C1" w:rsidRDefault="00D623BA">
            <w:pPr>
              <w:pStyle w:val="NormalWeb"/>
              <w:rPr>
                <w:sz w:val="18"/>
                <w:szCs w:val="18"/>
              </w:rPr>
            </w:pPr>
            <w:r w:rsidRPr="00F477C1">
              <w:rPr>
                <w:sz w:val="18"/>
                <w:szCs w:val="18"/>
              </w:rPr>
              <w:t>2003 to 2009</w:t>
            </w:r>
            <w:r w:rsidRPr="00F477C1">
              <w:rPr>
                <w:sz w:val="18"/>
                <w:szCs w:val="18"/>
              </w:rPr>
              <w:br/>
              <w:t>(Before outbreak)</w:t>
            </w:r>
          </w:p>
        </w:tc>
        <w:tc>
          <w:tcPr>
            <w:tcW w:w="1079" w:type="dxa"/>
            <w:tcBorders>
              <w:left w:val="single" w:sz="2" w:space="0" w:color="808080" w:themeColor="background1" w:themeShade="80"/>
              <w:right w:val="single" w:sz="2" w:space="0" w:color="808080" w:themeColor="background1" w:themeShade="80"/>
            </w:tcBorders>
            <w:hideMark/>
          </w:tcPr>
          <w:p w14:paraId="10054A05" w14:textId="77777777" w:rsidR="00D623BA" w:rsidRPr="00F477C1" w:rsidRDefault="00D623BA" w:rsidP="00420BC2">
            <w:pPr>
              <w:pStyle w:val="NormalWeb"/>
              <w:jc w:val="center"/>
              <w:rPr>
                <w:sz w:val="18"/>
                <w:szCs w:val="18"/>
              </w:rPr>
            </w:pPr>
            <w:r w:rsidRPr="00F477C1">
              <w:rPr>
                <w:sz w:val="18"/>
                <w:szCs w:val="18"/>
              </w:rPr>
              <w:t>13</w:t>
            </w:r>
          </w:p>
        </w:tc>
        <w:tc>
          <w:tcPr>
            <w:tcW w:w="1080" w:type="dxa"/>
            <w:tcBorders>
              <w:left w:val="single" w:sz="2" w:space="0" w:color="808080" w:themeColor="background1" w:themeShade="80"/>
              <w:right w:val="single" w:sz="2" w:space="0" w:color="808080" w:themeColor="background1" w:themeShade="80"/>
            </w:tcBorders>
            <w:hideMark/>
          </w:tcPr>
          <w:p w14:paraId="35F549AE" w14:textId="77777777" w:rsidR="00D623BA" w:rsidRPr="00F477C1" w:rsidRDefault="00D623BA" w:rsidP="00420BC2">
            <w:pPr>
              <w:pStyle w:val="NormalWeb"/>
              <w:jc w:val="center"/>
              <w:rPr>
                <w:sz w:val="18"/>
                <w:szCs w:val="18"/>
              </w:rPr>
            </w:pPr>
            <w:r w:rsidRPr="00F477C1">
              <w:rPr>
                <w:sz w:val="18"/>
                <w:szCs w:val="18"/>
              </w:rPr>
              <w:t>1</w:t>
            </w:r>
            <w:r w:rsidR="00BE1ADE">
              <w:rPr>
                <w:sz w:val="18"/>
                <w:szCs w:val="18"/>
              </w:rPr>
              <w:t>,</w:t>
            </w:r>
            <w:r w:rsidRPr="00F477C1">
              <w:rPr>
                <w:sz w:val="18"/>
                <w:szCs w:val="18"/>
              </w:rPr>
              <w:t>002</w:t>
            </w:r>
          </w:p>
        </w:tc>
        <w:tc>
          <w:tcPr>
            <w:tcW w:w="1079" w:type="dxa"/>
            <w:tcBorders>
              <w:left w:val="single" w:sz="2" w:space="0" w:color="808080" w:themeColor="background1" w:themeShade="80"/>
              <w:right w:val="single" w:sz="2" w:space="0" w:color="808080" w:themeColor="background1" w:themeShade="80"/>
            </w:tcBorders>
            <w:hideMark/>
          </w:tcPr>
          <w:p w14:paraId="1E1863F7" w14:textId="77777777" w:rsidR="00D623BA" w:rsidRPr="00F477C1" w:rsidRDefault="00D623BA" w:rsidP="00420BC2">
            <w:pPr>
              <w:pStyle w:val="NormalWeb"/>
              <w:jc w:val="center"/>
              <w:rPr>
                <w:sz w:val="18"/>
                <w:szCs w:val="18"/>
              </w:rPr>
            </w:pPr>
            <w:r w:rsidRPr="00F477C1">
              <w:rPr>
                <w:sz w:val="18"/>
                <w:szCs w:val="18"/>
              </w:rPr>
              <w:t>1.3</w:t>
            </w:r>
          </w:p>
        </w:tc>
        <w:tc>
          <w:tcPr>
            <w:tcW w:w="1080" w:type="dxa"/>
            <w:tcBorders>
              <w:left w:val="single" w:sz="2" w:space="0" w:color="808080" w:themeColor="background1" w:themeShade="80"/>
              <w:right w:val="single" w:sz="2" w:space="0" w:color="808080" w:themeColor="background1" w:themeShade="80"/>
            </w:tcBorders>
            <w:hideMark/>
          </w:tcPr>
          <w:p w14:paraId="28BFC6B6" w14:textId="77777777" w:rsidR="00D623BA" w:rsidRPr="00F477C1" w:rsidRDefault="00D623BA" w:rsidP="00420BC2">
            <w:pPr>
              <w:pStyle w:val="NormalWeb"/>
              <w:jc w:val="center"/>
              <w:rPr>
                <w:sz w:val="18"/>
                <w:szCs w:val="18"/>
              </w:rPr>
            </w:pPr>
            <w:r w:rsidRPr="00F477C1">
              <w:rPr>
                <w:sz w:val="18"/>
                <w:szCs w:val="18"/>
              </w:rPr>
              <w:t>6</w:t>
            </w:r>
          </w:p>
        </w:tc>
        <w:tc>
          <w:tcPr>
            <w:tcW w:w="1079" w:type="dxa"/>
            <w:tcBorders>
              <w:left w:val="single" w:sz="2" w:space="0" w:color="808080" w:themeColor="background1" w:themeShade="80"/>
              <w:right w:val="single" w:sz="2" w:space="0" w:color="808080" w:themeColor="background1" w:themeShade="80"/>
            </w:tcBorders>
            <w:hideMark/>
          </w:tcPr>
          <w:p w14:paraId="6036EEA2" w14:textId="77777777" w:rsidR="00D623BA" w:rsidRPr="00F477C1" w:rsidRDefault="00D623BA" w:rsidP="00420BC2">
            <w:pPr>
              <w:pStyle w:val="NormalWeb"/>
              <w:jc w:val="center"/>
              <w:rPr>
                <w:sz w:val="18"/>
                <w:szCs w:val="18"/>
              </w:rPr>
            </w:pPr>
            <w:r w:rsidRPr="00F477C1">
              <w:rPr>
                <w:sz w:val="18"/>
                <w:szCs w:val="18"/>
              </w:rPr>
              <w:t>478</w:t>
            </w:r>
          </w:p>
        </w:tc>
        <w:tc>
          <w:tcPr>
            <w:tcW w:w="1080" w:type="dxa"/>
            <w:tcBorders>
              <w:left w:val="single" w:sz="2" w:space="0" w:color="808080" w:themeColor="background1" w:themeShade="80"/>
              <w:right w:val="single" w:sz="2" w:space="0" w:color="808080" w:themeColor="background1" w:themeShade="80"/>
            </w:tcBorders>
            <w:hideMark/>
          </w:tcPr>
          <w:p w14:paraId="366DB7BC" w14:textId="77777777" w:rsidR="00D623BA" w:rsidRPr="00F477C1" w:rsidRDefault="00D623BA" w:rsidP="00420BC2">
            <w:pPr>
              <w:pStyle w:val="NormalWeb"/>
              <w:jc w:val="center"/>
              <w:rPr>
                <w:sz w:val="18"/>
                <w:szCs w:val="18"/>
              </w:rPr>
            </w:pPr>
            <w:r w:rsidRPr="00F477C1">
              <w:rPr>
                <w:sz w:val="18"/>
                <w:szCs w:val="18"/>
              </w:rPr>
              <w:t>1.3</w:t>
            </w:r>
          </w:p>
        </w:tc>
        <w:tc>
          <w:tcPr>
            <w:tcW w:w="1080" w:type="dxa"/>
            <w:tcBorders>
              <w:left w:val="single" w:sz="2" w:space="0" w:color="808080" w:themeColor="background1" w:themeShade="80"/>
              <w:right w:val="single" w:sz="2" w:space="0" w:color="808080" w:themeColor="background1" w:themeShade="80"/>
            </w:tcBorders>
            <w:hideMark/>
          </w:tcPr>
          <w:p w14:paraId="2A2E7CF1" w14:textId="77777777" w:rsidR="00D623BA" w:rsidRPr="00F477C1" w:rsidRDefault="00D623BA" w:rsidP="00420BC2">
            <w:pPr>
              <w:pStyle w:val="NormalWeb"/>
              <w:jc w:val="center"/>
              <w:rPr>
                <w:sz w:val="18"/>
                <w:szCs w:val="18"/>
              </w:rPr>
            </w:pPr>
            <w:r w:rsidRPr="00F477C1">
              <w:rPr>
                <w:sz w:val="18"/>
                <w:szCs w:val="18"/>
              </w:rPr>
              <w:t>27</w:t>
            </w:r>
          </w:p>
        </w:tc>
        <w:tc>
          <w:tcPr>
            <w:tcW w:w="1079" w:type="dxa"/>
            <w:tcBorders>
              <w:left w:val="single" w:sz="2" w:space="0" w:color="808080" w:themeColor="background1" w:themeShade="80"/>
              <w:right w:val="single" w:sz="2" w:space="0" w:color="808080" w:themeColor="background1" w:themeShade="80"/>
            </w:tcBorders>
            <w:hideMark/>
          </w:tcPr>
          <w:p w14:paraId="547BF4A1" w14:textId="77777777" w:rsidR="00D623BA" w:rsidRPr="00F477C1" w:rsidRDefault="00D623BA" w:rsidP="00420BC2">
            <w:pPr>
              <w:pStyle w:val="NormalWeb"/>
              <w:jc w:val="center"/>
              <w:rPr>
                <w:sz w:val="18"/>
                <w:szCs w:val="18"/>
              </w:rPr>
            </w:pPr>
            <w:r w:rsidRPr="00F477C1">
              <w:rPr>
                <w:sz w:val="18"/>
                <w:szCs w:val="18"/>
              </w:rPr>
              <w:t>389</w:t>
            </w:r>
          </w:p>
        </w:tc>
        <w:tc>
          <w:tcPr>
            <w:tcW w:w="1080" w:type="dxa"/>
            <w:tcBorders>
              <w:left w:val="single" w:sz="2" w:space="0" w:color="808080" w:themeColor="background1" w:themeShade="80"/>
              <w:right w:val="single" w:sz="2" w:space="0" w:color="808080" w:themeColor="background1" w:themeShade="80"/>
            </w:tcBorders>
            <w:hideMark/>
          </w:tcPr>
          <w:p w14:paraId="32649E7A" w14:textId="77777777" w:rsidR="00D623BA" w:rsidRPr="00F477C1" w:rsidRDefault="00D623BA" w:rsidP="00420BC2">
            <w:pPr>
              <w:pStyle w:val="NormalWeb"/>
              <w:jc w:val="center"/>
              <w:rPr>
                <w:sz w:val="18"/>
                <w:szCs w:val="18"/>
              </w:rPr>
            </w:pPr>
            <w:r w:rsidRPr="00F477C1">
              <w:rPr>
                <w:sz w:val="18"/>
                <w:szCs w:val="18"/>
              </w:rPr>
              <w:t>6.9</w:t>
            </w:r>
          </w:p>
        </w:tc>
        <w:tc>
          <w:tcPr>
            <w:tcW w:w="1079" w:type="dxa"/>
            <w:tcBorders>
              <w:left w:val="single" w:sz="2" w:space="0" w:color="808080" w:themeColor="background1" w:themeShade="80"/>
              <w:right w:val="single" w:sz="2" w:space="0" w:color="808080" w:themeColor="background1" w:themeShade="80"/>
            </w:tcBorders>
            <w:hideMark/>
          </w:tcPr>
          <w:p w14:paraId="59208DED" w14:textId="77777777" w:rsidR="00D623BA" w:rsidRPr="00F477C1" w:rsidRDefault="00D623BA" w:rsidP="00420BC2">
            <w:pPr>
              <w:pStyle w:val="NormalWeb"/>
              <w:jc w:val="center"/>
              <w:rPr>
                <w:sz w:val="18"/>
                <w:szCs w:val="18"/>
              </w:rPr>
            </w:pPr>
            <w:r w:rsidRPr="00F477C1">
              <w:rPr>
                <w:sz w:val="18"/>
                <w:szCs w:val="18"/>
              </w:rPr>
              <w:t>46</w:t>
            </w:r>
          </w:p>
        </w:tc>
        <w:tc>
          <w:tcPr>
            <w:tcW w:w="1080" w:type="dxa"/>
            <w:tcBorders>
              <w:left w:val="single" w:sz="2" w:space="0" w:color="808080" w:themeColor="background1" w:themeShade="80"/>
              <w:right w:val="single" w:sz="2" w:space="0" w:color="808080" w:themeColor="background1" w:themeShade="80"/>
            </w:tcBorders>
            <w:hideMark/>
          </w:tcPr>
          <w:p w14:paraId="50F1B49C" w14:textId="77777777" w:rsidR="00D623BA" w:rsidRPr="00F477C1" w:rsidRDefault="00D623BA" w:rsidP="00420BC2">
            <w:pPr>
              <w:pStyle w:val="NormalWeb"/>
              <w:jc w:val="center"/>
              <w:rPr>
                <w:sz w:val="18"/>
                <w:szCs w:val="18"/>
              </w:rPr>
            </w:pPr>
            <w:r w:rsidRPr="00F477C1">
              <w:rPr>
                <w:sz w:val="18"/>
                <w:szCs w:val="18"/>
              </w:rPr>
              <w:t>1</w:t>
            </w:r>
            <w:r w:rsidR="00BE1ADE">
              <w:rPr>
                <w:sz w:val="18"/>
                <w:szCs w:val="18"/>
              </w:rPr>
              <w:t>,</w:t>
            </w:r>
            <w:r w:rsidRPr="00F477C1">
              <w:rPr>
                <w:sz w:val="18"/>
                <w:szCs w:val="18"/>
              </w:rPr>
              <w:t>869</w:t>
            </w:r>
          </w:p>
        </w:tc>
        <w:tc>
          <w:tcPr>
            <w:tcW w:w="1080" w:type="dxa"/>
            <w:tcBorders>
              <w:left w:val="single" w:sz="2" w:space="0" w:color="808080" w:themeColor="background1" w:themeShade="80"/>
            </w:tcBorders>
            <w:hideMark/>
          </w:tcPr>
          <w:p w14:paraId="63AA93A5" w14:textId="77777777" w:rsidR="00D623BA" w:rsidRPr="00F477C1" w:rsidRDefault="00D623BA" w:rsidP="00420BC2">
            <w:pPr>
              <w:pStyle w:val="NormalWeb"/>
              <w:jc w:val="center"/>
              <w:rPr>
                <w:sz w:val="18"/>
                <w:szCs w:val="18"/>
              </w:rPr>
            </w:pPr>
            <w:r w:rsidRPr="00F477C1">
              <w:rPr>
                <w:sz w:val="18"/>
                <w:szCs w:val="18"/>
              </w:rPr>
              <w:t>2.5</w:t>
            </w:r>
          </w:p>
        </w:tc>
      </w:tr>
      <w:tr w:rsidR="005124FF" w:rsidRPr="00F477C1" w14:paraId="4BC0502E" w14:textId="77777777" w:rsidTr="005124FF">
        <w:trPr>
          <w:cnfStyle w:val="000000010000" w:firstRow="0" w:lastRow="0" w:firstColumn="0" w:lastColumn="0" w:oddVBand="0" w:evenVBand="0" w:oddHBand="0" w:evenHBand="1" w:firstRowFirstColumn="0" w:firstRowLastColumn="0" w:lastRowFirstColumn="0" w:lastRowLastColumn="0"/>
        </w:trPr>
        <w:tc>
          <w:tcPr>
            <w:tcW w:w="1985" w:type="dxa"/>
            <w:tcBorders>
              <w:right w:val="single" w:sz="2" w:space="0" w:color="808080" w:themeColor="background1" w:themeShade="80"/>
            </w:tcBorders>
            <w:hideMark/>
          </w:tcPr>
          <w:p w14:paraId="6AACBE95" w14:textId="77777777" w:rsidR="00D623BA" w:rsidRPr="00F477C1" w:rsidRDefault="00D623BA">
            <w:pPr>
              <w:pStyle w:val="NormalWeb"/>
              <w:rPr>
                <w:sz w:val="18"/>
                <w:szCs w:val="18"/>
              </w:rPr>
            </w:pPr>
            <w:r w:rsidRPr="00F477C1">
              <w:rPr>
                <w:sz w:val="18"/>
                <w:szCs w:val="18"/>
              </w:rPr>
              <w:t>2010 to 2013</w:t>
            </w:r>
            <w:r w:rsidRPr="00F477C1">
              <w:rPr>
                <w:sz w:val="18"/>
                <w:szCs w:val="18"/>
              </w:rPr>
              <w:br/>
              <w:t>(During outbreak)</w:t>
            </w:r>
          </w:p>
        </w:tc>
        <w:tc>
          <w:tcPr>
            <w:tcW w:w="1079" w:type="dxa"/>
            <w:tcBorders>
              <w:left w:val="single" w:sz="2" w:space="0" w:color="808080" w:themeColor="background1" w:themeShade="80"/>
              <w:right w:val="single" w:sz="2" w:space="0" w:color="808080" w:themeColor="background1" w:themeShade="80"/>
            </w:tcBorders>
            <w:hideMark/>
          </w:tcPr>
          <w:p w14:paraId="00183EC3" w14:textId="77777777" w:rsidR="00D623BA" w:rsidRPr="00F477C1" w:rsidRDefault="00D623BA" w:rsidP="00420BC2">
            <w:pPr>
              <w:pStyle w:val="NormalWeb"/>
              <w:jc w:val="center"/>
              <w:rPr>
                <w:sz w:val="18"/>
                <w:szCs w:val="18"/>
              </w:rPr>
            </w:pPr>
            <w:r w:rsidRPr="00F477C1">
              <w:rPr>
                <w:sz w:val="18"/>
                <w:szCs w:val="18"/>
              </w:rPr>
              <w:t>109</w:t>
            </w:r>
          </w:p>
        </w:tc>
        <w:tc>
          <w:tcPr>
            <w:tcW w:w="1080" w:type="dxa"/>
            <w:tcBorders>
              <w:left w:val="single" w:sz="2" w:space="0" w:color="808080" w:themeColor="background1" w:themeShade="80"/>
              <w:right w:val="single" w:sz="2" w:space="0" w:color="808080" w:themeColor="background1" w:themeShade="80"/>
            </w:tcBorders>
            <w:hideMark/>
          </w:tcPr>
          <w:p w14:paraId="3D2C7025" w14:textId="77777777" w:rsidR="00D623BA" w:rsidRPr="00F477C1" w:rsidRDefault="00D623BA" w:rsidP="00420BC2">
            <w:pPr>
              <w:pStyle w:val="NormalWeb"/>
              <w:jc w:val="center"/>
              <w:rPr>
                <w:sz w:val="18"/>
                <w:szCs w:val="18"/>
              </w:rPr>
            </w:pPr>
            <w:r w:rsidRPr="00F477C1">
              <w:rPr>
                <w:sz w:val="18"/>
                <w:szCs w:val="18"/>
              </w:rPr>
              <w:t>844</w:t>
            </w:r>
          </w:p>
        </w:tc>
        <w:tc>
          <w:tcPr>
            <w:tcW w:w="1079" w:type="dxa"/>
            <w:tcBorders>
              <w:left w:val="single" w:sz="2" w:space="0" w:color="808080" w:themeColor="background1" w:themeShade="80"/>
              <w:right w:val="single" w:sz="2" w:space="0" w:color="808080" w:themeColor="background1" w:themeShade="80"/>
            </w:tcBorders>
            <w:hideMark/>
          </w:tcPr>
          <w:p w14:paraId="6CD702D9" w14:textId="77777777" w:rsidR="00D623BA" w:rsidRPr="00F477C1" w:rsidRDefault="00D623BA" w:rsidP="00420BC2">
            <w:pPr>
              <w:pStyle w:val="NormalWeb"/>
              <w:jc w:val="center"/>
              <w:rPr>
                <w:sz w:val="18"/>
                <w:szCs w:val="18"/>
              </w:rPr>
            </w:pPr>
            <w:r w:rsidRPr="00F477C1">
              <w:rPr>
                <w:sz w:val="18"/>
                <w:szCs w:val="18"/>
              </w:rPr>
              <w:t>12.9</w:t>
            </w:r>
          </w:p>
        </w:tc>
        <w:tc>
          <w:tcPr>
            <w:tcW w:w="1080" w:type="dxa"/>
            <w:tcBorders>
              <w:left w:val="single" w:sz="2" w:space="0" w:color="808080" w:themeColor="background1" w:themeShade="80"/>
              <w:right w:val="single" w:sz="2" w:space="0" w:color="808080" w:themeColor="background1" w:themeShade="80"/>
            </w:tcBorders>
            <w:hideMark/>
          </w:tcPr>
          <w:p w14:paraId="0F952A48" w14:textId="77777777" w:rsidR="00D623BA" w:rsidRPr="00F477C1" w:rsidRDefault="00D623BA" w:rsidP="00420BC2">
            <w:pPr>
              <w:pStyle w:val="NormalWeb"/>
              <w:jc w:val="center"/>
              <w:rPr>
                <w:sz w:val="18"/>
                <w:szCs w:val="18"/>
              </w:rPr>
            </w:pPr>
            <w:r w:rsidRPr="00F477C1">
              <w:rPr>
                <w:sz w:val="18"/>
                <w:szCs w:val="18"/>
              </w:rPr>
              <w:t>84</w:t>
            </w:r>
          </w:p>
        </w:tc>
        <w:tc>
          <w:tcPr>
            <w:tcW w:w="1079" w:type="dxa"/>
            <w:tcBorders>
              <w:left w:val="single" w:sz="2" w:space="0" w:color="808080" w:themeColor="background1" w:themeShade="80"/>
              <w:right w:val="single" w:sz="2" w:space="0" w:color="808080" w:themeColor="background1" w:themeShade="80"/>
            </w:tcBorders>
            <w:hideMark/>
          </w:tcPr>
          <w:p w14:paraId="6883D1EA" w14:textId="77777777" w:rsidR="00D623BA" w:rsidRPr="00F477C1" w:rsidRDefault="00D623BA" w:rsidP="00420BC2">
            <w:pPr>
              <w:pStyle w:val="NormalWeb"/>
              <w:jc w:val="center"/>
              <w:rPr>
                <w:sz w:val="18"/>
                <w:szCs w:val="18"/>
              </w:rPr>
            </w:pPr>
            <w:r w:rsidRPr="00F477C1">
              <w:rPr>
                <w:sz w:val="18"/>
                <w:szCs w:val="18"/>
              </w:rPr>
              <w:t>311</w:t>
            </w:r>
          </w:p>
        </w:tc>
        <w:tc>
          <w:tcPr>
            <w:tcW w:w="1080" w:type="dxa"/>
            <w:tcBorders>
              <w:left w:val="single" w:sz="2" w:space="0" w:color="808080" w:themeColor="background1" w:themeShade="80"/>
              <w:right w:val="single" w:sz="2" w:space="0" w:color="808080" w:themeColor="background1" w:themeShade="80"/>
            </w:tcBorders>
            <w:hideMark/>
          </w:tcPr>
          <w:p w14:paraId="2418DBF8" w14:textId="77777777" w:rsidR="00D623BA" w:rsidRPr="00F477C1" w:rsidRDefault="00D623BA" w:rsidP="00420BC2">
            <w:pPr>
              <w:pStyle w:val="NormalWeb"/>
              <w:jc w:val="center"/>
              <w:rPr>
                <w:sz w:val="18"/>
                <w:szCs w:val="18"/>
              </w:rPr>
            </w:pPr>
            <w:r w:rsidRPr="00F477C1">
              <w:rPr>
                <w:sz w:val="18"/>
                <w:szCs w:val="18"/>
              </w:rPr>
              <w:t>27.0</w:t>
            </w:r>
          </w:p>
        </w:tc>
        <w:tc>
          <w:tcPr>
            <w:tcW w:w="1080" w:type="dxa"/>
            <w:tcBorders>
              <w:left w:val="single" w:sz="2" w:space="0" w:color="808080" w:themeColor="background1" w:themeShade="80"/>
              <w:right w:val="single" w:sz="2" w:space="0" w:color="808080" w:themeColor="background1" w:themeShade="80"/>
            </w:tcBorders>
            <w:hideMark/>
          </w:tcPr>
          <w:p w14:paraId="68BB8A64" w14:textId="77777777" w:rsidR="00D623BA" w:rsidRPr="00F477C1" w:rsidRDefault="00D623BA" w:rsidP="00420BC2">
            <w:pPr>
              <w:pStyle w:val="NormalWeb"/>
              <w:jc w:val="center"/>
              <w:rPr>
                <w:sz w:val="18"/>
                <w:szCs w:val="18"/>
              </w:rPr>
            </w:pPr>
            <w:r w:rsidRPr="00F477C1">
              <w:rPr>
                <w:sz w:val="18"/>
                <w:szCs w:val="18"/>
              </w:rPr>
              <w:t>52</w:t>
            </w:r>
          </w:p>
        </w:tc>
        <w:tc>
          <w:tcPr>
            <w:tcW w:w="1079" w:type="dxa"/>
            <w:tcBorders>
              <w:left w:val="single" w:sz="2" w:space="0" w:color="808080" w:themeColor="background1" w:themeShade="80"/>
              <w:right w:val="single" w:sz="2" w:space="0" w:color="808080" w:themeColor="background1" w:themeShade="80"/>
            </w:tcBorders>
            <w:hideMark/>
          </w:tcPr>
          <w:p w14:paraId="7DB8FB3C" w14:textId="77777777" w:rsidR="00D623BA" w:rsidRPr="00F477C1" w:rsidRDefault="00D623BA" w:rsidP="00420BC2">
            <w:pPr>
              <w:pStyle w:val="NormalWeb"/>
              <w:jc w:val="center"/>
              <w:rPr>
                <w:sz w:val="18"/>
                <w:szCs w:val="18"/>
              </w:rPr>
            </w:pPr>
            <w:r w:rsidRPr="00F477C1">
              <w:rPr>
                <w:sz w:val="18"/>
                <w:szCs w:val="18"/>
              </w:rPr>
              <w:t>230</w:t>
            </w:r>
          </w:p>
        </w:tc>
        <w:tc>
          <w:tcPr>
            <w:tcW w:w="1080" w:type="dxa"/>
            <w:tcBorders>
              <w:left w:val="single" w:sz="2" w:space="0" w:color="808080" w:themeColor="background1" w:themeShade="80"/>
              <w:right w:val="single" w:sz="2" w:space="0" w:color="808080" w:themeColor="background1" w:themeShade="80"/>
            </w:tcBorders>
            <w:hideMark/>
          </w:tcPr>
          <w:p w14:paraId="3C8B35FE" w14:textId="77777777" w:rsidR="00D623BA" w:rsidRPr="00F477C1" w:rsidRDefault="00D623BA" w:rsidP="00420BC2">
            <w:pPr>
              <w:pStyle w:val="NormalWeb"/>
              <w:jc w:val="center"/>
              <w:rPr>
                <w:sz w:val="18"/>
                <w:szCs w:val="18"/>
              </w:rPr>
            </w:pPr>
            <w:r w:rsidRPr="00F477C1">
              <w:rPr>
                <w:sz w:val="18"/>
                <w:szCs w:val="18"/>
              </w:rPr>
              <w:t>22.6</w:t>
            </w:r>
          </w:p>
        </w:tc>
        <w:tc>
          <w:tcPr>
            <w:tcW w:w="1079" w:type="dxa"/>
            <w:tcBorders>
              <w:left w:val="single" w:sz="2" w:space="0" w:color="808080" w:themeColor="background1" w:themeShade="80"/>
              <w:right w:val="single" w:sz="2" w:space="0" w:color="808080" w:themeColor="background1" w:themeShade="80"/>
            </w:tcBorders>
            <w:hideMark/>
          </w:tcPr>
          <w:p w14:paraId="43A31B3A" w14:textId="77777777" w:rsidR="00D623BA" w:rsidRPr="00F477C1" w:rsidRDefault="00D623BA" w:rsidP="00420BC2">
            <w:pPr>
              <w:pStyle w:val="NormalWeb"/>
              <w:jc w:val="center"/>
              <w:rPr>
                <w:sz w:val="18"/>
                <w:szCs w:val="18"/>
              </w:rPr>
            </w:pPr>
            <w:r w:rsidRPr="00F477C1">
              <w:rPr>
                <w:sz w:val="18"/>
                <w:szCs w:val="18"/>
              </w:rPr>
              <w:t>245</w:t>
            </w:r>
          </w:p>
        </w:tc>
        <w:tc>
          <w:tcPr>
            <w:tcW w:w="1080" w:type="dxa"/>
            <w:tcBorders>
              <w:left w:val="single" w:sz="2" w:space="0" w:color="808080" w:themeColor="background1" w:themeShade="80"/>
              <w:right w:val="single" w:sz="2" w:space="0" w:color="808080" w:themeColor="background1" w:themeShade="80"/>
            </w:tcBorders>
            <w:hideMark/>
          </w:tcPr>
          <w:p w14:paraId="6358649F" w14:textId="77777777" w:rsidR="00D623BA" w:rsidRPr="00F477C1" w:rsidRDefault="00D623BA" w:rsidP="00420BC2">
            <w:pPr>
              <w:pStyle w:val="NormalWeb"/>
              <w:jc w:val="center"/>
              <w:rPr>
                <w:sz w:val="18"/>
                <w:szCs w:val="18"/>
              </w:rPr>
            </w:pPr>
            <w:r w:rsidRPr="00F477C1">
              <w:rPr>
                <w:sz w:val="18"/>
                <w:szCs w:val="18"/>
              </w:rPr>
              <w:t>1</w:t>
            </w:r>
            <w:r w:rsidR="00BE1ADE">
              <w:rPr>
                <w:sz w:val="18"/>
                <w:szCs w:val="18"/>
              </w:rPr>
              <w:t>,</w:t>
            </w:r>
            <w:r w:rsidRPr="00F477C1">
              <w:rPr>
                <w:sz w:val="18"/>
                <w:szCs w:val="18"/>
              </w:rPr>
              <w:t>385</w:t>
            </w:r>
          </w:p>
        </w:tc>
        <w:tc>
          <w:tcPr>
            <w:tcW w:w="1080" w:type="dxa"/>
            <w:tcBorders>
              <w:left w:val="single" w:sz="2" w:space="0" w:color="808080" w:themeColor="background1" w:themeShade="80"/>
            </w:tcBorders>
            <w:hideMark/>
          </w:tcPr>
          <w:p w14:paraId="51191ED2" w14:textId="77777777" w:rsidR="00D623BA" w:rsidRPr="00F477C1" w:rsidRDefault="00D623BA" w:rsidP="00420BC2">
            <w:pPr>
              <w:pStyle w:val="NormalWeb"/>
              <w:jc w:val="center"/>
              <w:rPr>
                <w:sz w:val="18"/>
                <w:szCs w:val="18"/>
              </w:rPr>
            </w:pPr>
            <w:r w:rsidRPr="00F477C1">
              <w:rPr>
                <w:sz w:val="18"/>
                <w:szCs w:val="18"/>
              </w:rPr>
              <w:t>17.7</w:t>
            </w:r>
          </w:p>
        </w:tc>
      </w:tr>
      <w:tr w:rsidR="005124FF" w:rsidRPr="00F477C1" w14:paraId="1DBC1691" w14:textId="77777777" w:rsidTr="005124FF">
        <w:tc>
          <w:tcPr>
            <w:tcW w:w="1985" w:type="dxa"/>
            <w:tcBorders>
              <w:right w:val="single" w:sz="2" w:space="0" w:color="808080" w:themeColor="background1" w:themeShade="80"/>
            </w:tcBorders>
            <w:hideMark/>
          </w:tcPr>
          <w:p w14:paraId="2BD0D226" w14:textId="77777777" w:rsidR="00D623BA" w:rsidRPr="00F477C1" w:rsidRDefault="00D623BA">
            <w:pPr>
              <w:pStyle w:val="NormalWeb"/>
              <w:rPr>
                <w:sz w:val="18"/>
                <w:szCs w:val="18"/>
              </w:rPr>
            </w:pPr>
            <w:r w:rsidRPr="00F477C1">
              <w:rPr>
                <w:sz w:val="18"/>
                <w:szCs w:val="18"/>
              </w:rPr>
              <w:t>2010</w:t>
            </w:r>
          </w:p>
        </w:tc>
        <w:tc>
          <w:tcPr>
            <w:tcW w:w="1079" w:type="dxa"/>
            <w:tcBorders>
              <w:left w:val="single" w:sz="2" w:space="0" w:color="808080" w:themeColor="background1" w:themeShade="80"/>
              <w:right w:val="single" w:sz="2" w:space="0" w:color="808080" w:themeColor="background1" w:themeShade="80"/>
            </w:tcBorders>
            <w:hideMark/>
          </w:tcPr>
          <w:p w14:paraId="051AC2B1" w14:textId="77777777" w:rsidR="00D623BA" w:rsidRPr="00F477C1" w:rsidRDefault="00D623BA" w:rsidP="00420BC2">
            <w:pPr>
              <w:pStyle w:val="NormalWeb"/>
              <w:jc w:val="center"/>
              <w:rPr>
                <w:sz w:val="18"/>
                <w:szCs w:val="18"/>
              </w:rPr>
            </w:pPr>
            <w:r w:rsidRPr="00F477C1">
              <w:rPr>
                <w:sz w:val="18"/>
                <w:szCs w:val="18"/>
              </w:rPr>
              <w:t>21</w:t>
            </w:r>
          </w:p>
        </w:tc>
        <w:tc>
          <w:tcPr>
            <w:tcW w:w="1080" w:type="dxa"/>
            <w:tcBorders>
              <w:left w:val="single" w:sz="2" w:space="0" w:color="808080" w:themeColor="background1" w:themeShade="80"/>
              <w:right w:val="single" w:sz="2" w:space="0" w:color="808080" w:themeColor="background1" w:themeShade="80"/>
            </w:tcBorders>
            <w:hideMark/>
          </w:tcPr>
          <w:p w14:paraId="6EABAD55" w14:textId="77777777" w:rsidR="00D623BA" w:rsidRPr="00F477C1" w:rsidRDefault="00D623BA" w:rsidP="00420BC2">
            <w:pPr>
              <w:pStyle w:val="NormalWeb"/>
              <w:jc w:val="center"/>
              <w:rPr>
                <w:sz w:val="18"/>
                <w:szCs w:val="18"/>
              </w:rPr>
            </w:pPr>
            <w:r w:rsidRPr="00F477C1">
              <w:rPr>
                <w:sz w:val="18"/>
                <w:szCs w:val="18"/>
              </w:rPr>
              <w:t>188</w:t>
            </w:r>
          </w:p>
        </w:tc>
        <w:tc>
          <w:tcPr>
            <w:tcW w:w="1079" w:type="dxa"/>
            <w:tcBorders>
              <w:left w:val="single" w:sz="2" w:space="0" w:color="808080" w:themeColor="background1" w:themeShade="80"/>
              <w:right w:val="single" w:sz="2" w:space="0" w:color="808080" w:themeColor="background1" w:themeShade="80"/>
            </w:tcBorders>
            <w:hideMark/>
          </w:tcPr>
          <w:p w14:paraId="4B257616" w14:textId="77777777" w:rsidR="00D623BA" w:rsidRPr="00F477C1" w:rsidRDefault="00D623BA" w:rsidP="00420BC2">
            <w:pPr>
              <w:pStyle w:val="NormalWeb"/>
              <w:jc w:val="center"/>
              <w:rPr>
                <w:sz w:val="18"/>
                <w:szCs w:val="18"/>
              </w:rPr>
            </w:pPr>
            <w:r w:rsidRPr="00F477C1">
              <w:rPr>
                <w:sz w:val="18"/>
                <w:szCs w:val="18"/>
              </w:rPr>
              <w:t>11.2</w:t>
            </w:r>
          </w:p>
        </w:tc>
        <w:tc>
          <w:tcPr>
            <w:tcW w:w="1080" w:type="dxa"/>
            <w:tcBorders>
              <w:left w:val="single" w:sz="2" w:space="0" w:color="808080" w:themeColor="background1" w:themeShade="80"/>
              <w:right w:val="single" w:sz="2" w:space="0" w:color="808080" w:themeColor="background1" w:themeShade="80"/>
            </w:tcBorders>
            <w:hideMark/>
          </w:tcPr>
          <w:p w14:paraId="77300C85" w14:textId="77777777" w:rsidR="00D623BA" w:rsidRPr="00F477C1" w:rsidRDefault="00D623BA" w:rsidP="00420BC2">
            <w:pPr>
              <w:pStyle w:val="NormalWeb"/>
              <w:jc w:val="center"/>
              <w:rPr>
                <w:sz w:val="18"/>
                <w:szCs w:val="18"/>
              </w:rPr>
            </w:pPr>
            <w:r w:rsidRPr="00F477C1">
              <w:rPr>
                <w:sz w:val="18"/>
                <w:szCs w:val="18"/>
              </w:rPr>
              <w:t>6</w:t>
            </w:r>
          </w:p>
        </w:tc>
        <w:tc>
          <w:tcPr>
            <w:tcW w:w="1079" w:type="dxa"/>
            <w:tcBorders>
              <w:left w:val="single" w:sz="2" w:space="0" w:color="808080" w:themeColor="background1" w:themeShade="80"/>
              <w:right w:val="single" w:sz="2" w:space="0" w:color="808080" w:themeColor="background1" w:themeShade="80"/>
            </w:tcBorders>
            <w:hideMark/>
          </w:tcPr>
          <w:p w14:paraId="095D450D" w14:textId="77777777" w:rsidR="00D623BA" w:rsidRPr="00F477C1" w:rsidRDefault="00D623BA" w:rsidP="00420BC2">
            <w:pPr>
              <w:pStyle w:val="NormalWeb"/>
              <w:jc w:val="center"/>
              <w:rPr>
                <w:sz w:val="18"/>
                <w:szCs w:val="18"/>
              </w:rPr>
            </w:pPr>
            <w:r w:rsidRPr="00F477C1">
              <w:rPr>
                <w:sz w:val="18"/>
                <w:szCs w:val="18"/>
              </w:rPr>
              <w:t>55</w:t>
            </w:r>
          </w:p>
        </w:tc>
        <w:tc>
          <w:tcPr>
            <w:tcW w:w="1080" w:type="dxa"/>
            <w:tcBorders>
              <w:left w:val="single" w:sz="2" w:space="0" w:color="808080" w:themeColor="background1" w:themeShade="80"/>
              <w:right w:val="single" w:sz="2" w:space="0" w:color="808080" w:themeColor="background1" w:themeShade="80"/>
            </w:tcBorders>
            <w:hideMark/>
          </w:tcPr>
          <w:p w14:paraId="5A2ECB94" w14:textId="77777777" w:rsidR="00D623BA" w:rsidRPr="00F477C1" w:rsidRDefault="00D623BA" w:rsidP="00420BC2">
            <w:pPr>
              <w:pStyle w:val="NormalWeb"/>
              <w:jc w:val="center"/>
              <w:rPr>
                <w:sz w:val="18"/>
                <w:szCs w:val="18"/>
              </w:rPr>
            </w:pPr>
            <w:r w:rsidRPr="00F477C1">
              <w:rPr>
                <w:sz w:val="18"/>
                <w:szCs w:val="18"/>
              </w:rPr>
              <w:t>10.9</w:t>
            </w:r>
          </w:p>
        </w:tc>
        <w:tc>
          <w:tcPr>
            <w:tcW w:w="1080" w:type="dxa"/>
            <w:tcBorders>
              <w:left w:val="single" w:sz="2" w:space="0" w:color="808080" w:themeColor="background1" w:themeShade="80"/>
              <w:right w:val="single" w:sz="2" w:space="0" w:color="808080" w:themeColor="background1" w:themeShade="80"/>
            </w:tcBorders>
            <w:hideMark/>
          </w:tcPr>
          <w:p w14:paraId="5044CE06" w14:textId="77777777" w:rsidR="00D623BA" w:rsidRPr="00F477C1" w:rsidRDefault="00D623BA" w:rsidP="00420BC2">
            <w:pPr>
              <w:pStyle w:val="NormalWeb"/>
              <w:jc w:val="center"/>
              <w:rPr>
                <w:sz w:val="18"/>
                <w:szCs w:val="18"/>
              </w:rPr>
            </w:pPr>
            <w:r w:rsidRPr="00F477C1">
              <w:rPr>
                <w:sz w:val="18"/>
                <w:szCs w:val="18"/>
              </w:rPr>
              <w:t>1</w:t>
            </w:r>
          </w:p>
        </w:tc>
        <w:tc>
          <w:tcPr>
            <w:tcW w:w="1079" w:type="dxa"/>
            <w:tcBorders>
              <w:left w:val="single" w:sz="2" w:space="0" w:color="808080" w:themeColor="background1" w:themeShade="80"/>
              <w:right w:val="single" w:sz="2" w:space="0" w:color="808080" w:themeColor="background1" w:themeShade="80"/>
            </w:tcBorders>
            <w:hideMark/>
          </w:tcPr>
          <w:p w14:paraId="7AA08D2D" w14:textId="77777777" w:rsidR="00D623BA" w:rsidRPr="00F477C1" w:rsidRDefault="00D623BA" w:rsidP="00420BC2">
            <w:pPr>
              <w:pStyle w:val="NormalWeb"/>
              <w:jc w:val="center"/>
              <w:rPr>
                <w:sz w:val="18"/>
                <w:szCs w:val="18"/>
              </w:rPr>
            </w:pPr>
            <w:r w:rsidRPr="00F477C1">
              <w:rPr>
                <w:sz w:val="18"/>
                <w:szCs w:val="18"/>
              </w:rPr>
              <w:t>40</w:t>
            </w:r>
          </w:p>
        </w:tc>
        <w:tc>
          <w:tcPr>
            <w:tcW w:w="1080" w:type="dxa"/>
            <w:tcBorders>
              <w:left w:val="single" w:sz="2" w:space="0" w:color="808080" w:themeColor="background1" w:themeShade="80"/>
              <w:right w:val="single" w:sz="2" w:space="0" w:color="808080" w:themeColor="background1" w:themeShade="80"/>
            </w:tcBorders>
            <w:hideMark/>
          </w:tcPr>
          <w:p w14:paraId="7C54DEBF" w14:textId="77777777" w:rsidR="00D623BA" w:rsidRPr="00F477C1" w:rsidRDefault="00D623BA" w:rsidP="00420BC2">
            <w:pPr>
              <w:pStyle w:val="NormalWeb"/>
              <w:jc w:val="center"/>
              <w:rPr>
                <w:sz w:val="18"/>
                <w:szCs w:val="18"/>
              </w:rPr>
            </w:pPr>
            <w:r w:rsidRPr="00F477C1">
              <w:rPr>
                <w:sz w:val="18"/>
                <w:szCs w:val="18"/>
              </w:rPr>
              <w:t>2.5</w:t>
            </w:r>
          </w:p>
        </w:tc>
        <w:tc>
          <w:tcPr>
            <w:tcW w:w="1079" w:type="dxa"/>
            <w:tcBorders>
              <w:left w:val="single" w:sz="2" w:space="0" w:color="808080" w:themeColor="background1" w:themeShade="80"/>
              <w:right w:val="single" w:sz="2" w:space="0" w:color="808080" w:themeColor="background1" w:themeShade="80"/>
            </w:tcBorders>
            <w:hideMark/>
          </w:tcPr>
          <w:p w14:paraId="5EF238B3" w14:textId="77777777" w:rsidR="00D623BA" w:rsidRPr="00F477C1" w:rsidRDefault="00D623BA" w:rsidP="00420BC2">
            <w:pPr>
              <w:pStyle w:val="NormalWeb"/>
              <w:jc w:val="center"/>
              <w:rPr>
                <w:sz w:val="18"/>
                <w:szCs w:val="18"/>
              </w:rPr>
            </w:pPr>
            <w:r w:rsidRPr="00F477C1">
              <w:rPr>
                <w:sz w:val="18"/>
                <w:szCs w:val="18"/>
              </w:rPr>
              <w:t>28</w:t>
            </w:r>
          </w:p>
        </w:tc>
        <w:tc>
          <w:tcPr>
            <w:tcW w:w="1080" w:type="dxa"/>
            <w:tcBorders>
              <w:left w:val="single" w:sz="2" w:space="0" w:color="808080" w:themeColor="background1" w:themeShade="80"/>
              <w:right w:val="single" w:sz="2" w:space="0" w:color="808080" w:themeColor="background1" w:themeShade="80"/>
            </w:tcBorders>
            <w:hideMark/>
          </w:tcPr>
          <w:p w14:paraId="0D7619DA" w14:textId="77777777" w:rsidR="00D623BA" w:rsidRPr="00F477C1" w:rsidRDefault="00D623BA" w:rsidP="00420BC2">
            <w:pPr>
              <w:pStyle w:val="NormalWeb"/>
              <w:jc w:val="center"/>
              <w:rPr>
                <w:sz w:val="18"/>
                <w:szCs w:val="18"/>
              </w:rPr>
            </w:pPr>
            <w:r w:rsidRPr="00F477C1">
              <w:rPr>
                <w:sz w:val="18"/>
                <w:szCs w:val="18"/>
              </w:rPr>
              <w:t>283</w:t>
            </w:r>
          </w:p>
        </w:tc>
        <w:tc>
          <w:tcPr>
            <w:tcW w:w="1080" w:type="dxa"/>
            <w:tcBorders>
              <w:left w:val="single" w:sz="2" w:space="0" w:color="808080" w:themeColor="background1" w:themeShade="80"/>
            </w:tcBorders>
            <w:hideMark/>
          </w:tcPr>
          <w:p w14:paraId="06CA661D" w14:textId="77777777" w:rsidR="00D623BA" w:rsidRPr="00F477C1" w:rsidRDefault="00D623BA" w:rsidP="00420BC2">
            <w:pPr>
              <w:pStyle w:val="NormalWeb"/>
              <w:jc w:val="center"/>
              <w:rPr>
                <w:sz w:val="18"/>
                <w:szCs w:val="18"/>
              </w:rPr>
            </w:pPr>
            <w:r w:rsidRPr="00F477C1">
              <w:rPr>
                <w:sz w:val="18"/>
                <w:szCs w:val="18"/>
              </w:rPr>
              <w:t>9.9</w:t>
            </w:r>
          </w:p>
        </w:tc>
      </w:tr>
      <w:tr w:rsidR="005124FF" w:rsidRPr="00F477C1" w14:paraId="6D2D92D9" w14:textId="77777777" w:rsidTr="005124FF">
        <w:trPr>
          <w:cnfStyle w:val="000000010000" w:firstRow="0" w:lastRow="0" w:firstColumn="0" w:lastColumn="0" w:oddVBand="0" w:evenVBand="0" w:oddHBand="0" w:evenHBand="1" w:firstRowFirstColumn="0" w:firstRowLastColumn="0" w:lastRowFirstColumn="0" w:lastRowLastColumn="0"/>
        </w:trPr>
        <w:tc>
          <w:tcPr>
            <w:tcW w:w="1985" w:type="dxa"/>
            <w:tcBorders>
              <w:right w:val="single" w:sz="2" w:space="0" w:color="808080" w:themeColor="background1" w:themeShade="80"/>
            </w:tcBorders>
            <w:hideMark/>
          </w:tcPr>
          <w:p w14:paraId="53BA7CB6" w14:textId="77777777" w:rsidR="00D623BA" w:rsidRPr="00F477C1" w:rsidRDefault="00D623BA">
            <w:pPr>
              <w:pStyle w:val="NormalWeb"/>
              <w:rPr>
                <w:sz w:val="18"/>
                <w:szCs w:val="18"/>
              </w:rPr>
            </w:pPr>
            <w:r w:rsidRPr="00F477C1">
              <w:rPr>
                <w:sz w:val="18"/>
                <w:szCs w:val="18"/>
              </w:rPr>
              <w:t>2011</w:t>
            </w:r>
          </w:p>
        </w:tc>
        <w:tc>
          <w:tcPr>
            <w:tcW w:w="1079" w:type="dxa"/>
            <w:tcBorders>
              <w:left w:val="single" w:sz="2" w:space="0" w:color="808080" w:themeColor="background1" w:themeShade="80"/>
              <w:right w:val="single" w:sz="2" w:space="0" w:color="808080" w:themeColor="background1" w:themeShade="80"/>
            </w:tcBorders>
            <w:hideMark/>
          </w:tcPr>
          <w:p w14:paraId="344F2943" w14:textId="77777777" w:rsidR="00D623BA" w:rsidRPr="00F477C1" w:rsidRDefault="00D623BA" w:rsidP="00420BC2">
            <w:pPr>
              <w:pStyle w:val="NormalWeb"/>
              <w:jc w:val="center"/>
              <w:rPr>
                <w:sz w:val="18"/>
                <w:szCs w:val="18"/>
              </w:rPr>
            </w:pPr>
            <w:r w:rsidRPr="00F477C1">
              <w:rPr>
                <w:sz w:val="18"/>
                <w:szCs w:val="18"/>
              </w:rPr>
              <w:t>56</w:t>
            </w:r>
          </w:p>
        </w:tc>
        <w:tc>
          <w:tcPr>
            <w:tcW w:w="1080" w:type="dxa"/>
            <w:tcBorders>
              <w:left w:val="single" w:sz="2" w:space="0" w:color="808080" w:themeColor="background1" w:themeShade="80"/>
              <w:right w:val="single" w:sz="2" w:space="0" w:color="808080" w:themeColor="background1" w:themeShade="80"/>
            </w:tcBorders>
            <w:hideMark/>
          </w:tcPr>
          <w:p w14:paraId="5BEEAC55" w14:textId="77777777" w:rsidR="00D623BA" w:rsidRPr="00F477C1" w:rsidRDefault="00D623BA" w:rsidP="00420BC2">
            <w:pPr>
              <w:pStyle w:val="NormalWeb"/>
              <w:jc w:val="center"/>
              <w:rPr>
                <w:sz w:val="18"/>
                <w:szCs w:val="18"/>
              </w:rPr>
            </w:pPr>
            <w:r w:rsidRPr="00F477C1">
              <w:rPr>
                <w:sz w:val="18"/>
                <w:szCs w:val="18"/>
              </w:rPr>
              <w:t>237</w:t>
            </w:r>
          </w:p>
        </w:tc>
        <w:tc>
          <w:tcPr>
            <w:tcW w:w="1079" w:type="dxa"/>
            <w:tcBorders>
              <w:left w:val="single" w:sz="2" w:space="0" w:color="808080" w:themeColor="background1" w:themeShade="80"/>
              <w:right w:val="single" w:sz="2" w:space="0" w:color="808080" w:themeColor="background1" w:themeShade="80"/>
            </w:tcBorders>
            <w:hideMark/>
          </w:tcPr>
          <w:p w14:paraId="6E560D2C" w14:textId="77777777" w:rsidR="00D623BA" w:rsidRPr="00F477C1" w:rsidRDefault="00D623BA" w:rsidP="00420BC2">
            <w:pPr>
              <w:pStyle w:val="NormalWeb"/>
              <w:jc w:val="center"/>
              <w:rPr>
                <w:sz w:val="18"/>
                <w:szCs w:val="18"/>
              </w:rPr>
            </w:pPr>
            <w:r w:rsidRPr="00F477C1">
              <w:rPr>
                <w:sz w:val="18"/>
                <w:szCs w:val="18"/>
              </w:rPr>
              <w:t>23.6</w:t>
            </w:r>
          </w:p>
        </w:tc>
        <w:tc>
          <w:tcPr>
            <w:tcW w:w="1080" w:type="dxa"/>
            <w:tcBorders>
              <w:left w:val="single" w:sz="2" w:space="0" w:color="808080" w:themeColor="background1" w:themeShade="80"/>
              <w:right w:val="single" w:sz="2" w:space="0" w:color="808080" w:themeColor="background1" w:themeShade="80"/>
            </w:tcBorders>
            <w:hideMark/>
          </w:tcPr>
          <w:p w14:paraId="76443815" w14:textId="77777777" w:rsidR="00D623BA" w:rsidRPr="00F477C1" w:rsidRDefault="00D623BA" w:rsidP="00420BC2">
            <w:pPr>
              <w:pStyle w:val="NormalWeb"/>
              <w:jc w:val="center"/>
              <w:rPr>
                <w:sz w:val="18"/>
                <w:szCs w:val="18"/>
              </w:rPr>
            </w:pPr>
            <w:r w:rsidRPr="00F477C1">
              <w:rPr>
                <w:sz w:val="18"/>
                <w:szCs w:val="18"/>
              </w:rPr>
              <w:t>61</w:t>
            </w:r>
          </w:p>
        </w:tc>
        <w:tc>
          <w:tcPr>
            <w:tcW w:w="1079" w:type="dxa"/>
            <w:tcBorders>
              <w:left w:val="single" w:sz="2" w:space="0" w:color="808080" w:themeColor="background1" w:themeShade="80"/>
              <w:right w:val="single" w:sz="2" w:space="0" w:color="808080" w:themeColor="background1" w:themeShade="80"/>
            </w:tcBorders>
            <w:hideMark/>
          </w:tcPr>
          <w:p w14:paraId="32287B6F" w14:textId="77777777" w:rsidR="00D623BA" w:rsidRPr="00F477C1" w:rsidRDefault="00D623BA" w:rsidP="00420BC2">
            <w:pPr>
              <w:pStyle w:val="NormalWeb"/>
              <w:jc w:val="center"/>
              <w:rPr>
                <w:sz w:val="18"/>
                <w:szCs w:val="18"/>
              </w:rPr>
            </w:pPr>
            <w:r w:rsidRPr="00F477C1">
              <w:rPr>
                <w:sz w:val="18"/>
                <w:szCs w:val="18"/>
              </w:rPr>
              <w:t>128</w:t>
            </w:r>
          </w:p>
        </w:tc>
        <w:tc>
          <w:tcPr>
            <w:tcW w:w="1080" w:type="dxa"/>
            <w:tcBorders>
              <w:left w:val="single" w:sz="2" w:space="0" w:color="808080" w:themeColor="background1" w:themeShade="80"/>
              <w:right w:val="single" w:sz="2" w:space="0" w:color="808080" w:themeColor="background1" w:themeShade="80"/>
            </w:tcBorders>
            <w:hideMark/>
          </w:tcPr>
          <w:p w14:paraId="56142A43" w14:textId="77777777" w:rsidR="00D623BA" w:rsidRPr="00F477C1" w:rsidRDefault="00D623BA" w:rsidP="00420BC2">
            <w:pPr>
              <w:pStyle w:val="NormalWeb"/>
              <w:jc w:val="center"/>
              <w:rPr>
                <w:sz w:val="18"/>
                <w:szCs w:val="18"/>
              </w:rPr>
            </w:pPr>
            <w:r w:rsidRPr="00F477C1">
              <w:rPr>
                <w:sz w:val="18"/>
                <w:szCs w:val="18"/>
              </w:rPr>
              <w:t>47.7</w:t>
            </w:r>
          </w:p>
        </w:tc>
        <w:tc>
          <w:tcPr>
            <w:tcW w:w="1080" w:type="dxa"/>
            <w:tcBorders>
              <w:left w:val="single" w:sz="2" w:space="0" w:color="808080" w:themeColor="background1" w:themeShade="80"/>
              <w:right w:val="single" w:sz="2" w:space="0" w:color="808080" w:themeColor="background1" w:themeShade="80"/>
            </w:tcBorders>
            <w:hideMark/>
          </w:tcPr>
          <w:p w14:paraId="5EA63D7B" w14:textId="77777777" w:rsidR="00D623BA" w:rsidRPr="00F477C1" w:rsidRDefault="00D623BA" w:rsidP="00420BC2">
            <w:pPr>
              <w:pStyle w:val="NormalWeb"/>
              <w:jc w:val="center"/>
              <w:rPr>
                <w:sz w:val="18"/>
                <w:szCs w:val="18"/>
              </w:rPr>
            </w:pPr>
            <w:r w:rsidRPr="00F477C1">
              <w:rPr>
                <w:sz w:val="18"/>
                <w:szCs w:val="18"/>
              </w:rPr>
              <w:t>13</w:t>
            </w:r>
          </w:p>
        </w:tc>
        <w:tc>
          <w:tcPr>
            <w:tcW w:w="1079" w:type="dxa"/>
            <w:tcBorders>
              <w:left w:val="single" w:sz="2" w:space="0" w:color="808080" w:themeColor="background1" w:themeShade="80"/>
              <w:right w:val="single" w:sz="2" w:space="0" w:color="808080" w:themeColor="background1" w:themeShade="80"/>
            </w:tcBorders>
            <w:hideMark/>
          </w:tcPr>
          <w:p w14:paraId="2A917C2A" w14:textId="77777777" w:rsidR="00D623BA" w:rsidRPr="00F477C1" w:rsidRDefault="00D623BA" w:rsidP="00420BC2">
            <w:pPr>
              <w:pStyle w:val="NormalWeb"/>
              <w:jc w:val="center"/>
              <w:rPr>
                <w:sz w:val="18"/>
                <w:szCs w:val="18"/>
              </w:rPr>
            </w:pPr>
            <w:r w:rsidRPr="00F477C1">
              <w:rPr>
                <w:sz w:val="18"/>
                <w:szCs w:val="18"/>
              </w:rPr>
              <w:t>61</w:t>
            </w:r>
          </w:p>
        </w:tc>
        <w:tc>
          <w:tcPr>
            <w:tcW w:w="1080" w:type="dxa"/>
            <w:tcBorders>
              <w:left w:val="single" w:sz="2" w:space="0" w:color="808080" w:themeColor="background1" w:themeShade="80"/>
              <w:right w:val="single" w:sz="2" w:space="0" w:color="808080" w:themeColor="background1" w:themeShade="80"/>
            </w:tcBorders>
            <w:hideMark/>
          </w:tcPr>
          <w:p w14:paraId="2A5520FD" w14:textId="77777777" w:rsidR="00D623BA" w:rsidRPr="00F477C1" w:rsidRDefault="00D623BA" w:rsidP="00420BC2">
            <w:pPr>
              <w:pStyle w:val="NormalWeb"/>
              <w:jc w:val="center"/>
              <w:rPr>
                <w:sz w:val="18"/>
                <w:szCs w:val="18"/>
              </w:rPr>
            </w:pPr>
            <w:r w:rsidRPr="00F477C1">
              <w:rPr>
                <w:sz w:val="18"/>
                <w:szCs w:val="18"/>
              </w:rPr>
              <w:t>21.3</w:t>
            </w:r>
          </w:p>
        </w:tc>
        <w:tc>
          <w:tcPr>
            <w:tcW w:w="1079" w:type="dxa"/>
            <w:tcBorders>
              <w:left w:val="single" w:sz="2" w:space="0" w:color="808080" w:themeColor="background1" w:themeShade="80"/>
              <w:right w:val="single" w:sz="2" w:space="0" w:color="808080" w:themeColor="background1" w:themeShade="80"/>
            </w:tcBorders>
            <w:hideMark/>
          </w:tcPr>
          <w:p w14:paraId="1EDF5990" w14:textId="77777777" w:rsidR="00D623BA" w:rsidRPr="00F477C1" w:rsidRDefault="00D623BA" w:rsidP="00420BC2">
            <w:pPr>
              <w:pStyle w:val="NormalWeb"/>
              <w:jc w:val="center"/>
              <w:rPr>
                <w:sz w:val="18"/>
                <w:szCs w:val="18"/>
              </w:rPr>
            </w:pPr>
            <w:r w:rsidRPr="00F477C1">
              <w:rPr>
                <w:sz w:val="18"/>
                <w:szCs w:val="18"/>
              </w:rPr>
              <w:t>130</w:t>
            </w:r>
          </w:p>
        </w:tc>
        <w:tc>
          <w:tcPr>
            <w:tcW w:w="1080" w:type="dxa"/>
            <w:tcBorders>
              <w:left w:val="single" w:sz="2" w:space="0" w:color="808080" w:themeColor="background1" w:themeShade="80"/>
              <w:right w:val="single" w:sz="2" w:space="0" w:color="808080" w:themeColor="background1" w:themeShade="80"/>
            </w:tcBorders>
            <w:hideMark/>
          </w:tcPr>
          <w:p w14:paraId="797BA002" w14:textId="77777777" w:rsidR="00D623BA" w:rsidRPr="00F477C1" w:rsidRDefault="00D623BA" w:rsidP="00420BC2">
            <w:pPr>
              <w:pStyle w:val="NormalWeb"/>
              <w:jc w:val="center"/>
              <w:rPr>
                <w:sz w:val="18"/>
                <w:szCs w:val="18"/>
              </w:rPr>
            </w:pPr>
            <w:r w:rsidRPr="00F477C1">
              <w:rPr>
                <w:sz w:val="18"/>
                <w:szCs w:val="18"/>
              </w:rPr>
              <w:t>426</w:t>
            </w:r>
          </w:p>
        </w:tc>
        <w:tc>
          <w:tcPr>
            <w:tcW w:w="1080" w:type="dxa"/>
            <w:tcBorders>
              <w:left w:val="single" w:sz="2" w:space="0" w:color="808080" w:themeColor="background1" w:themeShade="80"/>
            </w:tcBorders>
            <w:hideMark/>
          </w:tcPr>
          <w:p w14:paraId="16B65D7F" w14:textId="77777777" w:rsidR="00D623BA" w:rsidRPr="00F477C1" w:rsidRDefault="00D623BA" w:rsidP="00420BC2">
            <w:pPr>
              <w:pStyle w:val="NormalWeb"/>
              <w:jc w:val="center"/>
              <w:rPr>
                <w:sz w:val="18"/>
                <w:szCs w:val="18"/>
              </w:rPr>
            </w:pPr>
            <w:r w:rsidRPr="00F477C1">
              <w:rPr>
                <w:sz w:val="18"/>
                <w:szCs w:val="18"/>
              </w:rPr>
              <w:t>30.5</w:t>
            </w:r>
          </w:p>
        </w:tc>
      </w:tr>
      <w:tr w:rsidR="005124FF" w:rsidRPr="00F477C1" w14:paraId="57666A93" w14:textId="77777777" w:rsidTr="005124FF">
        <w:tc>
          <w:tcPr>
            <w:tcW w:w="1985" w:type="dxa"/>
            <w:tcBorders>
              <w:right w:val="single" w:sz="2" w:space="0" w:color="808080" w:themeColor="background1" w:themeShade="80"/>
            </w:tcBorders>
            <w:hideMark/>
          </w:tcPr>
          <w:p w14:paraId="08677424" w14:textId="77777777" w:rsidR="00D623BA" w:rsidRPr="00F477C1" w:rsidRDefault="00D623BA">
            <w:pPr>
              <w:pStyle w:val="NormalWeb"/>
              <w:rPr>
                <w:sz w:val="18"/>
                <w:szCs w:val="18"/>
              </w:rPr>
            </w:pPr>
            <w:r w:rsidRPr="00F477C1">
              <w:rPr>
                <w:sz w:val="18"/>
                <w:szCs w:val="18"/>
              </w:rPr>
              <w:t>2012</w:t>
            </w:r>
          </w:p>
        </w:tc>
        <w:tc>
          <w:tcPr>
            <w:tcW w:w="1079" w:type="dxa"/>
            <w:tcBorders>
              <w:left w:val="single" w:sz="2" w:space="0" w:color="808080" w:themeColor="background1" w:themeShade="80"/>
              <w:right w:val="single" w:sz="2" w:space="0" w:color="808080" w:themeColor="background1" w:themeShade="80"/>
            </w:tcBorders>
            <w:hideMark/>
          </w:tcPr>
          <w:p w14:paraId="03DF2C60" w14:textId="77777777" w:rsidR="00D623BA" w:rsidRPr="00F477C1" w:rsidRDefault="00D623BA" w:rsidP="00420BC2">
            <w:pPr>
              <w:pStyle w:val="NormalWeb"/>
              <w:jc w:val="center"/>
              <w:rPr>
                <w:sz w:val="18"/>
                <w:szCs w:val="18"/>
              </w:rPr>
            </w:pPr>
            <w:r w:rsidRPr="00F477C1">
              <w:rPr>
                <w:sz w:val="18"/>
                <w:szCs w:val="18"/>
              </w:rPr>
              <w:t>29</w:t>
            </w:r>
          </w:p>
        </w:tc>
        <w:tc>
          <w:tcPr>
            <w:tcW w:w="1080" w:type="dxa"/>
            <w:tcBorders>
              <w:left w:val="single" w:sz="2" w:space="0" w:color="808080" w:themeColor="background1" w:themeShade="80"/>
              <w:right w:val="single" w:sz="2" w:space="0" w:color="808080" w:themeColor="background1" w:themeShade="80"/>
            </w:tcBorders>
            <w:hideMark/>
          </w:tcPr>
          <w:p w14:paraId="23B60132" w14:textId="77777777" w:rsidR="00D623BA" w:rsidRPr="00F477C1" w:rsidRDefault="00D623BA" w:rsidP="00420BC2">
            <w:pPr>
              <w:pStyle w:val="NormalWeb"/>
              <w:jc w:val="center"/>
              <w:rPr>
                <w:sz w:val="18"/>
                <w:szCs w:val="18"/>
              </w:rPr>
            </w:pPr>
            <w:r w:rsidRPr="00F477C1">
              <w:rPr>
                <w:sz w:val="18"/>
                <w:szCs w:val="18"/>
              </w:rPr>
              <w:t>229</w:t>
            </w:r>
          </w:p>
        </w:tc>
        <w:tc>
          <w:tcPr>
            <w:tcW w:w="1079" w:type="dxa"/>
            <w:tcBorders>
              <w:left w:val="single" w:sz="2" w:space="0" w:color="808080" w:themeColor="background1" w:themeShade="80"/>
              <w:right w:val="single" w:sz="2" w:space="0" w:color="808080" w:themeColor="background1" w:themeShade="80"/>
            </w:tcBorders>
            <w:hideMark/>
          </w:tcPr>
          <w:p w14:paraId="185895FC" w14:textId="77777777" w:rsidR="00D623BA" w:rsidRPr="00F477C1" w:rsidRDefault="00D623BA" w:rsidP="00420BC2">
            <w:pPr>
              <w:pStyle w:val="NormalWeb"/>
              <w:jc w:val="center"/>
              <w:rPr>
                <w:sz w:val="18"/>
                <w:szCs w:val="18"/>
              </w:rPr>
            </w:pPr>
            <w:r w:rsidRPr="00F477C1">
              <w:rPr>
                <w:sz w:val="18"/>
                <w:szCs w:val="18"/>
              </w:rPr>
              <w:t>12.7</w:t>
            </w:r>
          </w:p>
        </w:tc>
        <w:tc>
          <w:tcPr>
            <w:tcW w:w="1080" w:type="dxa"/>
            <w:tcBorders>
              <w:left w:val="single" w:sz="2" w:space="0" w:color="808080" w:themeColor="background1" w:themeShade="80"/>
              <w:right w:val="single" w:sz="2" w:space="0" w:color="808080" w:themeColor="background1" w:themeShade="80"/>
            </w:tcBorders>
            <w:hideMark/>
          </w:tcPr>
          <w:p w14:paraId="197EAE94" w14:textId="77777777" w:rsidR="00D623BA" w:rsidRPr="00F477C1" w:rsidRDefault="00D623BA" w:rsidP="00420BC2">
            <w:pPr>
              <w:pStyle w:val="NormalWeb"/>
              <w:jc w:val="center"/>
              <w:rPr>
                <w:sz w:val="18"/>
                <w:szCs w:val="18"/>
              </w:rPr>
            </w:pPr>
            <w:r w:rsidRPr="00F477C1">
              <w:rPr>
                <w:sz w:val="18"/>
                <w:szCs w:val="18"/>
              </w:rPr>
              <w:t>17</w:t>
            </w:r>
          </w:p>
        </w:tc>
        <w:tc>
          <w:tcPr>
            <w:tcW w:w="1079" w:type="dxa"/>
            <w:tcBorders>
              <w:left w:val="single" w:sz="2" w:space="0" w:color="808080" w:themeColor="background1" w:themeShade="80"/>
              <w:right w:val="single" w:sz="2" w:space="0" w:color="808080" w:themeColor="background1" w:themeShade="80"/>
            </w:tcBorders>
            <w:hideMark/>
          </w:tcPr>
          <w:p w14:paraId="2BFC28ED" w14:textId="77777777" w:rsidR="00D623BA" w:rsidRPr="00F477C1" w:rsidRDefault="00D623BA" w:rsidP="00420BC2">
            <w:pPr>
              <w:pStyle w:val="NormalWeb"/>
              <w:jc w:val="center"/>
              <w:rPr>
                <w:sz w:val="18"/>
                <w:szCs w:val="18"/>
              </w:rPr>
            </w:pPr>
            <w:r w:rsidRPr="00F477C1">
              <w:rPr>
                <w:sz w:val="18"/>
                <w:szCs w:val="18"/>
              </w:rPr>
              <w:t>71</w:t>
            </w:r>
          </w:p>
        </w:tc>
        <w:tc>
          <w:tcPr>
            <w:tcW w:w="1080" w:type="dxa"/>
            <w:tcBorders>
              <w:left w:val="single" w:sz="2" w:space="0" w:color="808080" w:themeColor="background1" w:themeShade="80"/>
              <w:right w:val="single" w:sz="2" w:space="0" w:color="808080" w:themeColor="background1" w:themeShade="80"/>
            </w:tcBorders>
            <w:hideMark/>
          </w:tcPr>
          <w:p w14:paraId="03BAD8AE" w14:textId="77777777" w:rsidR="00D623BA" w:rsidRPr="00F477C1" w:rsidRDefault="00D623BA" w:rsidP="00420BC2">
            <w:pPr>
              <w:pStyle w:val="NormalWeb"/>
              <w:jc w:val="center"/>
              <w:rPr>
                <w:sz w:val="18"/>
                <w:szCs w:val="18"/>
              </w:rPr>
            </w:pPr>
            <w:r w:rsidRPr="00F477C1">
              <w:rPr>
                <w:sz w:val="18"/>
                <w:szCs w:val="18"/>
              </w:rPr>
              <w:t>23.9</w:t>
            </w:r>
          </w:p>
        </w:tc>
        <w:tc>
          <w:tcPr>
            <w:tcW w:w="1080" w:type="dxa"/>
            <w:tcBorders>
              <w:left w:val="single" w:sz="2" w:space="0" w:color="808080" w:themeColor="background1" w:themeShade="80"/>
              <w:right w:val="single" w:sz="2" w:space="0" w:color="808080" w:themeColor="background1" w:themeShade="80"/>
            </w:tcBorders>
            <w:hideMark/>
          </w:tcPr>
          <w:p w14:paraId="321730C0" w14:textId="77777777" w:rsidR="00D623BA" w:rsidRPr="00F477C1" w:rsidRDefault="00D623BA" w:rsidP="00420BC2">
            <w:pPr>
              <w:pStyle w:val="NormalWeb"/>
              <w:jc w:val="center"/>
              <w:rPr>
                <w:sz w:val="18"/>
                <w:szCs w:val="18"/>
              </w:rPr>
            </w:pPr>
            <w:r w:rsidRPr="00F477C1">
              <w:rPr>
                <w:sz w:val="18"/>
                <w:szCs w:val="18"/>
              </w:rPr>
              <w:t>25</w:t>
            </w:r>
          </w:p>
        </w:tc>
        <w:tc>
          <w:tcPr>
            <w:tcW w:w="1079" w:type="dxa"/>
            <w:tcBorders>
              <w:left w:val="single" w:sz="2" w:space="0" w:color="808080" w:themeColor="background1" w:themeShade="80"/>
              <w:right w:val="single" w:sz="2" w:space="0" w:color="808080" w:themeColor="background1" w:themeShade="80"/>
            </w:tcBorders>
            <w:hideMark/>
          </w:tcPr>
          <w:p w14:paraId="3EB60FAA" w14:textId="77777777" w:rsidR="00D623BA" w:rsidRPr="00F477C1" w:rsidRDefault="00D623BA" w:rsidP="00420BC2">
            <w:pPr>
              <w:pStyle w:val="NormalWeb"/>
              <w:jc w:val="center"/>
              <w:rPr>
                <w:sz w:val="18"/>
                <w:szCs w:val="18"/>
              </w:rPr>
            </w:pPr>
            <w:r w:rsidRPr="00F477C1">
              <w:rPr>
                <w:sz w:val="18"/>
                <w:szCs w:val="18"/>
              </w:rPr>
              <w:t>72</w:t>
            </w:r>
          </w:p>
        </w:tc>
        <w:tc>
          <w:tcPr>
            <w:tcW w:w="1080" w:type="dxa"/>
            <w:tcBorders>
              <w:left w:val="single" w:sz="2" w:space="0" w:color="808080" w:themeColor="background1" w:themeShade="80"/>
              <w:right w:val="single" w:sz="2" w:space="0" w:color="808080" w:themeColor="background1" w:themeShade="80"/>
            </w:tcBorders>
            <w:hideMark/>
          </w:tcPr>
          <w:p w14:paraId="6983C565" w14:textId="77777777" w:rsidR="00D623BA" w:rsidRPr="00F477C1" w:rsidRDefault="00D623BA" w:rsidP="00420BC2">
            <w:pPr>
              <w:pStyle w:val="NormalWeb"/>
              <w:jc w:val="center"/>
              <w:rPr>
                <w:sz w:val="18"/>
                <w:szCs w:val="18"/>
              </w:rPr>
            </w:pPr>
            <w:r w:rsidRPr="00F477C1">
              <w:rPr>
                <w:sz w:val="18"/>
                <w:szCs w:val="18"/>
              </w:rPr>
              <w:t>34.7</w:t>
            </w:r>
          </w:p>
        </w:tc>
        <w:tc>
          <w:tcPr>
            <w:tcW w:w="1079" w:type="dxa"/>
            <w:tcBorders>
              <w:left w:val="single" w:sz="2" w:space="0" w:color="808080" w:themeColor="background1" w:themeShade="80"/>
              <w:right w:val="single" w:sz="2" w:space="0" w:color="808080" w:themeColor="background1" w:themeShade="80"/>
            </w:tcBorders>
            <w:hideMark/>
          </w:tcPr>
          <w:p w14:paraId="7F38AF52" w14:textId="77777777" w:rsidR="00D623BA" w:rsidRPr="00F477C1" w:rsidRDefault="00D623BA" w:rsidP="00420BC2">
            <w:pPr>
              <w:pStyle w:val="NormalWeb"/>
              <w:jc w:val="center"/>
              <w:rPr>
                <w:sz w:val="18"/>
                <w:szCs w:val="18"/>
              </w:rPr>
            </w:pPr>
            <w:r w:rsidRPr="00F477C1">
              <w:rPr>
                <w:sz w:val="18"/>
                <w:szCs w:val="18"/>
              </w:rPr>
              <w:t>71</w:t>
            </w:r>
          </w:p>
        </w:tc>
        <w:tc>
          <w:tcPr>
            <w:tcW w:w="1080" w:type="dxa"/>
            <w:tcBorders>
              <w:left w:val="single" w:sz="2" w:space="0" w:color="808080" w:themeColor="background1" w:themeShade="80"/>
              <w:right w:val="single" w:sz="2" w:space="0" w:color="808080" w:themeColor="background1" w:themeShade="80"/>
            </w:tcBorders>
            <w:hideMark/>
          </w:tcPr>
          <w:p w14:paraId="3CAAD1C1" w14:textId="77777777" w:rsidR="00D623BA" w:rsidRPr="00F477C1" w:rsidRDefault="00D623BA" w:rsidP="00420BC2">
            <w:pPr>
              <w:pStyle w:val="NormalWeb"/>
              <w:jc w:val="center"/>
              <w:rPr>
                <w:sz w:val="18"/>
                <w:szCs w:val="18"/>
              </w:rPr>
            </w:pPr>
            <w:r w:rsidRPr="00F477C1">
              <w:rPr>
                <w:sz w:val="18"/>
                <w:szCs w:val="18"/>
              </w:rPr>
              <w:t>372</w:t>
            </w:r>
          </w:p>
        </w:tc>
        <w:tc>
          <w:tcPr>
            <w:tcW w:w="1080" w:type="dxa"/>
            <w:tcBorders>
              <w:left w:val="single" w:sz="2" w:space="0" w:color="808080" w:themeColor="background1" w:themeShade="80"/>
            </w:tcBorders>
            <w:hideMark/>
          </w:tcPr>
          <w:p w14:paraId="003DA16C" w14:textId="77777777" w:rsidR="00D623BA" w:rsidRPr="00F477C1" w:rsidRDefault="00D623BA" w:rsidP="00420BC2">
            <w:pPr>
              <w:pStyle w:val="NormalWeb"/>
              <w:jc w:val="center"/>
              <w:rPr>
                <w:sz w:val="18"/>
                <w:szCs w:val="18"/>
              </w:rPr>
            </w:pPr>
            <w:r w:rsidRPr="00F477C1">
              <w:rPr>
                <w:sz w:val="18"/>
                <w:szCs w:val="18"/>
              </w:rPr>
              <w:t>19.1</w:t>
            </w:r>
          </w:p>
        </w:tc>
      </w:tr>
      <w:tr w:rsidR="005124FF" w:rsidRPr="00F477C1" w14:paraId="5DF5AC59" w14:textId="77777777" w:rsidTr="005124FF">
        <w:trPr>
          <w:cnfStyle w:val="000000010000" w:firstRow="0" w:lastRow="0" w:firstColumn="0" w:lastColumn="0" w:oddVBand="0" w:evenVBand="0" w:oddHBand="0" w:evenHBand="1" w:firstRowFirstColumn="0" w:firstRowLastColumn="0" w:lastRowFirstColumn="0" w:lastRowLastColumn="0"/>
        </w:trPr>
        <w:tc>
          <w:tcPr>
            <w:tcW w:w="1985" w:type="dxa"/>
            <w:tcBorders>
              <w:right w:val="single" w:sz="2" w:space="0" w:color="808080" w:themeColor="background1" w:themeShade="80"/>
            </w:tcBorders>
            <w:hideMark/>
          </w:tcPr>
          <w:p w14:paraId="0F13680B" w14:textId="77777777" w:rsidR="00D623BA" w:rsidRPr="00F477C1" w:rsidRDefault="00D623BA">
            <w:pPr>
              <w:pStyle w:val="NormalWeb"/>
              <w:rPr>
                <w:sz w:val="18"/>
                <w:szCs w:val="18"/>
              </w:rPr>
            </w:pPr>
            <w:r w:rsidRPr="00F477C1">
              <w:rPr>
                <w:sz w:val="18"/>
                <w:szCs w:val="18"/>
              </w:rPr>
              <w:t>2013</w:t>
            </w:r>
          </w:p>
        </w:tc>
        <w:tc>
          <w:tcPr>
            <w:tcW w:w="1079" w:type="dxa"/>
            <w:tcBorders>
              <w:left w:val="single" w:sz="2" w:space="0" w:color="808080" w:themeColor="background1" w:themeShade="80"/>
              <w:right w:val="single" w:sz="2" w:space="0" w:color="808080" w:themeColor="background1" w:themeShade="80"/>
            </w:tcBorders>
            <w:hideMark/>
          </w:tcPr>
          <w:p w14:paraId="768B194D" w14:textId="77777777" w:rsidR="00D623BA" w:rsidRPr="00F477C1" w:rsidRDefault="00D623BA" w:rsidP="00420BC2">
            <w:pPr>
              <w:pStyle w:val="NormalWeb"/>
              <w:jc w:val="center"/>
              <w:rPr>
                <w:sz w:val="18"/>
                <w:szCs w:val="18"/>
              </w:rPr>
            </w:pPr>
            <w:r w:rsidRPr="00F477C1">
              <w:rPr>
                <w:sz w:val="18"/>
                <w:szCs w:val="18"/>
              </w:rPr>
              <w:t>3</w:t>
            </w:r>
          </w:p>
        </w:tc>
        <w:tc>
          <w:tcPr>
            <w:tcW w:w="1080" w:type="dxa"/>
            <w:tcBorders>
              <w:left w:val="single" w:sz="2" w:space="0" w:color="808080" w:themeColor="background1" w:themeShade="80"/>
              <w:right w:val="single" w:sz="2" w:space="0" w:color="808080" w:themeColor="background1" w:themeShade="80"/>
            </w:tcBorders>
            <w:hideMark/>
          </w:tcPr>
          <w:p w14:paraId="51569EBA" w14:textId="77777777" w:rsidR="00D623BA" w:rsidRPr="00F477C1" w:rsidRDefault="00D623BA" w:rsidP="00420BC2">
            <w:pPr>
              <w:pStyle w:val="NormalWeb"/>
              <w:jc w:val="center"/>
              <w:rPr>
                <w:sz w:val="18"/>
                <w:szCs w:val="18"/>
              </w:rPr>
            </w:pPr>
            <w:r w:rsidRPr="00F477C1">
              <w:rPr>
                <w:sz w:val="18"/>
                <w:szCs w:val="18"/>
              </w:rPr>
              <w:t>190</w:t>
            </w:r>
          </w:p>
        </w:tc>
        <w:tc>
          <w:tcPr>
            <w:tcW w:w="1079" w:type="dxa"/>
            <w:tcBorders>
              <w:left w:val="single" w:sz="2" w:space="0" w:color="808080" w:themeColor="background1" w:themeShade="80"/>
              <w:right w:val="single" w:sz="2" w:space="0" w:color="808080" w:themeColor="background1" w:themeShade="80"/>
            </w:tcBorders>
            <w:hideMark/>
          </w:tcPr>
          <w:p w14:paraId="031413E0" w14:textId="77777777" w:rsidR="00D623BA" w:rsidRPr="00F477C1" w:rsidRDefault="00D623BA" w:rsidP="00420BC2">
            <w:pPr>
              <w:pStyle w:val="NormalWeb"/>
              <w:jc w:val="center"/>
              <w:rPr>
                <w:sz w:val="18"/>
                <w:szCs w:val="18"/>
              </w:rPr>
            </w:pPr>
            <w:r w:rsidRPr="00F477C1">
              <w:rPr>
                <w:sz w:val="18"/>
                <w:szCs w:val="18"/>
              </w:rPr>
              <w:t>1.6</w:t>
            </w:r>
          </w:p>
        </w:tc>
        <w:tc>
          <w:tcPr>
            <w:tcW w:w="1080" w:type="dxa"/>
            <w:tcBorders>
              <w:left w:val="single" w:sz="2" w:space="0" w:color="808080" w:themeColor="background1" w:themeShade="80"/>
              <w:right w:val="single" w:sz="2" w:space="0" w:color="808080" w:themeColor="background1" w:themeShade="80"/>
            </w:tcBorders>
            <w:hideMark/>
          </w:tcPr>
          <w:p w14:paraId="344B24BC" w14:textId="77777777" w:rsidR="00D623BA" w:rsidRPr="00F477C1" w:rsidRDefault="00D623BA" w:rsidP="00420BC2">
            <w:pPr>
              <w:pStyle w:val="NormalWeb"/>
              <w:jc w:val="center"/>
              <w:rPr>
                <w:sz w:val="18"/>
                <w:szCs w:val="18"/>
              </w:rPr>
            </w:pPr>
            <w:r w:rsidRPr="00F477C1">
              <w:rPr>
                <w:sz w:val="18"/>
                <w:szCs w:val="18"/>
              </w:rPr>
              <w:t>0</w:t>
            </w:r>
          </w:p>
        </w:tc>
        <w:tc>
          <w:tcPr>
            <w:tcW w:w="1079" w:type="dxa"/>
            <w:tcBorders>
              <w:left w:val="single" w:sz="2" w:space="0" w:color="808080" w:themeColor="background1" w:themeShade="80"/>
              <w:right w:val="single" w:sz="2" w:space="0" w:color="808080" w:themeColor="background1" w:themeShade="80"/>
            </w:tcBorders>
            <w:hideMark/>
          </w:tcPr>
          <w:p w14:paraId="41CD0828" w14:textId="77777777" w:rsidR="00D623BA" w:rsidRPr="00F477C1" w:rsidRDefault="00D623BA" w:rsidP="00420BC2">
            <w:pPr>
              <w:pStyle w:val="NormalWeb"/>
              <w:jc w:val="center"/>
              <w:rPr>
                <w:sz w:val="18"/>
                <w:szCs w:val="18"/>
              </w:rPr>
            </w:pPr>
            <w:r w:rsidRPr="00F477C1">
              <w:rPr>
                <w:sz w:val="18"/>
                <w:szCs w:val="18"/>
              </w:rPr>
              <w:t>57</w:t>
            </w:r>
          </w:p>
        </w:tc>
        <w:tc>
          <w:tcPr>
            <w:tcW w:w="1080" w:type="dxa"/>
            <w:tcBorders>
              <w:left w:val="single" w:sz="2" w:space="0" w:color="808080" w:themeColor="background1" w:themeShade="80"/>
              <w:right w:val="single" w:sz="2" w:space="0" w:color="808080" w:themeColor="background1" w:themeShade="80"/>
            </w:tcBorders>
            <w:hideMark/>
          </w:tcPr>
          <w:p w14:paraId="71BEB86D" w14:textId="77777777" w:rsidR="00D623BA" w:rsidRPr="00F477C1" w:rsidRDefault="00D623BA" w:rsidP="00420BC2">
            <w:pPr>
              <w:pStyle w:val="NormalWeb"/>
              <w:jc w:val="center"/>
              <w:rPr>
                <w:sz w:val="18"/>
                <w:szCs w:val="18"/>
              </w:rPr>
            </w:pPr>
            <w:r w:rsidRPr="00F477C1">
              <w:rPr>
                <w:sz w:val="18"/>
                <w:szCs w:val="18"/>
              </w:rPr>
              <w:t>0</w:t>
            </w:r>
          </w:p>
        </w:tc>
        <w:tc>
          <w:tcPr>
            <w:tcW w:w="1080" w:type="dxa"/>
            <w:tcBorders>
              <w:left w:val="single" w:sz="2" w:space="0" w:color="808080" w:themeColor="background1" w:themeShade="80"/>
              <w:right w:val="single" w:sz="2" w:space="0" w:color="808080" w:themeColor="background1" w:themeShade="80"/>
            </w:tcBorders>
            <w:hideMark/>
          </w:tcPr>
          <w:p w14:paraId="3CB61BE5" w14:textId="77777777" w:rsidR="00D623BA" w:rsidRPr="00F477C1" w:rsidRDefault="00D623BA" w:rsidP="00420BC2">
            <w:pPr>
              <w:pStyle w:val="NormalWeb"/>
              <w:jc w:val="center"/>
              <w:rPr>
                <w:sz w:val="18"/>
                <w:szCs w:val="18"/>
              </w:rPr>
            </w:pPr>
            <w:r w:rsidRPr="00F477C1">
              <w:rPr>
                <w:sz w:val="18"/>
                <w:szCs w:val="18"/>
              </w:rPr>
              <w:t>13</w:t>
            </w:r>
          </w:p>
        </w:tc>
        <w:tc>
          <w:tcPr>
            <w:tcW w:w="1079" w:type="dxa"/>
            <w:tcBorders>
              <w:left w:val="single" w:sz="2" w:space="0" w:color="808080" w:themeColor="background1" w:themeShade="80"/>
              <w:right w:val="single" w:sz="2" w:space="0" w:color="808080" w:themeColor="background1" w:themeShade="80"/>
            </w:tcBorders>
            <w:hideMark/>
          </w:tcPr>
          <w:p w14:paraId="3158E20E" w14:textId="77777777" w:rsidR="00D623BA" w:rsidRPr="00F477C1" w:rsidRDefault="00D623BA" w:rsidP="00420BC2">
            <w:pPr>
              <w:pStyle w:val="NormalWeb"/>
              <w:jc w:val="center"/>
              <w:rPr>
                <w:sz w:val="18"/>
                <w:szCs w:val="18"/>
              </w:rPr>
            </w:pPr>
            <w:r w:rsidRPr="00F477C1">
              <w:rPr>
                <w:sz w:val="18"/>
                <w:szCs w:val="18"/>
              </w:rPr>
              <w:t>57</w:t>
            </w:r>
          </w:p>
        </w:tc>
        <w:tc>
          <w:tcPr>
            <w:tcW w:w="1080" w:type="dxa"/>
            <w:tcBorders>
              <w:left w:val="single" w:sz="2" w:space="0" w:color="808080" w:themeColor="background1" w:themeShade="80"/>
              <w:right w:val="single" w:sz="2" w:space="0" w:color="808080" w:themeColor="background1" w:themeShade="80"/>
            </w:tcBorders>
            <w:hideMark/>
          </w:tcPr>
          <w:p w14:paraId="39E4FFF7" w14:textId="77777777" w:rsidR="00D623BA" w:rsidRPr="00F477C1" w:rsidRDefault="00D623BA" w:rsidP="00420BC2">
            <w:pPr>
              <w:pStyle w:val="NormalWeb"/>
              <w:jc w:val="center"/>
              <w:rPr>
                <w:sz w:val="18"/>
                <w:szCs w:val="18"/>
              </w:rPr>
            </w:pPr>
            <w:r w:rsidRPr="00F477C1">
              <w:rPr>
                <w:sz w:val="18"/>
                <w:szCs w:val="18"/>
              </w:rPr>
              <w:t>22.8</w:t>
            </w:r>
          </w:p>
        </w:tc>
        <w:tc>
          <w:tcPr>
            <w:tcW w:w="1079" w:type="dxa"/>
            <w:tcBorders>
              <w:left w:val="single" w:sz="2" w:space="0" w:color="808080" w:themeColor="background1" w:themeShade="80"/>
              <w:right w:val="single" w:sz="2" w:space="0" w:color="808080" w:themeColor="background1" w:themeShade="80"/>
            </w:tcBorders>
            <w:hideMark/>
          </w:tcPr>
          <w:p w14:paraId="213C6825" w14:textId="77777777" w:rsidR="00D623BA" w:rsidRPr="00F477C1" w:rsidRDefault="00D623BA" w:rsidP="00420BC2">
            <w:pPr>
              <w:pStyle w:val="NormalWeb"/>
              <w:jc w:val="center"/>
              <w:rPr>
                <w:sz w:val="18"/>
                <w:szCs w:val="18"/>
              </w:rPr>
            </w:pPr>
            <w:r w:rsidRPr="00F477C1">
              <w:rPr>
                <w:sz w:val="18"/>
                <w:szCs w:val="18"/>
              </w:rPr>
              <w:t>16</w:t>
            </w:r>
          </w:p>
        </w:tc>
        <w:tc>
          <w:tcPr>
            <w:tcW w:w="1080" w:type="dxa"/>
            <w:tcBorders>
              <w:left w:val="single" w:sz="2" w:space="0" w:color="808080" w:themeColor="background1" w:themeShade="80"/>
              <w:right w:val="single" w:sz="2" w:space="0" w:color="808080" w:themeColor="background1" w:themeShade="80"/>
            </w:tcBorders>
            <w:hideMark/>
          </w:tcPr>
          <w:p w14:paraId="25741CE0" w14:textId="77777777" w:rsidR="00D623BA" w:rsidRPr="00F477C1" w:rsidRDefault="00D623BA" w:rsidP="00420BC2">
            <w:pPr>
              <w:pStyle w:val="NormalWeb"/>
              <w:jc w:val="center"/>
              <w:rPr>
                <w:sz w:val="18"/>
                <w:szCs w:val="18"/>
              </w:rPr>
            </w:pPr>
            <w:r w:rsidRPr="00F477C1">
              <w:rPr>
                <w:sz w:val="18"/>
                <w:szCs w:val="18"/>
              </w:rPr>
              <w:t>304</w:t>
            </w:r>
          </w:p>
        </w:tc>
        <w:tc>
          <w:tcPr>
            <w:tcW w:w="1080" w:type="dxa"/>
            <w:tcBorders>
              <w:left w:val="single" w:sz="2" w:space="0" w:color="808080" w:themeColor="background1" w:themeShade="80"/>
            </w:tcBorders>
            <w:hideMark/>
          </w:tcPr>
          <w:p w14:paraId="72847126" w14:textId="77777777" w:rsidR="00D623BA" w:rsidRPr="00F477C1" w:rsidRDefault="00D623BA" w:rsidP="00420BC2">
            <w:pPr>
              <w:pStyle w:val="NormalWeb"/>
              <w:jc w:val="center"/>
              <w:rPr>
                <w:sz w:val="18"/>
                <w:szCs w:val="18"/>
              </w:rPr>
            </w:pPr>
            <w:r w:rsidRPr="00F477C1">
              <w:rPr>
                <w:sz w:val="18"/>
                <w:szCs w:val="18"/>
              </w:rPr>
              <w:t>5.3</w:t>
            </w:r>
          </w:p>
        </w:tc>
      </w:tr>
      <w:tr w:rsidR="005124FF" w:rsidRPr="00F477C1" w14:paraId="3D9DF706" w14:textId="77777777" w:rsidTr="005124FF">
        <w:tc>
          <w:tcPr>
            <w:tcW w:w="1985" w:type="dxa"/>
            <w:tcBorders>
              <w:right w:val="single" w:sz="2" w:space="0" w:color="808080" w:themeColor="background1" w:themeShade="80"/>
            </w:tcBorders>
            <w:hideMark/>
          </w:tcPr>
          <w:p w14:paraId="34E1C1C0" w14:textId="77777777" w:rsidR="00D623BA" w:rsidRPr="00F477C1" w:rsidRDefault="00D623BA">
            <w:pPr>
              <w:pStyle w:val="NormalWeb"/>
              <w:rPr>
                <w:sz w:val="18"/>
                <w:szCs w:val="18"/>
              </w:rPr>
            </w:pPr>
            <w:r w:rsidRPr="00F477C1">
              <w:rPr>
                <w:sz w:val="18"/>
                <w:szCs w:val="18"/>
              </w:rPr>
              <w:t>2014 (After outbreak)</w:t>
            </w:r>
          </w:p>
        </w:tc>
        <w:tc>
          <w:tcPr>
            <w:tcW w:w="1079" w:type="dxa"/>
            <w:tcBorders>
              <w:left w:val="single" w:sz="2" w:space="0" w:color="808080" w:themeColor="background1" w:themeShade="80"/>
              <w:right w:val="single" w:sz="2" w:space="0" w:color="808080" w:themeColor="background1" w:themeShade="80"/>
            </w:tcBorders>
            <w:hideMark/>
          </w:tcPr>
          <w:p w14:paraId="53D2C069" w14:textId="77777777" w:rsidR="00D623BA" w:rsidRPr="00F477C1" w:rsidRDefault="00D623BA" w:rsidP="00420BC2">
            <w:pPr>
              <w:pStyle w:val="NormalWeb"/>
              <w:jc w:val="center"/>
              <w:rPr>
                <w:sz w:val="18"/>
                <w:szCs w:val="18"/>
              </w:rPr>
            </w:pPr>
            <w:r w:rsidRPr="00F477C1">
              <w:rPr>
                <w:sz w:val="18"/>
                <w:szCs w:val="18"/>
              </w:rPr>
              <w:t>5</w:t>
            </w:r>
          </w:p>
        </w:tc>
        <w:tc>
          <w:tcPr>
            <w:tcW w:w="1080" w:type="dxa"/>
            <w:tcBorders>
              <w:left w:val="single" w:sz="2" w:space="0" w:color="808080" w:themeColor="background1" w:themeShade="80"/>
              <w:right w:val="single" w:sz="2" w:space="0" w:color="808080" w:themeColor="background1" w:themeShade="80"/>
            </w:tcBorders>
            <w:hideMark/>
          </w:tcPr>
          <w:p w14:paraId="572C57EE" w14:textId="77777777" w:rsidR="00D623BA" w:rsidRPr="00F477C1" w:rsidRDefault="00D623BA" w:rsidP="00420BC2">
            <w:pPr>
              <w:pStyle w:val="NormalWeb"/>
              <w:jc w:val="center"/>
              <w:rPr>
                <w:sz w:val="18"/>
                <w:szCs w:val="18"/>
              </w:rPr>
            </w:pPr>
            <w:r w:rsidRPr="00F477C1">
              <w:rPr>
                <w:sz w:val="18"/>
                <w:szCs w:val="18"/>
              </w:rPr>
              <w:t>206</w:t>
            </w:r>
          </w:p>
        </w:tc>
        <w:tc>
          <w:tcPr>
            <w:tcW w:w="1079" w:type="dxa"/>
            <w:tcBorders>
              <w:left w:val="single" w:sz="2" w:space="0" w:color="808080" w:themeColor="background1" w:themeShade="80"/>
              <w:right w:val="single" w:sz="2" w:space="0" w:color="808080" w:themeColor="background1" w:themeShade="80"/>
            </w:tcBorders>
            <w:hideMark/>
          </w:tcPr>
          <w:p w14:paraId="5B3632DB" w14:textId="77777777" w:rsidR="00D623BA" w:rsidRPr="00F477C1" w:rsidRDefault="00D623BA" w:rsidP="00420BC2">
            <w:pPr>
              <w:pStyle w:val="NormalWeb"/>
              <w:jc w:val="center"/>
              <w:rPr>
                <w:sz w:val="18"/>
                <w:szCs w:val="18"/>
              </w:rPr>
            </w:pPr>
            <w:r w:rsidRPr="00F477C1">
              <w:rPr>
                <w:sz w:val="18"/>
                <w:szCs w:val="18"/>
              </w:rPr>
              <w:t>2.4</w:t>
            </w:r>
          </w:p>
        </w:tc>
        <w:tc>
          <w:tcPr>
            <w:tcW w:w="1080" w:type="dxa"/>
            <w:tcBorders>
              <w:left w:val="single" w:sz="2" w:space="0" w:color="808080" w:themeColor="background1" w:themeShade="80"/>
              <w:right w:val="single" w:sz="2" w:space="0" w:color="808080" w:themeColor="background1" w:themeShade="80"/>
            </w:tcBorders>
            <w:hideMark/>
          </w:tcPr>
          <w:p w14:paraId="4949DCE4" w14:textId="77777777" w:rsidR="00D623BA" w:rsidRPr="00F477C1" w:rsidRDefault="00D623BA" w:rsidP="00420BC2">
            <w:pPr>
              <w:pStyle w:val="NormalWeb"/>
              <w:jc w:val="center"/>
              <w:rPr>
                <w:sz w:val="18"/>
                <w:szCs w:val="18"/>
              </w:rPr>
            </w:pPr>
            <w:r w:rsidRPr="00F477C1">
              <w:rPr>
                <w:sz w:val="18"/>
                <w:szCs w:val="18"/>
              </w:rPr>
              <w:t>0</w:t>
            </w:r>
          </w:p>
        </w:tc>
        <w:tc>
          <w:tcPr>
            <w:tcW w:w="1079" w:type="dxa"/>
            <w:tcBorders>
              <w:left w:val="single" w:sz="2" w:space="0" w:color="808080" w:themeColor="background1" w:themeShade="80"/>
              <w:right w:val="single" w:sz="2" w:space="0" w:color="808080" w:themeColor="background1" w:themeShade="80"/>
            </w:tcBorders>
            <w:hideMark/>
          </w:tcPr>
          <w:p w14:paraId="31ABEECC" w14:textId="77777777" w:rsidR="00D623BA" w:rsidRPr="00F477C1" w:rsidRDefault="00D623BA" w:rsidP="00420BC2">
            <w:pPr>
              <w:pStyle w:val="NormalWeb"/>
              <w:jc w:val="center"/>
              <w:rPr>
                <w:sz w:val="18"/>
                <w:szCs w:val="18"/>
              </w:rPr>
            </w:pPr>
            <w:r w:rsidRPr="00F477C1">
              <w:rPr>
                <w:sz w:val="18"/>
                <w:szCs w:val="18"/>
              </w:rPr>
              <w:t>43</w:t>
            </w:r>
          </w:p>
        </w:tc>
        <w:tc>
          <w:tcPr>
            <w:tcW w:w="1080" w:type="dxa"/>
            <w:tcBorders>
              <w:left w:val="single" w:sz="2" w:space="0" w:color="808080" w:themeColor="background1" w:themeShade="80"/>
              <w:right w:val="single" w:sz="2" w:space="0" w:color="808080" w:themeColor="background1" w:themeShade="80"/>
            </w:tcBorders>
            <w:hideMark/>
          </w:tcPr>
          <w:p w14:paraId="2BF4C507" w14:textId="77777777" w:rsidR="00D623BA" w:rsidRPr="00F477C1" w:rsidRDefault="00D623BA" w:rsidP="00420BC2">
            <w:pPr>
              <w:pStyle w:val="NormalWeb"/>
              <w:jc w:val="center"/>
              <w:rPr>
                <w:sz w:val="18"/>
                <w:szCs w:val="18"/>
              </w:rPr>
            </w:pPr>
            <w:r w:rsidRPr="00F477C1">
              <w:rPr>
                <w:sz w:val="18"/>
                <w:szCs w:val="18"/>
              </w:rPr>
              <w:t>0</w:t>
            </w:r>
          </w:p>
        </w:tc>
        <w:tc>
          <w:tcPr>
            <w:tcW w:w="1080" w:type="dxa"/>
            <w:tcBorders>
              <w:left w:val="single" w:sz="2" w:space="0" w:color="808080" w:themeColor="background1" w:themeShade="80"/>
              <w:right w:val="single" w:sz="2" w:space="0" w:color="808080" w:themeColor="background1" w:themeShade="80"/>
            </w:tcBorders>
            <w:hideMark/>
          </w:tcPr>
          <w:p w14:paraId="68376ADE" w14:textId="77777777" w:rsidR="00D623BA" w:rsidRPr="00F477C1" w:rsidRDefault="00D623BA" w:rsidP="00420BC2">
            <w:pPr>
              <w:pStyle w:val="NormalWeb"/>
              <w:jc w:val="center"/>
              <w:rPr>
                <w:sz w:val="18"/>
                <w:szCs w:val="18"/>
              </w:rPr>
            </w:pPr>
            <w:r w:rsidRPr="00F477C1">
              <w:rPr>
                <w:sz w:val="18"/>
                <w:szCs w:val="18"/>
              </w:rPr>
              <w:t>2</w:t>
            </w:r>
          </w:p>
        </w:tc>
        <w:tc>
          <w:tcPr>
            <w:tcW w:w="1079" w:type="dxa"/>
            <w:tcBorders>
              <w:left w:val="single" w:sz="2" w:space="0" w:color="808080" w:themeColor="background1" w:themeShade="80"/>
              <w:right w:val="single" w:sz="2" w:space="0" w:color="808080" w:themeColor="background1" w:themeShade="80"/>
            </w:tcBorders>
            <w:hideMark/>
          </w:tcPr>
          <w:p w14:paraId="310BB1DF" w14:textId="77777777" w:rsidR="00D623BA" w:rsidRPr="00F477C1" w:rsidRDefault="00D623BA" w:rsidP="00420BC2">
            <w:pPr>
              <w:pStyle w:val="NormalWeb"/>
              <w:jc w:val="center"/>
              <w:rPr>
                <w:sz w:val="18"/>
                <w:szCs w:val="18"/>
              </w:rPr>
            </w:pPr>
            <w:r w:rsidRPr="00F477C1">
              <w:rPr>
                <w:sz w:val="18"/>
                <w:szCs w:val="18"/>
              </w:rPr>
              <w:t>38</w:t>
            </w:r>
          </w:p>
        </w:tc>
        <w:tc>
          <w:tcPr>
            <w:tcW w:w="1080" w:type="dxa"/>
            <w:tcBorders>
              <w:left w:val="single" w:sz="2" w:space="0" w:color="808080" w:themeColor="background1" w:themeShade="80"/>
              <w:right w:val="single" w:sz="2" w:space="0" w:color="808080" w:themeColor="background1" w:themeShade="80"/>
            </w:tcBorders>
            <w:hideMark/>
          </w:tcPr>
          <w:p w14:paraId="28B38F15" w14:textId="77777777" w:rsidR="00D623BA" w:rsidRPr="00F477C1" w:rsidRDefault="00D623BA" w:rsidP="00420BC2">
            <w:pPr>
              <w:pStyle w:val="NormalWeb"/>
              <w:jc w:val="center"/>
              <w:rPr>
                <w:sz w:val="18"/>
                <w:szCs w:val="18"/>
              </w:rPr>
            </w:pPr>
            <w:r w:rsidRPr="00F477C1">
              <w:rPr>
                <w:sz w:val="18"/>
                <w:szCs w:val="18"/>
              </w:rPr>
              <w:t>5.3</w:t>
            </w:r>
          </w:p>
        </w:tc>
        <w:tc>
          <w:tcPr>
            <w:tcW w:w="1079" w:type="dxa"/>
            <w:tcBorders>
              <w:left w:val="single" w:sz="2" w:space="0" w:color="808080" w:themeColor="background1" w:themeShade="80"/>
              <w:right w:val="single" w:sz="2" w:space="0" w:color="808080" w:themeColor="background1" w:themeShade="80"/>
            </w:tcBorders>
            <w:hideMark/>
          </w:tcPr>
          <w:p w14:paraId="0B84CEA8" w14:textId="77777777" w:rsidR="00D623BA" w:rsidRPr="00F477C1" w:rsidRDefault="00D623BA" w:rsidP="00420BC2">
            <w:pPr>
              <w:pStyle w:val="NormalWeb"/>
              <w:jc w:val="center"/>
              <w:rPr>
                <w:sz w:val="18"/>
                <w:szCs w:val="18"/>
              </w:rPr>
            </w:pPr>
            <w:r w:rsidRPr="00F477C1">
              <w:rPr>
                <w:sz w:val="18"/>
                <w:szCs w:val="18"/>
              </w:rPr>
              <w:t>7</w:t>
            </w:r>
          </w:p>
        </w:tc>
        <w:tc>
          <w:tcPr>
            <w:tcW w:w="1080" w:type="dxa"/>
            <w:tcBorders>
              <w:left w:val="single" w:sz="2" w:space="0" w:color="808080" w:themeColor="background1" w:themeShade="80"/>
              <w:right w:val="single" w:sz="2" w:space="0" w:color="808080" w:themeColor="background1" w:themeShade="80"/>
            </w:tcBorders>
            <w:hideMark/>
          </w:tcPr>
          <w:p w14:paraId="00F8B516" w14:textId="77777777" w:rsidR="00D623BA" w:rsidRPr="00F477C1" w:rsidRDefault="00D623BA" w:rsidP="00420BC2">
            <w:pPr>
              <w:pStyle w:val="NormalWeb"/>
              <w:jc w:val="center"/>
              <w:rPr>
                <w:sz w:val="18"/>
                <w:szCs w:val="18"/>
              </w:rPr>
            </w:pPr>
            <w:r w:rsidRPr="00F477C1">
              <w:rPr>
                <w:sz w:val="18"/>
                <w:szCs w:val="18"/>
              </w:rPr>
              <w:t>287</w:t>
            </w:r>
          </w:p>
        </w:tc>
        <w:tc>
          <w:tcPr>
            <w:tcW w:w="1080" w:type="dxa"/>
            <w:tcBorders>
              <w:left w:val="single" w:sz="2" w:space="0" w:color="808080" w:themeColor="background1" w:themeShade="80"/>
            </w:tcBorders>
            <w:hideMark/>
          </w:tcPr>
          <w:p w14:paraId="6047CD5B" w14:textId="77777777" w:rsidR="00D623BA" w:rsidRPr="00F477C1" w:rsidRDefault="00D623BA" w:rsidP="00420BC2">
            <w:pPr>
              <w:pStyle w:val="NormalWeb"/>
              <w:jc w:val="center"/>
              <w:rPr>
                <w:sz w:val="18"/>
                <w:szCs w:val="18"/>
              </w:rPr>
            </w:pPr>
            <w:r w:rsidRPr="00F477C1">
              <w:rPr>
                <w:sz w:val="18"/>
                <w:szCs w:val="18"/>
              </w:rPr>
              <w:t>2.4</w:t>
            </w:r>
          </w:p>
        </w:tc>
      </w:tr>
    </w:tbl>
    <w:p w14:paraId="701A73C0" w14:textId="77777777" w:rsidR="00D623BA" w:rsidRDefault="00D623BA" w:rsidP="00D13852">
      <w:pPr>
        <w:pStyle w:val="CDIfootnotes"/>
      </w:pPr>
      <w:r w:rsidRPr="00D13852">
        <w:t xml:space="preserve">a </w:t>
      </w:r>
      <w:r w:rsidRPr="00D13852">
        <w:tab/>
        <w:t xml:space="preserve">excludes cases where the causative serotype was </w:t>
      </w:r>
      <w:proofErr w:type="gramStart"/>
      <w:r w:rsidRPr="00D13852">
        <w:t>unknown</w:t>
      </w:r>
      <w:proofErr w:type="gramEnd"/>
    </w:p>
    <w:p w14:paraId="41D76D08" w14:textId="77777777" w:rsidR="00212C1A" w:rsidRDefault="00212C1A" w:rsidP="00212C1A">
      <w:pPr>
        <w:pStyle w:val="CDIFigures"/>
      </w:pPr>
      <w:r>
        <w:t xml:space="preserve">Table 4. Incidence and rates of serotype-1 IPD in the outbreak regions compared to the rest of Australia, before, during and after the </w:t>
      </w:r>
      <w:proofErr w:type="gramStart"/>
      <w:r>
        <w:t>outbreak</w:t>
      </w:r>
      <w:proofErr w:type="gram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rates and the number of cases of serotype 1 in the outbreak regions and in the rest of Australia and compares the rates using the incidence rate ratio with 95 percent confidence intervals. It looks at these for 4 time periods, 2003 to 2009, 2010 to 2013 and the single years of 2011 and 2014."/>
      </w:tblPr>
      <w:tblGrid>
        <w:gridCol w:w="2134"/>
        <w:gridCol w:w="2134"/>
        <w:gridCol w:w="2134"/>
        <w:gridCol w:w="2135"/>
        <w:gridCol w:w="2134"/>
        <w:gridCol w:w="2134"/>
        <w:gridCol w:w="2135"/>
      </w:tblGrid>
      <w:tr w:rsidR="00486279" w:rsidRPr="00463DFD" w14:paraId="6D736044" w14:textId="77777777" w:rsidTr="00486279">
        <w:trPr>
          <w:cnfStyle w:val="100000000000" w:firstRow="1" w:lastRow="0" w:firstColumn="0" w:lastColumn="0" w:oddVBand="0" w:evenVBand="0" w:oddHBand="0" w:evenHBand="0" w:firstRowFirstColumn="0" w:firstRowLastColumn="0" w:lastRowFirstColumn="0" w:lastRowLastColumn="0"/>
          <w:tblHeader/>
        </w:trPr>
        <w:tc>
          <w:tcPr>
            <w:tcW w:w="2134" w:type="dxa"/>
            <w:tcBorders>
              <w:right w:val="single" w:sz="2" w:space="0" w:color="FFFFFF" w:themeColor="background1"/>
            </w:tcBorders>
            <w:hideMark/>
          </w:tcPr>
          <w:p w14:paraId="007EB57C" w14:textId="77777777" w:rsidR="00212C1A" w:rsidRPr="00463DFD" w:rsidRDefault="00212C1A" w:rsidP="00BE1ADE">
            <w:pPr>
              <w:pStyle w:val="NormalWeb"/>
              <w:rPr>
                <w:color w:val="FFFFFF" w:themeColor="background1"/>
                <w:sz w:val="18"/>
                <w:szCs w:val="18"/>
              </w:rPr>
            </w:pPr>
            <w:r w:rsidRPr="00463DFD">
              <w:rPr>
                <w:color w:val="FFFFFF" w:themeColor="background1"/>
                <w:sz w:val="18"/>
                <w:szCs w:val="18"/>
              </w:rPr>
              <w:t>Years before, during and after outbreak</w:t>
            </w:r>
          </w:p>
        </w:tc>
        <w:tc>
          <w:tcPr>
            <w:tcW w:w="4268" w:type="dxa"/>
            <w:gridSpan w:val="2"/>
            <w:tcBorders>
              <w:left w:val="single" w:sz="2" w:space="0" w:color="FFFFFF" w:themeColor="background1"/>
              <w:right w:val="single" w:sz="2" w:space="0" w:color="FFFFFF" w:themeColor="background1"/>
            </w:tcBorders>
            <w:hideMark/>
          </w:tcPr>
          <w:p w14:paraId="180506E7" w14:textId="77777777" w:rsidR="00212C1A" w:rsidRPr="00463DFD" w:rsidRDefault="00212C1A" w:rsidP="00BE1ADE">
            <w:pPr>
              <w:pStyle w:val="NormalWeb"/>
              <w:jc w:val="center"/>
              <w:rPr>
                <w:color w:val="FFFFFF" w:themeColor="background1"/>
                <w:sz w:val="18"/>
                <w:szCs w:val="18"/>
              </w:rPr>
            </w:pPr>
            <w:r w:rsidRPr="00463DFD">
              <w:rPr>
                <w:color w:val="FFFFFF" w:themeColor="background1"/>
                <w:sz w:val="18"/>
                <w:szCs w:val="18"/>
              </w:rPr>
              <w:t>Outbreak regions</w:t>
            </w:r>
          </w:p>
        </w:tc>
        <w:tc>
          <w:tcPr>
            <w:tcW w:w="4269" w:type="dxa"/>
            <w:gridSpan w:val="2"/>
            <w:tcBorders>
              <w:left w:val="single" w:sz="2" w:space="0" w:color="FFFFFF" w:themeColor="background1"/>
              <w:right w:val="single" w:sz="2" w:space="0" w:color="FFFFFF" w:themeColor="background1"/>
            </w:tcBorders>
            <w:hideMark/>
          </w:tcPr>
          <w:p w14:paraId="13E68FE2" w14:textId="77777777" w:rsidR="00212C1A" w:rsidRPr="00463DFD" w:rsidRDefault="00212C1A" w:rsidP="00BE1ADE">
            <w:pPr>
              <w:pStyle w:val="NormalWeb"/>
              <w:jc w:val="center"/>
              <w:rPr>
                <w:color w:val="FFFFFF" w:themeColor="background1"/>
                <w:sz w:val="18"/>
                <w:szCs w:val="18"/>
              </w:rPr>
            </w:pPr>
            <w:r w:rsidRPr="00463DFD">
              <w:rPr>
                <w:color w:val="FFFFFF" w:themeColor="background1"/>
                <w:sz w:val="18"/>
                <w:szCs w:val="18"/>
              </w:rPr>
              <w:t>Non-outbreak regions – rest of Australia</w:t>
            </w:r>
          </w:p>
        </w:tc>
        <w:tc>
          <w:tcPr>
            <w:tcW w:w="4269" w:type="dxa"/>
            <w:gridSpan w:val="2"/>
            <w:tcBorders>
              <w:left w:val="single" w:sz="2" w:space="0" w:color="FFFFFF" w:themeColor="background1"/>
            </w:tcBorders>
            <w:hideMark/>
          </w:tcPr>
          <w:p w14:paraId="0F2A866B" w14:textId="77777777" w:rsidR="00212C1A" w:rsidRPr="00463DFD" w:rsidRDefault="00212C1A" w:rsidP="00BE1ADE">
            <w:pPr>
              <w:pStyle w:val="NormalWeb"/>
              <w:jc w:val="center"/>
              <w:rPr>
                <w:color w:val="FFFFFF" w:themeColor="background1"/>
                <w:sz w:val="18"/>
                <w:szCs w:val="18"/>
              </w:rPr>
            </w:pPr>
            <w:r w:rsidRPr="00463DFD">
              <w:rPr>
                <w:color w:val="FFFFFF" w:themeColor="background1"/>
                <w:sz w:val="18"/>
                <w:szCs w:val="18"/>
              </w:rPr>
              <w:t>Outbreak regions versus non-outbreak regions</w:t>
            </w:r>
          </w:p>
        </w:tc>
      </w:tr>
      <w:tr w:rsidR="00212C1A" w:rsidRPr="00463DFD" w14:paraId="13508FBE" w14:textId="77777777" w:rsidTr="00BC4754">
        <w:trPr>
          <w:cnfStyle w:val="100000000000" w:firstRow="1" w:lastRow="0" w:firstColumn="0" w:lastColumn="0" w:oddVBand="0" w:evenVBand="0" w:oddHBand="0" w:evenHBand="0" w:firstRowFirstColumn="0" w:firstRowLastColumn="0" w:lastRowFirstColumn="0" w:lastRowLastColumn="0"/>
          <w:tblHeader/>
        </w:trPr>
        <w:tc>
          <w:tcPr>
            <w:tcW w:w="2134" w:type="dxa"/>
            <w:tcBorders>
              <w:right w:val="single" w:sz="2" w:space="0" w:color="FFFFFF" w:themeColor="background1"/>
            </w:tcBorders>
            <w:hideMark/>
          </w:tcPr>
          <w:p w14:paraId="7E410B65" w14:textId="77777777" w:rsidR="00212C1A" w:rsidRPr="00463DFD" w:rsidRDefault="00212C1A" w:rsidP="00BE1ADE">
            <w:pPr>
              <w:rPr>
                <w:color w:val="FFFFFF" w:themeColor="background1"/>
                <w:sz w:val="18"/>
                <w:szCs w:val="18"/>
              </w:rPr>
            </w:pPr>
          </w:p>
        </w:tc>
        <w:tc>
          <w:tcPr>
            <w:tcW w:w="2134" w:type="dxa"/>
            <w:tcBorders>
              <w:left w:val="single" w:sz="2" w:space="0" w:color="FFFFFF" w:themeColor="background1"/>
              <w:right w:val="single" w:sz="2" w:space="0" w:color="FFFFFF" w:themeColor="background1"/>
            </w:tcBorders>
            <w:hideMark/>
          </w:tcPr>
          <w:p w14:paraId="205F1F80" w14:textId="77777777" w:rsidR="00212C1A" w:rsidRPr="00463DFD" w:rsidRDefault="00212C1A" w:rsidP="00BE1ADE">
            <w:pPr>
              <w:pStyle w:val="NormalWeb"/>
              <w:jc w:val="center"/>
              <w:rPr>
                <w:color w:val="FFFFFF" w:themeColor="background1"/>
                <w:sz w:val="18"/>
                <w:szCs w:val="18"/>
              </w:rPr>
            </w:pPr>
            <w:r w:rsidRPr="00463DFD">
              <w:rPr>
                <w:color w:val="FFFFFF" w:themeColor="background1"/>
                <w:sz w:val="18"/>
                <w:szCs w:val="18"/>
              </w:rPr>
              <w:t>Number</w:t>
            </w:r>
          </w:p>
        </w:tc>
        <w:tc>
          <w:tcPr>
            <w:tcW w:w="2134" w:type="dxa"/>
            <w:tcBorders>
              <w:left w:val="single" w:sz="2" w:space="0" w:color="FFFFFF" w:themeColor="background1"/>
              <w:right w:val="single" w:sz="2" w:space="0" w:color="FFFFFF" w:themeColor="background1"/>
            </w:tcBorders>
            <w:hideMark/>
          </w:tcPr>
          <w:p w14:paraId="7C482413" w14:textId="77777777" w:rsidR="00212C1A" w:rsidRPr="00463DFD" w:rsidRDefault="00212C1A" w:rsidP="00BE1ADE">
            <w:pPr>
              <w:pStyle w:val="NormalWeb"/>
              <w:jc w:val="center"/>
              <w:rPr>
                <w:color w:val="FFFFFF" w:themeColor="background1"/>
                <w:sz w:val="18"/>
                <w:szCs w:val="18"/>
              </w:rPr>
            </w:pPr>
            <w:r w:rsidRPr="00463DFD">
              <w:rPr>
                <w:color w:val="FFFFFF" w:themeColor="background1"/>
                <w:sz w:val="18"/>
                <w:szCs w:val="18"/>
              </w:rPr>
              <w:t>Rate</w:t>
            </w:r>
          </w:p>
        </w:tc>
        <w:tc>
          <w:tcPr>
            <w:tcW w:w="2135" w:type="dxa"/>
            <w:tcBorders>
              <w:left w:val="single" w:sz="2" w:space="0" w:color="FFFFFF" w:themeColor="background1"/>
              <w:right w:val="single" w:sz="2" w:space="0" w:color="FFFFFF" w:themeColor="background1"/>
            </w:tcBorders>
            <w:hideMark/>
          </w:tcPr>
          <w:p w14:paraId="769CDE0B" w14:textId="77777777" w:rsidR="00212C1A" w:rsidRPr="00463DFD" w:rsidRDefault="00212C1A" w:rsidP="00BE1ADE">
            <w:pPr>
              <w:pStyle w:val="NormalWeb"/>
              <w:jc w:val="center"/>
              <w:rPr>
                <w:color w:val="FFFFFF" w:themeColor="background1"/>
                <w:sz w:val="18"/>
                <w:szCs w:val="18"/>
              </w:rPr>
            </w:pPr>
            <w:r w:rsidRPr="00463DFD">
              <w:rPr>
                <w:color w:val="FFFFFF" w:themeColor="background1"/>
                <w:sz w:val="18"/>
                <w:szCs w:val="18"/>
              </w:rPr>
              <w:t>Number</w:t>
            </w:r>
          </w:p>
        </w:tc>
        <w:tc>
          <w:tcPr>
            <w:tcW w:w="2134" w:type="dxa"/>
            <w:tcBorders>
              <w:left w:val="single" w:sz="2" w:space="0" w:color="FFFFFF" w:themeColor="background1"/>
              <w:right w:val="single" w:sz="2" w:space="0" w:color="FFFFFF" w:themeColor="background1"/>
            </w:tcBorders>
            <w:hideMark/>
          </w:tcPr>
          <w:p w14:paraId="7AFF309F" w14:textId="77777777" w:rsidR="00212C1A" w:rsidRPr="00463DFD" w:rsidRDefault="00212C1A" w:rsidP="00BE1ADE">
            <w:pPr>
              <w:pStyle w:val="NormalWeb"/>
              <w:jc w:val="center"/>
              <w:rPr>
                <w:color w:val="FFFFFF" w:themeColor="background1"/>
                <w:sz w:val="18"/>
                <w:szCs w:val="18"/>
              </w:rPr>
            </w:pPr>
            <w:r w:rsidRPr="00463DFD">
              <w:rPr>
                <w:color w:val="FFFFFF" w:themeColor="background1"/>
                <w:sz w:val="18"/>
                <w:szCs w:val="18"/>
              </w:rPr>
              <w:t>Rate</w:t>
            </w:r>
          </w:p>
        </w:tc>
        <w:tc>
          <w:tcPr>
            <w:tcW w:w="2134" w:type="dxa"/>
            <w:tcBorders>
              <w:left w:val="single" w:sz="2" w:space="0" w:color="FFFFFF" w:themeColor="background1"/>
              <w:right w:val="single" w:sz="2" w:space="0" w:color="FFFFFF" w:themeColor="background1"/>
            </w:tcBorders>
            <w:hideMark/>
          </w:tcPr>
          <w:p w14:paraId="2AF941DE" w14:textId="77777777" w:rsidR="00212C1A" w:rsidRPr="00463DFD" w:rsidRDefault="00212C1A" w:rsidP="00BE1ADE">
            <w:pPr>
              <w:pStyle w:val="NormalWeb"/>
              <w:jc w:val="center"/>
              <w:rPr>
                <w:color w:val="FFFFFF" w:themeColor="background1"/>
                <w:sz w:val="18"/>
                <w:szCs w:val="18"/>
              </w:rPr>
            </w:pPr>
            <w:r w:rsidRPr="00463DFD">
              <w:rPr>
                <w:color w:val="FFFFFF" w:themeColor="background1"/>
                <w:sz w:val="18"/>
                <w:szCs w:val="18"/>
              </w:rPr>
              <w:t>IRR</w:t>
            </w:r>
          </w:p>
        </w:tc>
        <w:tc>
          <w:tcPr>
            <w:tcW w:w="2135" w:type="dxa"/>
            <w:tcBorders>
              <w:left w:val="single" w:sz="2" w:space="0" w:color="FFFFFF" w:themeColor="background1"/>
            </w:tcBorders>
            <w:hideMark/>
          </w:tcPr>
          <w:p w14:paraId="3760B019" w14:textId="77777777" w:rsidR="00212C1A" w:rsidRPr="00463DFD" w:rsidRDefault="00212C1A" w:rsidP="00BE1ADE">
            <w:pPr>
              <w:pStyle w:val="NormalWeb"/>
              <w:jc w:val="center"/>
              <w:rPr>
                <w:color w:val="FFFFFF" w:themeColor="background1"/>
                <w:sz w:val="18"/>
                <w:szCs w:val="18"/>
              </w:rPr>
            </w:pPr>
            <w:r w:rsidRPr="00463DFD">
              <w:rPr>
                <w:color w:val="FFFFFF" w:themeColor="background1"/>
                <w:sz w:val="18"/>
                <w:szCs w:val="18"/>
              </w:rPr>
              <w:t>95% CI</w:t>
            </w:r>
          </w:p>
        </w:tc>
      </w:tr>
      <w:tr w:rsidR="00212C1A" w:rsidRPr="00463DFD" w14:paraId="64EA87D1" w14:textId="77777777" w:rsidTr="00BC4754">
        <w:tc>
          <w:tcPr>
            <w:tcW w:w="2134" w:type="dxa"/>
            <w:tcBorders>
              <w:right w:val="single" w:sz="2" w:space="0" w:color="808080" w:themeColor="background1" w:themeShade="80"/>
            </w:tcBorders>
            <w:hideMark/>
          </w:tcPr>
          <w:p w14:paraId="14A72BA4" w14:textId="77777777" w:rsidR="00212C1A" w:rsidRPr="00463DFD" w:rsidRDefault="00212C1A" w:rsidP="00BE1ADE">
            <w:pPr>
              <w:pStyle w:val="NormalWeb"/>
              <w:rPr>
                <w:sz w:val="18"/>
                <w:szCs w:val="18"/>
              </w:rPr>
            </w:pPr>
            <w:r w:rsidRPr="00463DFD">
              <w:rPr>
                <w:sz w:val="18"/>
                <w:szCs w:val="18"/>
              </w:rPr>
              <w:t>Before (2003 to 2009)</w:t>
            </w:r>
          </w:p>
        </w:tc>
        <w:tc>
          <w:tcPr>
            <w:tcW w:w="2134" w:type="dxa"/>
            <w:tcBorders>
              <w:left w:val="single" w:sz="2" w:space="0" w:color="808080" w:themeColor="background1" w:themeShade="80"/>
              <w:right w:val="single" w:sz="2" w:space="0" w:color="808080" w:themeColor="background1" w:themeShade="80"/>
            </w:tcBorders>
            <w:hideMark/>
          </w:tcPr>
          <w:p w14:paraId="6C41EE38" w14:textId="77777777" w:rsidR="00212C1A" w:rsidRPr="00463DFD" w:rsidRDefault="00212C1A" w:rsidP="00BE1ADE">
            <w:pPr>
              <w:pStyle w:val="NormalWeb"/>
              <w:jc w:val="center"/>
              <w:rPr>
                <w:sz w:val="18"/>
                <w:szCs w:val="18"/>
              </w:rPr>
            </w:pPr>
            <w:r w:rsidRPr="00463DFD">
              <w:rPr>
                <w:sz w:val="18"/>
                <w:szCs w:val="18"/>
              </w:rPr>
              <w:t>46</w:t>
            </w:r>
          </w:p>
        </w:tc>
        <w:tc>
          <w:tcPr>
            <w:tcW w:w="2134" w:type="dxa"/>
            <w:tcBorders>
              <w:left w:val="single" w:sz="2" w:space="0" w:color="808080" w:themeColor="background1" w:themeShade="80"/>
              <w:right w:val="single" w:sz="2" w:space="0" w:color="808080" w:themeColor="background1" w:themeShade="80"/>
            </w:tcBorders>
            <w:hideMark/>
          </w:tcPr>
          <w:p w14:paraId="385CCAA9" w14:textId="77777777" w:rsidR="00212C1A" w:rsidRPr="00463DFD" w:rsidRDefault="00212C1A" w:rsidP="00BE1ADE">
            <w:pPr>
              <w:pStyle w:val="NormalWeb"/>
              <w:jc w:val="center"/>
              <w:rPr>
                <w:sz w:val="18"/>
                <w:szCs w:val="18"/>
              </w:rPr>
            </w:pPr>
            <w:r w:rsidRPr="00463DFD">
              <w:rPr>
                <w:sz w:val="18"/>
                <w:szCs w:val="18"/>
              </w:rPr>
              <w:t>0.24</w:t>
            </w:r>
          </w:p>
        </w:tc>
        <w:tc>
          <w:tcPr>
            <w:tcW w:w="2135" w:type="dxa"/>
            <w:tcBorders>
              <w:left w:val="single" w:sz="2" w:space="0" w:color="808080" w:themeColor="background1" w:themeShade="80"/>
              <w:right w:val="single" w:sz="2" w:space="0" w:color="808080" w:themeColor="background1" w:themeShade="80"/>
            </w:tcBorders>
            <w:hideMark/>
          </w:tcPr>
          <w:p w14:paraId="5AD79A06" w14:textId="77777777" w:rsidR="00212C1A" w:rsidRPr="00463DFD" w:rsidRDefault="00212C1A" w:rsidP="00BE1ADE">
            <w:pPr>
              <w:pStyle w:val="NormalWeb"/>
              <w:jc w:val="center"/>
              <w:rPr>
                <w:sz w:val="18"/>
                <w:szCs w:val="18"/>
              </w:rPr>
            </w:pPr>
            <w:r w:rsidRPr="00463DFD">
              <w:rPr>
                <w:sz w:val="18"/>
                <w:szCs w:val="18"/>
              </w:rPr>
              <w:t>197</w:t>
            </w:r>
          </w:p>
        </w:tc>
        <w:tc>
          <w:tcPr>
            <w:tcW w:w="2134" w:type="dxa"/>
            <w:tcBorders>
              <w:left w:val="single" w:sz="2" w:space="0" w:color="808080" w:themeColor="background1" w:themeShade="80"/>
              <w:right w:val="single" w:sz="2" w:space="0" w:color="808080" w:themeColor="background1" w:themeShade="80"/>
            </w:tcBorders>
            <w:hideMark/>
          </w:tcPr>
          <w:p w14:paraId="1C3CAFD9" w14:textId="77777777" w:rsidR="00212C1A" w:rsidRPr="00463DFD" w:rsidRDefault="00212C1A" w:rsidP="00BE1ADE">
            <w:pPr>
              <w:pStyle w:val="NormalWeb"/>
              <w:jc w:val="center"/>
              <w:rPr>
                <w:sz w:val="18"/>
                <w:szCs w:val="18"/>
              </w:rPr>
            </w:pPr>
            <w:r w:rsidRPr="00463DFD">
              <w:rPr>
                <w:sz w:val="18"/>
                <w:szCs w:val="18"/>
              </w:rPr>
              <w:t>0.16</w:t>
            </w:r>
          </w:p>
        </w:tc>
        <w:tc>
          <w:tcPr>
            <w:tcW w:w="2134" w:type="dxa"/>
            <w:tcBorders>
              <w:left w:val="single" w:sz="2" w:space="0" w:color="808080" w:themeColor="background1" w:themeShade="80"/>
              <w:right w:val="single" w:sz="2" w:space="0" w:color="808080" w:themeColor="background1" w:themeShade="80"/>
            </w:tcBorders>
            <w:hideMark/>
          </w:tcPr>
          <w:p w14:paraId="5F32DF3D" w14:textId="77777777" w:rsidR="00212C1A" w:rsidRPr="00463DFD" w:rsidRDefault="00212C1A" w:rsidP="00BE1ADE">
            <w:pPr>
              <w:pStyle w:val="NormalWeb"/>
              <w:jc w:val="center"/>
              <w:rPr>
                <w:sz w:val="18"/>
                <w:szCs w:val="18"/>
              </w:rPr>
            </w:pPr>
            <w:r w:rsidRPr="00463DFD">
              <w:rPr>
                <w:sz w:val="18"/>
                <w:szCs w:val="18"/>
              </w:rPr>
              <w:t>1.50</w:t>
            </w:r>
          </w:p>
        </w:tc>
        <w:tc>
          <w:tcPr>
            <w:tcW w:w="2135" w:type="dxa"/>
            <w:tcBorders>
              <w:left w:val="single" w:sz="2" w:space="0" w:color="808080" w:themeColor="background1" w:themeShade="80"/>
            </w:tcBorders>
            <w:hideMark/>
          </w:tcPr>
          <w:p w14:paraId="3DAB04F9" w14:textId="77777777" w:rsidR="00212C1A" w:rsidRPr="00463DFD" w:rsidRDefault="00212C1A" w:rsidP="00BE1ADE">
            <w:pPr>
              <w:pStyle w:val="NormalWeb"/>
              <w:jc w:val="center"/>
              <w:rPr>
                <w:sz w:val="18"/>
                <w:szCs w:val="18"/>
              </w:rPr>
            </w:pPr>
            <w:r w:rsidRPr="00463DFD">
              <w:rPr>
                <w:sz w:val="18"/>
                <w:szCs w:val="18"/>
              </w:rPr>
              <w:t>1.07–2.09</w:t>
            </w:r>
          </w:p>
        </w:tc>
      </w:tr>
      <w:tr w:rsidR="00212C1A" w:rsidRPr="00463DFD" w14:paraId="0AB726E0" w14:textId="77777777" w:rsidTr="00BC4754">
        <w:trPr>
          <w:cnfStyle w:val="000000010000" w:firstRow="0" w:lastRow="0" w:firstColumn="0" w:lastColumn="0" w:oddVBand="0" w:evenVBand="0" w:oddHBand="0" w:evenHBand="1" w:firstRowFirstColumn="0" w:firstRowLastColumn="0" w:lastRowFirstColumn="0" w:lastRowLastColumn="0"/>
        </w:trPr>
        <w:tc>
          <w:tcPr>
            <w:tcW w:w="2134" w:type="dxa"/>
            <w:tcBorders>
              <w:right w:val="single" w:sz="2" w:space="0" w:color="808080" w:themeColor="background1" w:themeShade="80"/>
            </w:tcBorders>
            <w:hideMark/>
          </w:tcPr>
          <w:p w14:paraId="14694215" w14:textId="77777777" w:rsidR="00212C1A" w:rsidRPr="00463DFD" w:rsidRDefault="00212C1A" w:rsidP="00BE1ADE">
            <w:pPr>
              <w:pStyle w:val="NormalWeb"/>
              <w:rPr>
                <w:sz w:val="18"/>
                <w:szCs w:val="18"/>
              </w:rPr>
            </w:pPr>
            <w:r w:rsidRPr="00463DFD">
              <w:rPr>
                <w:sz w:val="18"/>
                <w:szCs w:val="18"/>
              </w:rPr>
              <w:t>During (2010 to 2013)</w:t>
            </w:r>
          </w:p>
        </w:tc>
        <w:tc>
          <w:tcPr>
            <w:tcW w:w="2134" w:type="dxa"/>
            <w:tcBorders>
              <w:left w:val="single" w:sz="2" w:space="0" w:color="808080" w:themeColor="background1" w:themeShade="80"/>
              <w:right w:val="single" w:sz="2" w:space="0" w:color="808080" w:themeColor="background1" w:themeShade="80"/>
            </w:tcBorders>
            <w:hideMark/>
          </w:tcPr>
          <w:p w14:paraId="2518DB59" w14:textId="77777777" w:rsidR="00212C1A" w:rsidRPr="00463DFD" w:rsidRDefault="00212C1A" w:rsidP="00BE1ADE">
            <w:pPr>
              <w:pStyle w:val="NormalWeb"/>
              <w:jc w:val="center"/>
              <w:rPr>
                <w:sz w:val="18"/>
                <w:szCs w:val="18"/>
              </w:rPr>
            </w:pPr>
            <w:r w:rsidRPr="00463DFD">
              <w:rPr>
                <w:sz w:val="18"/>
                <w:szCs w:val="18"/>
              </w:rPr>
              <w:t>245</w:t>
            </w:r>
          </w:p>
        </w:tc>
        <w:tc>
          <w:tcPr>
            <w:tcW w:w="2134" w:type="dxa"/>
            <w:tcBorders>
              <w:left w:val="single" w:sz="2" w:space="0" w:color="808080" w:themeColor="background1" w:themeShade="80"/>
              <w:right w:val="single" w:sz="2" w:space="0" w:color="808080" w:themeColor="background1" w:themeShade="80"/>
            </w:tcBorders>
            <w:hideMark/>
          </w:tcPr>
          <w:p w14:paraId="45A3B641" w14:textId="77777777" w:rsidR="00212C1A" w:rsidRPr="00463DFD" w:rsidRDefault="00212C1A" w:rsidP="00BE1ADE">
            <w:pPr>
              <w:pStyle w:val="NormalWeb"/>
              <w:jc w:val="center"/>
              <w:rPr>
                <w:sz w:val="18"/>
                <w:szCs w:val="18"/>
              </w:rPr>
            </w:pPr>
            <w:r w:rsidRPr="00463DFD">
              <w:rPr>
                <w:sz w:val="18"/>
                <w:szCs w:val="18"/>
              </w:rPr>
              <w:t>1.93</w:t>
            </w:r>
          </w:p>
        </w:tc>
        <w:tc>
          <w:tcPr>
            <w:tcW w:w="2135" w:type="dxa"/>
            <w:tcBorders>
              <w:left w:val="single" w:sz="2" w:space="0" w:color="808080" w:themeColor="background1" w:themeShade="80"/>
              <w:right w:val="single" w:sz="2" w:space="0" w:color="808080" w:themeColor="background1" w:themeShade="80"/>
            </w:tcBorders>
            <w:hideMark/>
          </w:tcPr>
          <w:p w14:paraId="3493BC0C" w14:textId="77777777" w:rsidR="00212C1A" w:rsidRPr="00463DFD" w:rsidRDefault="00212C1A" w:rsidP="00BE1ADE">
            <w:pPr>
              <w:pStyle w:val="NormalWeb"/>
              <w:jc w:val="center"/>
              <w:rPr>
                <w:sz w:val="18"/>
                <w:szCs w:val="18"/>
              </w:rPr>
            </w:pPr>
            <w:r w:rsidRPr="00463DFD">
              <w:rPr>
                <w:sz w:val="18"/>
                <w:szCs w:val="18"/>
              </w:rPr>
              <w:t>99</w:t>
            </w:r>
          </w:p>
        </w:tc>
        <w:tc>
          <w:tcPr>
            <w:tcW w:w="2134" w:type="dxa"/>
            <w:tcBorders>
              <w:left w:val="single" w:sz="2" w:space="0" w:color="808080" w:themeColor="background1" w:themeShade="80"/>
              <w:right w:val="single" w:sz="2" w:space="0" w:color="808080" w:themeColor="background1" w:themeShade="80"/>
            </w:tcBorders>
            <w:hideMark/>
          </w:tcPr>
          <w:p w14:paraId="22A1E96F" w14:textId="77777777" w:rsidR="00212C1A" w:rsidRPr="00463DFD" w:rsidRDefault="00212C1A" w:rsidP="00BE1ADE">
            <w:pPr>
              <w:pStyle w:val="NormalWeb"/>
              <w:jc w:val="center"/>
              <w:rPr>
                <w:sz w:val="18"/>
                <w:szCs w:val="18"/>
              </w:rPr>
            </w:pPr>
            <w:r w:rsidRPr="00463DFD">
              <w:rPr>
                <w:sz w:val="18"/>
                <w:szCs w:val="18"/>
              </w:rPr>
              <w:t>0.13</w:t>
            </w:r>
          </w:p>
        </w:tc>
        <w:tc>
          <w:tcPr>
            <w:tcW w:w="2134" w:type="dxa"/>
            <w:tcBorders>
              <w:left w:val="single" w:sz="2" w:space="0" w:color="808080" w:themeColor="background1" w:themeShade="80"/>
              <w:right w:val="single" w:sz="2" w:space="0" w:color="808080" w:themeColor="background1" w:themeShade="80"/>
            </w:tcBorders>
            <w:hideMark/>
          </w:tcPr>
          <w:p w14:paraId="38850F55" w14:textId="77777777" w:rsidR="00212C1A" w:rsidRPr="00463DFD" w:rsidRDefault="00212C1A" w:rsidP="00BE1ADE">
            <w:pPr>
              <w:pStyle w:val="NormalWeb"/>
              <w:jc w:val="center"/>
              <w:rPr>
                <w:sz w:val="18"/>
                <w:szCs w:val="18"/>
              </w:rPr>
            </w:pPr>
            <w:r w:rsidRPr="00463DFD">
              <w:rPr>
                <w:sz w:val="18"/>
                <w:szCs w:val="18"/>
              </w:rPr>
              <w:t>15.10</w:t>
            </w:r>
          </w:p>
        </w:tc>
        <w:tc>
          <w:tcPr>
            <w:tcW w:w="2135" w:type="dxa"/>
            <w:tcBorders>
              <w:left w:val="single" w:sz="2" w:space="0" w:color="808080" w:themeColor="background1" w:themeShade="80"/>
            </w:tcBorders>
            <w:hideMark/>
          </w:tcPr>
          <w:p w14:paraId="63A9F8B5" w14:textId="77777777" w:rsidR="00212C1A" w:rsidRPr="00463DFD" w:rsidRDefault="00212C1A" w:rsidP="00BE1ADE">
            <w:pPr>
              <w:pStyle w:val="NormalWeb"/>
              <w:jc w:val="center"/>
              <w:rPr>
                <w:sz w:val="18"/>
                <w:szCs w:val="18"/>
              </w:rPr>
            </w:pPr>
            <w:r w:rsidRPr="00463DFD">
              <w:rPr>
                <w:sz w:val="18"/>
                <w:szCs w:val="18"/>
              </w:rPr>
              <w:t>11.9–19.3</w:t>
            </w:r>
          </w:p>
        </w:tc>
      </w:tr>
      <w:tr w:rsidR="00212C1A" w:rsidRPr="00463DFD" w14:paraId="2EEC039A" w14:textId="77777777" w:rsidTr="00BC4754">
        <w:tc>
          <w:tcPr>
            <w:tcW w:w="2134" w:type="dxa"/>
            <w:tcBorders>
              <w:right w:val="single" w:sz="2" w:space="0" w:color="808080" w:themeColor="background1" w:themeShade="80"/>
            </w:tcBorders>
            <w:hideMark/>
          </w:tcPr>
          <w:p w14:paraId="2F5B212A" w14:textId="77777777" w:rsidR="00212C1A" w:rsidRPr="00463DFD" w:rsidRDefault="00212C1A" w:rsidP="00BE1ADE">
            <w:pPr>
              <w:pStyle w:val="NormalWeb"/>
              <w:rPr>
                <w:sz w:val="18"/>
                <w:szCs w:val="18"/>
              </w:rPr>
            </w:pPr>
            <w:r w:rsidRPr="00463DFD">
              <w:rPr>
                <w:sz w:val="18"/>
                <w:szCs w:val="18"/>
              </w:rPr>
              <w:t>After (2014)</w:t>
            </w:r>
          </w:p>
        </w:tc>
        <w:tc>
          <w:tcPr>
            <w:tcW w:w="2134" w:type="dxa"/>
            <w:tcBorders>
              <w:left w:val="single" w:sz="2" w:space="0" w:color="808080" w:themeColor="background1" w:themeShade="80"/>
              <w:right w:val="single" w:sz="2" w:space="0" w:color="808080" w:themeColor="background1" w:themeShade="80"/>
            </w:tcBorders>
            <w:hideMark/>
          </w:tcPr>
          <w:p w14:paraId="56140E2A" w14:textId="77777777" w:rsidR="00212C1A" w:rsidRPr="00463DFD" w:rsidRDefault="00212C1A" w:rsidP="00BE1ADE">
            <w:pPr>
              <w:pStyle w:val="NormalWeb"/>
              <w:jc w:val="center"/>
              <w:rPr>
                <w:sz w:val="18"/>
                <w:szCs w:val="18"/>
              </w:rPr>
            </w:pPr>
            <w:r w:rsidRPr="00463DFD">
              <w:rPr>
                <w:sz w:val="18"/>
                <w:szCs w:val="18"/>
              </w:rPr>
              <w:t>7</w:t>
            </w:r>
          </w:p>
        </w:tc>
        <w:tc>
          <w:tcPr>
            <w:tcW w:w="2134" w:type="dxa"/>
            <w:tcBorders>
              <w:left w:val="single" w:sz="2" w:space="0" w:color="808080" w:themeColor="background1" w:themeShade="80"/>
              <w:right w:val="single" w:sz="2" w:space="0" w:color="808080" w:themeColor="background1" w:themeShade="80"/>
            </w:tcBorders>
            <w:hideMark/>
          </w:tcPr>
          <w:p w14:paraId="5A704D27" w14:textId="77777777" w:rsidR="00212C1A" w:rsidRPr="00463DFD" w:rsidRDefault="00212C1A" w:rsidP="00BE1ADE">
            <w:pPr>
              <w:pStyle w:val="NormalWeb"/>
              <w:jc w:val="center"/>
              <w:rPr>
                <w:sz w:val="18"/>
                <w:szCs w:val="18"/>
              </w:rPr>
            </w:pPr>
            <w:r w:rsidRPr="00463DFD">
              <w:rPr>
                <w:sz w:val="18"/>
                <w:szCs w:val="18"/>
              </w:rPr>
              <w:t>0.21</w:t>
            </w:r>
          </w:p>
        </w:tc>
        <w:tc>
          <w:tcPr>
            <w:tcW w:w="2135" w:type="dxa"/>
            <w:tcBorders>
              <w:left w:val="single" w:sz="2" w:space="0" w:color="808080" w:themeColor="background1" w:themeShade="80"/>
              <w:right w:val="single" w:sz="2" w:space="0" w:color="808080" w:themeColor="background1" w:themeShade="80"/>
            </w:tcBorders>
            <w:hideMark/>
          </w:tcPr>
          <w:p w14:paraId="214CC097" w14:textId="77777777" w:rsidR="00212C1A" w:rsidRPr="00463DFD" w:rsidRDefault="00212C1A" w:rsidP="00BE1ADE">
            <w:pPr>
              <w:pStyle w:val="NormalWeb"/>
              <w:jc w:val="center"/>
              <w:rPr>
                <w:sz w:val="18"/>
                <w:szCs w:val="18"/>
              </w:rPr>
            </w:pPr>
            <w:r w:rsidRPr="00463DFD">
              <w:rPr>
                <w:sz w:val="18"/>
                <w:szCs w:val="18"/>
              </w:rPr>
              <w:t>3</w:t>
            </w:r>
          </w:p>
        </w:tc>
        <w:tc>
          <w:tcPr>
            <w:tcW w:w="2134" w:type="dxa"/>
            <w:tcBorders>
              <w:left w:val="single" w:sz="2" w:space="0" w:color="808080" w:themeColor="background1" w:themeShade="80"/>
              <w:right w:val="single" w:sz="2" w:space="0" w:color="808080" w:themeColor="background1" w:themeShade="80"/>
            </w:tcBorders>
            <w:hideMark/>
          </w:tcPr>
          <w:p w14:paraId="18851828" w14:textId="77777777" w:rsidR="00212C1A" w:rsidRPr="00463DFD" w:rsidRDefault="00212C1A" w:rsidP="00BE1ADE">
            <w:pPr>
              <w:pStyle w:val="NormalWeb"/>
              <w:jc w:val="center"/>
              <w:rPr>
                <w:sz w:val="18"/>
                <w:szCs w:val="18"/>
              </w:rPr>
            </w:pPr>
            <w:r w:rsidRPr="00463DFD">
              <w:rPr>
                <w:sz w:val="18"/>
                <w:szCs w:val="18"/>
              </w:rPr>
              <w:t>0.01</w:t>
            </w:r>
            <w:r w:rsidRPr="00E17FB2">
              <w:rPr>
                <w:sz w:val="18"/>
                <w:szCs w:val="18"/>
                <w:vertAlign w:val="superscript"/>
              </w:rPr>
              <w:t>a</w:t>
            </w:r>
          </w:p>
        </w:tc>
        <w:tc>
          <w:tcPr>
            <w:tcW w:w="2134" w:type="dxa"/>
            <w:tcBorders>
              <w:left w:val="single" w:sz="2" w:space="0" w:color="808080" w:themeColor="background1" w:themeShade="80"/>
              <w:right w:val="single" w:sz="2" w:space="0" w:color="808080" w:themeColor="background1" w:themeShade="80"/>
            </w:tcBorders>
            <w:hideMark/>
          </w:tcPr>
          <w:p w14:paraId="44FC6BF5" w14:textId="77777777" w:rsidR="00212C1A" w:rsidRPr="00463DFD" w:rsidRDefault="00212C1A" w:rsidP="00BE1ADE">
            <w:pPr>
              <w:pStyle w:val="NormalWeb"/>
              <w:jc w:val="center"/>
              <w:rPr>
                <w:sz w:val="18"/>
                <w:szCs w:val="18"/>
              </w:rPr>
            </w:pPr>
            <w:r w:rsidRPr="00463DFD">
              <w:rPr>
                <w:sz w:val="18"/>
                <w:szCs w:val="18"/>
              </w:rPr>
              <w:t>13.92</w:t>
            </w:r>
          </w:p>
        </w:tc>
        <w:tc>
          <w:tcPr>
            <w:tcW w:w="2135" w:type="dxa"/>
            <w:tcBorders>
              <w:left w:val="single" w:sz="2" w:space="0" w:color="808080" w:themeColor="background1" w:themeShade="80"/>
            </w:tcBorders>
            <w:hideMark/>
          </w:tcPr>
          <w:p w14:paraId="22C65D0A" w14:textId="77777777" w:rsidR="00212C1A" w:rsidRPr="00463DFD" w:rsidRDefault="00212C1A" w:rsidP="00BE1ADE">
            <w:pPr>
              <w:pStyle w:val="NormalWeb"/>
              <w:jc w:val="center"/>
              <w:rPr>
                <w:sz w:val="18"/>
                <w:szCs w:val="18"/>
              </w:rPr>
            </w:pPr>
            <w:r w:rsidRPr="00463DFD">
              <w:rPr>
                <w:sz w:val="18"/>
                <w:szCs w:val="18"/>
              </w:rPr>
              <w:t>3.18–83.43</w:t>
            </w:r>
          </w:p>
        </w:tc>
      </w:tr>
      <w:tr w:rsidR="00212C1A" w:rsidRPr="00463DFD" w14:paraId="59A2B240" w14:textId="77777777" w:rsidTr="00BC4754">
        <w:trPr>
          <w:cnfStyle w:val="000000010000" w:firstRow="0" w:lastRow="0" w:firstColumn="0" w:lastColumn="0" w:oddVBand="0" w:evenVBand="0" w:oddHBand="0" w:evenHBand="1" w:firstRowFirstColumn="0" w:firstRowLastColumn="0" w:lastRowFirstColumn="0" w:lastRowLastColumn="0"/>
        </w:trPr>
        <w:tc>
          <w:tcPr>
            <w:tcW w:w="2134" w:type="dxa"/>
            <w:tcBorders>
              <w:right w:val="single" w:sz="2" w:space="0" w:color="808080" w:themeColor="background1" w:themeShade="80"/>
            </w:tcBorders>
            <w:hideMark/>
          </w:tcPr>
          <w:p w14:paraId="2F5302EA" w14:textId="77777777" w:rsidR="00212C1A" w:rsidRPr="00463DFD" w:rsidRDefault="00212C1A" w:rsidP="00BE1ADE">
            <w:pPr>
              <w:pStyle w:val="NormalWeb"/>
              <w:rPr>
                <w:sz w:val="18"/>
                <w:szCs w:val="18"/>
              </w:rPr>
            </w:pPr>
            <w:r w:rsidRPr="00463DFD">
              <w:rPr>
                <w:sz w:val="18"/>
                <w:szCs w:val="18"/>
              </w:rPr>
              <w:t>Peak year (2011)</w:t>
            </w:r>
          </w:p>
        </w:tc>
        <w:tc>
          <w:tcPr>
            <w:tcW w:w="2134" w:type="dxa"/>
            <w:tcBorders>
              <w:left w:val="single" w:sz="2" w:space="0" w:color="808080" w:themeColor="background1" w:themeShade="80"/>
              <w:right w:val="single" w:sz="2" w:space="0" w:color="808080" w:themeColor="background1" w:themeShade="80"/>
            </w:tcBorders>
            <w:hideMark/>
          </w:tcPr>
          <w:p w14:paraId="1EA387ED" w14:textId="77777777" w:rsidR="00212C1A" w:rsidRPr="00463DFD" w:rsidRDefault="00212C1A" w:rsidP="00BE1ADE">
            <w:pPr>
              <w:pStyle w:val="NormalWeb"/>
              <w:jc w:val="center"/>
              <w:rPr>
                <w:sz w:val="18"/>
                <w:szCs w:val="18"/>
              </w:rPr>
            </w:pPr>
            <w:r w:rsidRPr="00463DFD">
              <w:rPr>
                <w:sz w:val="18"/>
                <w:szCs w:val="18"/>
              </w:rPr>
              <w:t>130</w:t>
            </w:r>
          </w:p>
        </w:tc>
        <w:tc>
          <w:tcPr>
            <w:tcW w:w="2134" w:type="dxa"/>
            <w:tcBorders>
              <w:left w:val="single" w:sz="2" w:space="0" w:color="808080" w:themeColor="background1" w:themeShade="80"/>
              <w:right w:val="single" w:sz="2" w:space="0" w:color="808080" w:themeColor="background1" w:themeShade="80"/>
            </w:tcBorders>
            <w:hideMark/>
          </w:tcPr>
          <w:p w14:paraId="02A25C6D" w14:textId="77777777" w:rsidR="00212C1A" w:rsidRPr="00463DFD" w:rsidRDefault="00212C1A" w:rsidP="00BE1ADE">
            <w:pPr>
              <w:pStyle w:val="NormalWeb"/>
              <w:jc w:val="center"/>
              <w:rPr>
                <w:sz w:val="18"/>
                <w:szCs w:val="18"/>
              </w:rPr>
            </w:pPr>
            <w:r w:rsidRPr="00463DFD">
              <w:rPr>
                <w:sz w:val="18"/>
                <w:szCs w:val="18"/>
              </w:rPr>
              <w:t>4.17</w:t>
            </w:r>
          </w:p>
        </w:tc>
        <w:tc>
          <w:tcPr>
            <w:tcW w:w="2135" w:type="dxa"/>
            <w:tcBorders>
              <w:left w:val="single" w:sz="2" w:space="0" w:color="808080" w:themeColor="background1" w:themeShade="80"/>
              <w:right w:val="single" w:sz="2" w:space="0" w:color="808080" w:themeColor="background1" w:themeShade="80"/>
            </w:tcBorders>
            <w:hideMark/>
          </w:tcPr>
          <w:p w14:paraId="29C08675" w14:textId="77777777" w:rsidR="00212C1A" w:rsidRPr="00463DFD" w:rsidRDefault="00212C1A" w:rsidP="00BE1ADE">
            <w:pPr>
              <w:pStyle w:val="NormalWeb"/>
              <w:jc w:val="center"/>
              <w:rPr>
                <w:sz w:val="18"/>
                <w:szCs w:val="18"/>
              </w:rPr>
            </w:pPr>
            <w:r w:rsidRPr="00463DFD">
              <w:rPr>
                <w:sz w:val="18"/>
                <w:szCs w:val="18"/>
              </w:rPr>
              <w:t>26</w:t>
            </w:r>
          </w:p>
        </w:tc>
        <w:tc>
          <w:tcPr>
            <w:tcW w:w="2134" w:type="dxa"/>
            <w:tcBorders>
              <w:left w:val="single" w:sz="2" w:space="0" w:color="808080" w:themeColor="background1" w:themeShade="80"/>
              <w:right w:val="single" w:sz="2" w:space="0" w:color="808080" w:themeColor="background1" w:themeShade="80"/>
            </w:tcBorders>
            <w:hideMark/>
          </w:tcPr>
          <w:p w14:paraId="59F30D92" w14:textId="77777777" w:rsidR="00212C1A" w:rsidRPr="00463DFD" w:rsidRDefault="00212C1A" w:rsidP="00BE1ADE">
            <w:pPr>
              <w:pStyle w:val="NormalWeb"/>
              <w:jc w:val="center"/>
              <w:rPr>
                <w:sz w:val="18"/>
                <w:szCs w:val="18"/>
              </w:rPr>
            </w:pPr>
            <w:r w:rsidRPr="00463DFD">
              <w:rPr>
                <w:sz w:val="18"/>
                <w:szCs w:val="18"/>
              </w:rPr>
              <w:t>0.14</w:t>
            </w:r>
          </w:p>
        </w:tc>
        <w:tc>
          <w:tcPr>
            <w:tcW w:w="2134" w:type="dxa"/>
            <w:tcBorders>
              <w:left w:val="single" w:sz="2" w:space="0" w:color="808080" w:themeColor="background1" w:themeShade="80"/>
              <w:right w:val="single" w:sz="2" w:space="0" w:color="808080" w:themeColor="background1" w:themeShade="80"/>
            </w:tcBorders>
            <w:hideMark/>
          </w:tcPr>
          <w:p w14:paraId="5C5C8D6D" w14:textId="77777777" w:rsidR="00212C1A" w:rsidRPr="00463DFD" w:rsidRDefault="00212C1A" w:rsidP="00BE1ADE">
            <w:pPr>
              <w:pStyle w:val="NormalWeb"/>
              <w:jc w:val="center"/>
              <w:rPr>
                <w:sz w:val="18"/>
                <w:szCs w:val="18"/>
              </w:rPr>
            </w:pPr>
            <w:r w:rsidRPr="00463DFD">
              <w:rPr>
                <w:sz w:val="18"/>
                <w:szCs w:val="18"/>
              </w:rPr>
              <w:t>30.70</w:t>
            </w:r>
          </w:p>
        </w:tc>
        <w:tc>
          <w:tcPr>
            <w:tcW w:w="2135" w:type="dxa"/>
            <w:tcBorders>
              <w:left w:val="single" w:sz="2" w:space="0" w:color="808080" w:themeColor="background1" w:themeShade="80"/>
            </w:tcBorders>
            <w:hideMark/>
          </w:tcPr>
          <w:p w14:paraId="65AA844F" w14:textId="77777777" w:rsidR="00212C1A" w:rsidRPr="00463DFD" w:rsidRDefault="00212C1A" w:rsidP="00BE1ADE">
            <w:pPr>
              <w:pStyle w:val="NormalWeb"/>
              <w:jc w:val="center"/>
              <w:rPr>
                <w:sz w:val="18"/>
                <w:szCs w:val="18"/>
              </w:rPr>
            </w:pPr>
            <w:r w:rsidRPr="00463DFD">
              <w:rPr>
                <w:sz w:val="18"/>
                <w:szCs w:val="18"/>
              </w:rPr>
              <w:t>20.09–48.89</w:t>
            </w:r>
          </w:p>
        </w:tc>
      </w:tr>
    </w:tbl>
    <w:p w14:paraId="519D1C23" w14:textId="77777777" w:rsidR="00212C1A" w:rsidRDefault="00212C1A" w:rsidP="00212C1A">
      <w:pPr>
        <w:pStyle w:val="CDIfootnotes"/>
      </w:pPr>
      <w:r>
        <w:t>a</w:t>
      </w:r>
      <w:r>
        <w:tab/>
        <w:t>Rounded from 0.014</w:t>
      </w:r>
    </w:p>
    <w:p w14:paraId="134D5138" w14:textId="77777777" w:rsidR="00212C1A" w:rsidRPr="00D13852" w:rsidRDefault="00212C1A" w:rsidP="00D13852">
      <w:pPr>
        <w:pStyle w:val="CDIfootnotes"/>
      </w:pPr>
    </w:p>
    <w:p w14:paraId="18319768" w14:textId="77777777" w:rsidR="00222740" w:rsidRDefault="00222740" w:rsidP="00EA5B76">
      <w:pPr>
        <w:sectPr w:rsidR="00222740" w:rsidSect="00397CDD">
          <w:pgSz w:w="16838" w:h="11906" w:orient="landscape"/>
          <w:pgMar w:top="720" w:right="720" w:bottom="720" w:left="1134" w:header="709" w:footer="284" w:gutter="0"/>
          <w:cols w:space="708"/>
          <w:titlePg/>
          <w:docGrid w:linePitch="360"/>
        </w:sectPr>
      </w:pPr>
    </w:p>
    <w:p w14:paraId="418A1DE3" w14:textId="77777777" w:rsidR="00D623BA" w:rsidRDefault="00D623BA" w:rsidP="00CD21B3">
      <w:pPr>
        <w:pStyle w:val="CDIFigures"/>
      </w:pPr>
      <w:r>
        <w:lastRenderedPageBreak/>
        <w:t>Figure 2: Epidemiological curve of serotype-1 cases in the outbreak regions, by jurisdiction and outbreak week</w:t>
      </w:r>
    </w:p>
    <w:p w14:paraId="6AA974A4" w14:textId="77777777" w:rsidR="00D623BA" w:rsidRDefault="00D623BA" w:rsidP="00CD21B3">
      <w:pPr>
        <w:pStyle w:val="NormalWeb"/>
      </w:pPr>
      <w:r>
        <w:rPr>
          <w:noProof/>
        </w:rPr>
        <w:drawing>
          <wp:inline distT="0" distB="0" distL="0" distR="0" wp14:anchorId="1BC497FD" wp14:editId="0150889D">
            <wp:extent cx="9585227" cy="6139787"/>
            <wp:effectExtent l="0" t="0" r="0" b="0"/>
            <wp:docPr id="2" name="Picture 2" descr="Figure 2 is a bar chart showing the number of serotype 1 cases each week in the 3 jurisdictions. It shows the first diagnosed outbreak case was on 15 June 2010 and the last case was on 22 November 2013. It demonstrates the peak year was 2011 and the cases started in Western Australia before moving to Northern Territory and then Queensland. There is additional notation to show the vaccine usage by outbreak week number.  For week 1 to 85 the 10 valent pneumococcal conjugate vaccine was in use for Northern Territory infants changing to 1310 valent pneumococcal conjugate vaccine was from week 86. From week 53 all repeat doses of polysaccharide vaccine were suspended Australia wide until recommendations for repeat doses of polysaccharide vaccine were reintroduced with limitations in week 93.  The 13 valent pneumococcal conjugate vaccine was introduced for infants in Western Australia and Queensland in week 69 of the outbrea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is a bar chart showing the number of serotype 1 cases each week in the 3 jurisdictions. It shows the first diagnosed outbreak case was on 15 June 2010 and the last case was on 22 November 2013. It demonstrates the peak year was 2011 and the cases started in Western Australia before moving to Northern Territory and then Queensland. There is additional notation to show the vaccine usage by outbreak week number.  For week 1 to 85 the 10 valent pneumococcal conjugate vaccine was in use for Northern Territory infants changing to 1310 valent pneumococcal conjugate vaccine was from week 86. From week 53 all repeat doses of polysaccharide vaccine were suspended Australia wide until recommendations for repeat doses of polysaccharide vaccine were reintroduced with limitations in week 93.  The 13 valent pneumococcal conjugate vaccine was introduced for infants in Western Australia and Queensland in week 69 of the outbreak. "/>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593789" cy="6145272"/>
                    </a:xfrm>
                    <a:prstGeom prst="rect">
                      <a:avLst/>
                    </a:prstGeom>
                  </pic:spPr>
                </pic:pic>
              </a:graphicData>
            </a:graphic>
          </wp:inline>
        </w:drawing>
      </w:r>
    </w:p>
    <w:p w14:paraId="01EC95FE" w14:textId="77777777" w:rsidR="00CD21B3" w:rsidRDefault="00CD21B3" w:rsidP="005B24F1">
      <w:pPr>
        <w:sectPr w:rsidR="00CD21B3" w:rsidSect="00CD21B3">
          <w:pgSz w:w="16838" w:h="11906" w:orient="landscape"/>
          <w:pgMar w:top="720" w:right="720" w:bottom="720" w:left="1134" w:header="709" w:footer="284" w:gutter="0"/>
          <w:cols w:space="708"/>
          <w:titlePg/>
          <w:docGrid w:linePitch="360"/>
        </w:sectPr>
      </w:pPr>
    </w:p>
    <w:p w14:paraId="6C42DFA7" w14:textId="77777777" w:rsidR="00D623BA" w:rsidRDefault="00D623BA" w:rsidP="00C37586">
      <w:pPr>
        <w:pStyle w:val="CDIFigures"/>
      </w:pPr>
      <w:r>
        <w:lastRenderedPageBreak/>
        <w:t>Figure 3. Serotype-1 IPD rates in the outbreak regions, by Indigenous status, 2010–</w:t>
      </w:r>
      <w:proofErr w:type="gramStart"/>
      <w:r>
        <w:t>2013</w:t>
      </w:r>
      <w:proofErr w:type="gramEnd"/>
    </w:p>
    <w:p w14:paraId="5C8AF438" w14:textId="77777777" w:rsidR="00D623BA" w:rsidRDefault="00D623BA" w:rsidP="00FA4192">
      <w:pPr>
        <w:jc w:val="center"/>
        <w:rPr>
          <w:rFonts w:eastAsia="Times New Roman"/>
        </w:rPr>
      </w:pPr>
      <w:r>
        <w:rPr>
          <w:rFonts w:eastAsia="Times New Roman"/>
          <w:noProof/>
        </w:rPr>
        <w:drawing>
          <wp:inline distT="0" distB="0" distL="0" distR="0" wp14:anchorId="19C4BE16" wp14:editId="073E6FB8">
            <wp:extent cx="6112911" cy="3794077"/>
            <wp:effectExtent l="0" t="0" r="2540" b="0"/>
            <wp:docPr id="3" name="Picture 3" descr="Figure 3 shows the serotype 1 rates in the outbreak by Indigenous status and demonstrates how the rates among the non-Indigenous population were substantially lower across all ages compared to the Indigenous rates. The age groups are broken down into 1 to less than 2 years, 2 to 4 years, 5 to 14 years, 15 to 49 years, 50 to 64 years and those aged 65 and 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shows the serotype 1 rates in the outbreak by Indigenous status and demonstrates how the rates among the non-Indigenous population were substantially lower across all ages compared to the Indigenous rates. The age groups are broken down into 1 to less than 2 years, 2 to 4 years, 5 to 14 years, 15 to 49 years, 50 to 64 years and those aged 65 and over. "/>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128940" cy="3804026"/>
                    </a:xfrm>
                    <a:prstGeom prst="rect">
                      <a:avLst/>
                    </a:prstGeom>
                  </pic:spPr>
                </pic:pic>
              </a:graphicData>
            </a:graphic>
          </wp:inline>
        </w:drawing>
      </w:r>
    </w:p>
    <w:p w14:paraId="59C7DE23" w14:textId="77777777" w:rsidR="00917F68" w:rsidRDefault="00D623BA" w:rsidP="00917F68">
      <w:r>
        <w:t>Rates of serotype-1 IPD in the Indigenous population varied across the three jurisdictions, with the difference most pronounced among children (Figure 4). The NT did not have any cases in children aged &lt; 2 years, however the rates in school-aged children in the NT and WA were much higher than in affected regions in Qld.</w:t>
      </w:r>
    </w:p>
    <w:p w14:paraId="63A1BDBA" w14:textId="77777777" w:rsidR="00E17FB2" w:rsidRDefault="00E17FB2">
      <w:pPr>
        <w:rPr>
          <w:b/>
        </w:rPr>
      </w:pPr>
      <w:r>
        <w:br w:type="page"/>
      </w:r>
    </w:p>
    <w:p w14:paraId="4EF880AE" w14:textId="77777777" w:rsidR="00D623BA" w:rsidRDefault="00D623BA" w:rsidP="00917F68">
      <w:pPr>
        <w:pStyle w:val="CDIFigures"/>
      </w:pPr>
      <w:r>
        <w:lastRenderedPageBreak/>
        <w:t>Figure 4. Serotype-1 IPD rates of Indigenous persons in the out</w:t>
      </w:r>
      <w:r w:rsidR="00AC305F">
        <w:noBreakHyphen/>
      </w:r>
      <w:r w:rsidR="00AC305F">
        <w:noBreakHyphen/>
      </w:r>
      <w:r w:rsidR="00AC305F">
        <w:noBreakHyphen/>
      </w:r>
      <w:r>
        <w:t xml:space="preserve">break regions, 2010–2013, by age </w:t>
      </w:r>
      <w:proofErr w:type="gramStart"/>
      <w:r>
        <w:t>groups</w:t>
      </w:r>
      <w:proofErr w:type="gramEnd"/>
    </w:p>
    <w:p w14:paraId="2E6D7392" w14:textId="77777777" w:rsidR="00D623BA" w:rsidRDefault="00D623BA" w:rsidP="00917F68">
      <w:pPr>
        <w:jc w:val="center"/>
        <w:rPr>
          <w:rFonts w:eastAsia="Times New Roman"/>
        </w:rPr>
      </w:pPr>
      <w:r>
        <w:rPr>
          <w:rFonts w:eastAsia="Times New Roman"/>
          <w:noProof/>
        </w:rPr>
        <w:drawing>
          <wp:inline distT="0" distB="0" distL="0" distR="0" wp14:anchorId="118CAFF8" wp14:editId="0B0984F5">
            <wp:extent cx="6609715" cy="5489459"/>
            <wp:effectExtent l="0" t="0" r="635" b="0"/>
            <wp:docPr id="4" name="Picture 4" descr="Figure 4 compares the rates of serotype 1 in Indigenous persons in each jurisdiction included in the outbreak by the same age groups as figure 3 except the age groups of 50 to 64 and 65 years and over have been combined. It shows children had much higher rates that adults with the rates ranging from 14.2 to 22 per 100,000 in those aged 15 years and over compared to the child age groups where the rates ranged from 13.6 for children aged 5 to 9 years in Queensland up to 58.2 in this same age group in the Northern Territory. This breakdown by jurisdiction also shows that the Northern Terriory did not have any cases in children aged less than 2 years, however the rates in children 2 to 4 years and school aged children in the Northern Territory and Western Australia were much higher than affected regions in Queens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compares the rates of serotype 1 in Indigenous persons in each jurisdiction included in the outbreak by the same age groups as figure 3 except the age groups of 50 to 64 and 65 years and over have been combined. It shows children had much higher rates that adults with the rates ranging from 14.2 to 22 per 100,000 in those aged 15 years and over compared to the child age groups where the rates ranged from 13.6 for children aged 5 to 9 years in Queensland up to 58.2 in this same age group in the Northern Territory. This breakdown by jurisdiction also shows that the Northern Terriory did not have any cases in children aged less than 2 years, however the rates in children 2 to 4 years and school aged children in the Northern Territory and Western Australia were much higher than affected regions in Queensland. "/>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609715" cy="5489459"/>
                    </a:xfrm>
                    <a:prstGeom prst="rect">
                      <a:avLst/>
                    </a:prstGeom>
                  </pic:spPr>
                </pic:pic>
              </a:graphicData>
            </a:graphic>
          </wp:inline>
        </w:drawing>
      </w:r>
    </w:p>
    <w:p w14:paraId="37F77225" w14:textId="77777777" w:rsidR="0080636F" w:rsidRDefault="0080636F" w:rsidP="0076044F">
      <w:pPr>
        <w:pStyle w:val="Heading2"/>
        <w:sectPr w:rsidR="0080636F" w:rsidSect="00A30C37">
          <w:pgSz w:w="11906" w:h="16838"/>
          <w:pgMar w:top="720" w:right="720" w:bottom="1134" w:left="720" w:header="709" w:footer="284" w:gutter="0"/>
          <w:cols w:space="708"/>
          <w:titlePg/>
          <w:docGrid w:linePitch="360"/>
        </w:sectPr>
      </w:pPr>
    </w:p>
    <w:p w14:paraId="2AE2C192" w14:textId="77777777" w:rsidR="00D623BA" w:rsidRPr="0076044F" w:rsidRDefault="00D623BA" w:rsidP="0076044F">
      <w:pPr>
        <w:pStyle w:val="Heading2"/>
      </w:pPr>
      <w:r w:rsidRPr="0076044F">
        <w:lastRenderedPageBreak/>
        <w:t xml:space="preserve">Clinical characteristics and mortality </w:t>
      </w:r>
    </w:p>
    <w:p w14:paraId="5828C67E" w14:textId="77777777" w:rsidR="00D623BA" w:rsidRDefault="00D623BA" w:rsidP="0076044F">
      <w:r>
        <w:t xml:space="preserve">Information on mortality was not available for 23/245 (9.4%) of cases with serotype-1 IPD. Four deaths were recorded among the 222 cases (4/222,1.8%), two with reported underlying medical risk factors. </w:t>
      </w:r>
    </w:p>
    <w:p w14:paraId="2F53C26A" w14:textId="77777777" w:rsidR="00D623BA" w:rsidRDefault="00D623BA" w:rsidP="0076044F">
      <w:r>
        <w:t xml:space="preserve">The majority of cases presented with pneumonia (n = 199, 81.2%); and eight percent (n = 16) of those had pleural effusion or pleural empyema. There was one case of meningitis. </w:t>
      </w:r>
    </w:p>
    <w:p w14:paraId="3B5632E7" w14:textId="77777777" w:rsidR="00C8318E" w:rsidRDefault="00D623BA" w:rsidP="00C8318E">
      <w:r>
        <w:t>A summary of the demographic and clinical characteristics of the cases in Indigenous children and adults is shown in table 5.</w:t>
      </w:r>
    </w:p>
    <w:p w14:paraId="74EB8BF3" w14:textId="77777777" w:rsidR="00D623BA" w:rsidRDefault="00D623BA" w:rsidP="00C8318E">
      <w:pPr>
        <w:pStyle w:val="CDIFigures"/>
      </w:pPr>
      <w:r>
        <w:t xml:space="preserve">Table 5: Number of Indigenous </w:t>
      </w:r>
      <w:r w:rsidR="00AC305F">
        <w:t>s</w:t>
      </w:r>
      <w:r>
        <w:t xml:space="preserve">erotype-1 cases in the outbreak regions, by characteristics, </w:t>
      </w:r>
      <w:proofErr w:type="gramStart"/>
      <w:r>
        <w:t>jurisdiction</w:t>
      </w:r>
      <w:proofErr w:type="gramEnd"/>
      <w:r>
        <w:t xml:space="preserve"> and age groups, 2010–2013</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5 shows the number and characteristics including age groups, clinical category and vaccination status of the Indigenous serotype 1 outbreak cases by each affected jurisdiction."/>
      </w:tblPr>
      <w:tblGrid>
        <w:gridCol w:w="4244"/>
        <w:gridCol w:w="1464"/>
        <w:gridCol w:w="1505"/>
        <w:gridCol w:w="2226"/>
        <w:gridCol w:w="1001"/>
      </w:tblGrid>
      <w:tr w:rsidR="00F855C9" w:rsidRPr="00F271B4" w14:paraId="4A17DE9D" w14:textId="77777777" w:rsidTr="00B72EAB">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0B64E6C9" w14:textId="77777777" w:rsidR="00D623BA" w:rsidRPr="00F271B4" w:rsidRDefault="00D623BA">
            <w:pPr>
              <w:pStyle w:val="NormalWeb"/>
              <w:rPr>
                <w:color w:val="FFFFFF" w:themeColor="background1"/>
                <w:sz w:val="18"/>
                <w:szCs w:val="18"/>
              </w:rPr>
            </w:pPr>
            <w:r w:rsidRPr="00F271B4">
              <w:rPr>
                <w:color w:val="FFFFFF" w:themeColor="background1"/>
                <w:sz w:val="18"/>
                <w:szCs w:val="18"/>
              </w:rPr>
              <w:t>Characteristic</w:t>
            </w:r>
          </w:p>
        </w:tc>
        <w:tc>
          <w:tcPr>
            <w:tcW w:w="0" w:type="auto"/>
            <w:tcBorders>
              <w:left w:val="single" w:sz="2" w:space="0" w:color="FFFFFF" w:themeColor="background1"/>
              <w:right w:val="single" w:sz="2" w:space="0" w:color="FFFFFF" w:themeColor="background1"/>
            </w:tcBorders>
            <w:hideMark/>
          </w:tcPr>
          <w:p w14:paraId="38F66A16" w14:textId="77777777" w:rsidR="00D623BA" w:rsidRPr="00F271B4" w:rsidRDefault="00D623BA" w:rsidP="005A781A">
            <w:pPr>
              <w:pStyle w:val="NormalWeb"/>
              <w:jc w:val="center"/>
              <w:rPr>
                <w:color w:val="FFFFFF" w:themeColor="background1"/>
                <w:sz w:val="18"/>
                <w:szCs w:val="18"/>
              </w:rPr>
            </w:pPr>
            <w:r w:rsidRPr="00F271B4">
              <w:rPr>
                <w:color w:val="FFFFFF" w:themeColor="background1"/>
                <w:sz w:val="18"/>
                <w:szCs w:val="18"/>
              </w:rPr>
              <w:t>Western Australia</w:t>
            </w:r>
          </w:p>
        </w:tc>
        <w:tc>
          <w:tcPr>
            <w:tcW w:w="0" w:type="auto"/>
            <w:tcBorders>
              <w:left w:val="single" w:sz="2" w:space="0" w:color="FFFFFF" w:themeColor="background1"/>
              <w:right w:val="single" w:sz="2" w:space="0" w:color="FFFFFF" w:themeColor="background1"/>
            </w:tcBorders>
            <w:hideMark/>
          </w:tcPr>
          <w:p w14:paraId="6050A941" w14:textId="77777777" w:rsidR="00D623BA" w:rsidRPr="00F271B4" w:rsidRDefault="00D623BA" w:rsidP="005A781A">
            <w:pPr>
              <w:pStyle w:val="NormalWeb"/>
              <w:jc w:val="center"/>
              <w:rPr>
                <w:color w:val="FFFFFF" w:themeColor="background1"/>
                <w:sz w:val="18"/>
                <w:szCs w:val="18"/>
              </w:rPr>
            </w:pPr>
            <w:r w:rsidRPr="00F271B4">
              <w:rPr>
                <w:color w:val="FFFFFF" w:themeColor="background1"/>
                <w:sz w:val="18"/>
                <w:szCs w:val="18"/>
              </w:rPr>
              <w:t>Northern Territory</w:t>
            </w:r>
          </w:p>
        </w:tc>
        <w:tc>
          <w:tcPr>
            <w:tcW w:w="0" w:type="auto"/>
            <w:tcBorders>
              <w:left w:val="single" w:sz="2" w:space="0" w:color="FFFFFF" w:themeColor="background1"/>
              <w:right w:val="single" w:sz="2" w:space="0" w:color="FFFFFF" w:themeColor="background1"/>
            </w:tcBorders>
            <w:hideMark/>
          </w:tcPr>
          <w:p w14:paraId="117A0599" w14:textId="77777777" w:rsidR="00D623BA" w:rsidRPr="00F271B4" w:rsidRDefault="00D623BA" w:rsidP="005A781A">
            <w:pPr>
              <w:pStyle w:val="NormalWeb"/>
              <w:jc w:val="center"/>
              <w:rPr>
                <w:color w:val="FFFFFF" w:themeColor="background1"/>
                <w:sz w:val="18"/>
                <w:szCs w:val="18"/>
              </w:rPr>
            </w:pPr>
            <w:r w:rsidRPr="00F271B4">
              <w:rPr>
                <w:color w:val="FFFFFF" w:themeColor="background1"/>
                <w:sz w:val="18"/>
                <w:szCs w:val="18"/>
              </w:rPr>
              <w:t>Queensland (affected areas)</w:t>
            </w:r>
          </w:p>
        </w:tc>
        <w:tc>
          <w:tcPr>
            <w:tcW w:w="1001" w:type="dxa"/>
            <w:tcBorders>
              <w:left w:val="single" w:sz="2" w:space="0" w:color="FFFFFF" w:themeColor="background1"/>
            </w:tcBorders>
            <w:hideMark/>
          </w:tcPr>
          <w:p w14:paraId="1135700A" w14:textId="77777777" w:rsidR="00D623BA" w:rsidRPr="00F271B4" w:rsidRDefault="00D623BA" w:rsidP="005A781A">
            <w:pPr>
              <w:pStyle w:val="NormalWeb"/>
              <w:jc w:val="center"/>
              <w:rPr>
                <w:color w:val="FFFFFF" w:themeColor="background1"/>
                <w:sz w:val="18"/>
                <w:szCs w:val="18"/>
              </w:rPr>
            </w:pPr>
            <w:r w:rsidRPr="00F271B4">
              <w:rPr>
                <w:color w:val="FFFFFF" w:themeColor="background1"/>
                <w:sz w:val="18"/>
                <w:szCs w:val="18"/>
              </w:rPr>
              <w:t>Total</w:t>
            </w:r>
          </w:p>
        </w:tc>
      </w:tr>
      <w:tr w:rsidR="006E566D" w:rsidRPr="006E566D" w14:paraId="455DECB6" w14:textId="77777777" w:rsidTr="00B72EAB">
        <w:tc>
          <w:tcPr>
            <w:tcW w:w="0" w:type="auto"/>
            <w:tcBorders>
              <w:right w:val="single" w:sz="2" w:space="0" w:color="808080" w:themeColor="background1" w:themeShade="80"/>
            </w:tcBorders>
            <w:shd w:val="clear" w:color="auto" w:fill="808080" w:themeFill="background1" w:themeFillShade="80"/>
            <w:hideMark/>
          </w:tcPr>
          <w:p w14:paraId="10C4029B" w14:textId="77777777" w:rsidR="00D623BA" w:rsidRPr="006E566D" w:rsidRDefault="00D623BA">
            <w:pPr>
              <w:pStyle w:val="NormalWeb"/>
              <w:rPr>
                <w:b/>
                <w:color w:val="FFFFFF" w:themeColor="background1"/>
                <w:sz w:val="18"/>
                <w:szCs w:val="18"/>
              </w:rPr>
            </w:pPr>
            <w:r w:rsidRPr="006E566D">
              <w:rPr>
                <w:b/>
                <w:color w:val="FFFFFF" w:themeColor="background1"/>
                <w:sz w:val="18"/>
                <w:szCs w:val="18"/>
              </w:rPr>
              <w:t>Aged 0 to 14 years</w:t>
            </w:r>
          </w:p>
        </w:tc>
        <w:tc>
          <w:tcPr>
            <w:tcW w:w="0" w:type="auto"/>
            <w:tcBorders>
              <w:left w:val="single" w:sz="2" w:space="0" w:color="808080" w:themeColor="background1" w:themeShade="80"/>
              <w:right w:val="single" w:sz="2" w:space="0" w:color="808080" w:themeColor="background1" w:themeShade="80"/>
            </w:tcBorders>
            <w:shd w:val="clear" w:color="auto" w:fill="808080" w:themeFill="background1" w:themeFillShade="80"/>
            <w:hideMark/>
          </w:tcPr>
          <w:p w14:paraId="4AA4B86B" w14:textId="77777777" w:rsidR="00D623BA" w:rsidRPr="006E566D" w:rsidRDefault="00D623BA" w:rsidP="005A781A">
            <w:pPr>
              <w:jc w:val="center"/>
              <w:rPr>
                <w:b/>
                <w:color w:val="FFFFFF" w:themeColor="background1"/>
                <w:sz w:val="18"/>
                <w:szCs w:val="18"/>
              </w:rPr>
            </w:pPr>
          </w:p>
        </w:tc>
        <w:tc>
          <w:tcPr>
            <w:tcW w:w="0" w:type="auto"/>
            <w:tcBorders>
              <w:left w:val="single" w:sz="2" w:space="0" w:color="808080" w:themeColor="background1" w:themeShade="80"/>
              <w:right w:val="single" w:sz="2" w:space="0" w:color="808080" w:themeColor="background1" w:themeShade="80"/>
            </w:tcBorders>
            <w:shd w:val="clear" w:color="auto" w:fill="808080" w:themeFill="background1" w:themeFillShade="80"/>
            <w:hideMark/>
          </w:tcPr>
          <w:p w14:paraId="2C43BEFC" w14:textId="77777777" w:rsidR="00D623BA" w:rsidRPr="006E566D" w:rsidRDefault="00D623BA" w:rsidP="005A781A">
            <w:pPr>
              <w:jc w:val="center"/>
              <w:rPr>
                <w:rFonts w:eastAsia="Times New Roman"/>
                <w:b/>
                <w:color w:val="FFFFFF" w:themeColor="background1"/>
                <w:sz w:val="18"/>
                <w:szCs w:val="18"/>
              </w:rPr>
            </w:pPr>
          </w:p>
        </w:tc>
        <w:tc>
          <w:tcPr>
            <w:tcW w:w="0" w:type="auto"/>
            <w:tcBorders>
              <w:left w:val="single" w:sz="2" w:space="0" w:color="808080" w:themeColor="background1" w:themeShade="80"/>
              <w:right w:val="single" w:sz="2" w:space="0" w:color="808080" w:themeColor="background1" w:themeShade="80"/>
            </w:tcBorders>
            <w:shd w:val="clear" w:color="auto" w:fill="808080" w:themeFill="background1" w:themeFillShade="80"/>
            <w:hideMark/>
          </w:tcPr>
          <w:p w14:paraId="3E02826B" w14:textId="77777777" w:rsidR="00D623BA" w:rsidRPr="006E566D" w:rsidRDefault="00D623BA" w:rsidP="005A781A">
            <w:pPr>
              <w:jc w:val="center"/>
              <w:rPr>
                <w:rFonts w:eastAsia="Times New Roman"/>
                <w:b/>
                <w:color w:val="FFFFFF" w:themeColor="background1"/>
                <w:sz w:val="18"/>
                <w:szCs w:val="18"/>
              </w:rPr>
            </w:pPr>
          </w:p>
        </w:tc>
        <w:tc>
          <w:tcPr>
            <w:tcW w:w="1001" w:type="dxa"/>
            <w:tcBorders>
              <w:left w:val="single" w:sz="2" w:space="0" w:color="808080" w:themeColor="background1" w:themeShade="80"/>
            </w:tcBorders>
            <w:shd w:val="clear" w:color="auto" w:fill="808080" w:themeFill="background1" w:themeFillShade="80"/>
            <w:hideMark/>
          </w:tcPr>
          <w:p w14:paraId="0152178B" w14:textId="77777777" w:rsidR="00D623BA" w:rsidRPr="006E566D" w:rsidRDefault="00D623BA" w:rsidP="005A781A">
            <w:pPr>
              <w:jc w:val="center"/>
              <w:rPr>
                <w:rFonts w:eastAsia="Times New Roman"/>
                <w:b/>
                <w:color w:val="FFFFFF" w:themeColor="background1"/>
                <w:sz w:val="18"/>
                <w:szCs w:val="18"/>
              </w:rPr>
            </w:pPr>
          </w:p>
        </w:tc>
      </w:tr>
      <w:tr w:rsidR="00D623BA" w:rsidRPr="00F271B4" w14:paraId="08758DD8"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3F4EEB51" w14:textId="77777777" w:rsidR="00D623BA" w:rsidRPr="00F271B4" w:rsidRDefault="00D623BA">
            <w:pPr>
              <w:pStyle w:val="NormalWeb"/>
              <w:rPr>
                <w:sz w:val="18"/>
                <w:szCs w:val="18"/>
              </w:rPr>
            </w:pPr>
            <w:r w:rsidRPr="00F271B4">
              <w:rPr>
                <w:sz w:val="18"/>
                <w:szCs w:val="18"/>
              </w:rPr>
              <w:t>Mean age in years</w:t>
            </w:r>
          </w:p>
        </w:tc>
        <w:tc>
          <w:tcPr>
            <w:tcW w:w="0" w:type="auto"/>
            <w:tcBorders>
              <w:left w:val="single" w:sz="2" w:space="0" w:color="808080" w:themeColor="background1" w:themeShade="80"/>
              <w:right w:val="single" w:sz="2" w:space="0" w:color="808080" w:themeColor="background1" w:themeShade="80"/>
            </w:tcBorders>
            <w:hideMark/>
          </w:tcPr>
          <w:p w14:paraId="51A668A1" w14:textId="77777777" w:rsidR="00D623BA" w:rsidRPr="00F271B4" w:rsidRDefault="00D623BA" w:rsidP="005A781A">
            <w:pPr>
              <w:pStyle w:val="NormalWeb"/>
              <w:jc w:val="center"/>
              <w:rPr>
                <w:sz w:val="18"/>
                <w:szCs w:val="18"/>
              </w:rPr>
            </w:pPr>
            <w:r w:rsidRPr="00F271B4">
              <w:rPr>
                <w:sz w:val="18"/>
                <w:szCs w:val="18"/>
              </w:rPr>
              <w:t>5.5</w:t>
            </w:r>
          </w:p>
        </w:tc>
        <w:tc>
          <w:tcPr>
            <w:tcW w:w="0" w:type="auto"/>
            <w:tcBorders>
              <w:left w:val="single" w:sz="2" w:space="0" w:color="808080" w:themeColor="background1" w:themeShade="80"/>
              <w:right w:val="single" w:sz="2" w:space="0" w:color="808080" w:themeColor="background1" w:themeShade="80"/>
            </w:tcBorders>
            <w:hideMark/>
          </w:tcPr>
          <w:p w14:paraId="7808B908" w14:textId="77777777" w:rsidR="00D623BA" w:rsidRPr="00F271B4" w:rsidRDefault="00D623BA" w:rsidP="005A781A">
            <w:pPr>
              <w:pStyle w:val="NormalWeb"/>
              <w:jc w:val="center"/>
              <w:rPr>
                <w:sz w:val="18"/>
                <w:szCs w:val="18"/>
              </w:rPr>
            </w:pPr>
            <w:r w:rsidRPr="00F271B4">
              <w:rPr>
                <w:sz w:val="18"/>
                <w:szCs w:val="18"/>
              </w:rPr>
              <w:t>7.5</w:t>
            </w:r>
          </w:p>
        </w:tc>
        <w:tc>
          <w:tcPr>
            <w:tcW w:w="0" w:type="auto"/>
            <w:tcBorders>
              <w:left w:val="single" w:sz="2" w:space="0" w:color="808080" w:themeColor="background1" w:themeShade="80"/>
              <w:right w:val="single" w:sz="2" w:space="0" w:color="808080" w:themeColor="background1" w:themeShade="80"/>
            </w:tcBorders>
            <w:hideMark/>
          </w:tcPr>
          <w:p w14:paraId="01AF723A" w14:textId="77777777" w:rsidR="00D623BA" w:rsidRPr="00F271B4" w:rsidRDefault="00D623BA" w:rsidP="005A781A">
            <w:pPr>
              <w:pStyle w:val="NormalWeb"/>
              <w:jc w:val="center"/>
              <w:rPr>
                <w:sz w:val="18"/>
                <w:szCs w:val="18"/>
              </w:rPr>
            </w:pPr>
            <w:r w:rsidRPr="00F271B4">
              <w:rPr>
                <w:sz w:val="18"/>
                <w:szCs w:val="18"/>
              </w:rPr>
              <w:t>7.7</w:t>
            </w:r>
          </w:p>
        </w:tc>
        <w:tc>
          <w:tcPr>
            <w:tcW w:w="1001" w:type="dxa"/>
            <w:tcBorders>
              <w:left w:val="single" w:sz="2" w:space="0" w:color="808080" w:themeColor="background1" w:themeShade="80"/>
            </w:tcBorders>
            <w:hideMark/>
          </w:tcPr>
          <w:p w14:paraId="42BDDA89" w14:textId="77777777" w:rsidR="00D623BA" w:rsidRPr="00F271B4" w:rsidRDefault="00D623BA" w:rsidP="005A781A">
            <w:pPr>
              <w:jc w:val="center"/>
              <w:rPr>
                <w:sz w:val="18"/>
                <w:szCs w:val="18"/>
              </w:rPr>
            </w:pPr>
          </w:p>
        </w:tc>
      </w:tr>
      <w:tr w:rsidR="00D623BA" w:rsidRPr="00F271B4" w14:paraId="54ADA2DD" w14:textId="77777777" w:rsidTr="00B72EAB">
        <w:tc>
          <w:tcPr>
            <w:tcW w:w="0" w:type="auto"/>
            <w:tcBorders>
              <w:right w:val="single" w:sz="2" w:space="0" w:color="808080" w:themeColor="background1" w:themeShade="80"/>
            </w:tcBorders>
            <w:hideMark/>
          </w:tcPr>
          <w:p w14:paraId="20CF5A4F" w14:textId="77777777" w:rsidR="00D623BA" w:rsidRPr="00F271B4" w:rsidRDefault="00D623BA">
            <w:pPr>
              <w:pStyle w:val="NormalWeb"/>
              <w:rPr>
                <w:sz w:val="18"/>
                <w:szCs w:val="18"/>
              </w:rPr>
            </w:pPr>
            <w:r w:rsidRPr="00F271B4">
              <w:rPr>
                <w:sz w:val="18"/>
                <w:szCs w:val="18"/>
              </w:rPr>
              <w:t>Median age [range]</w:t>
            </w:r>
          </w:p>
        </w:tc>
        <w:tc>
          <w:tcPr>
            <w:tcW w:w="0" w:type="auto"/>
            <w:tcBorders>
              <w:left w:val="single" w:sz="2" w:space="0" w:color="808080" w:themeColor="background1" w:themeShade="80"/>
              <w:right w:val="single" w:sz="2" w:space="0" w:color="808080" w:themeColor="background1" w:themeShade="80"/>
            </w:tcBorders>
            <w:hideMark/>
          </w:tcPr>
          <w:p w14:paraId="4DC83D13" w14:textId="77777777" w:rsidR="00D623BA" w:rsidRPr="00F271B4" w:rsidRDefault="00D623BA" w:rsidP="005A781A">
            <w:pPr>
              <w:pStyle w:val="NormalWeb"/>
              <w:jc w:val="center"/>
              <w:rPr>
                <w:sz w:val="18"/>
                <w:szCs w:val="18"/>
              </w:rPr>
            </w:pPr>
            <w:r w:rsidRPr="00F271B4">
              <w:rPr>
                <w:sz w:val="18"/>
                <w:szCs w:val="18"/>
              </w:rPr>
              <w:t>4 [0 to 14]</w:t>
            </w:r>
          </w:p>
        </w:tc>
        <w:tc>
          <w:tcPr>
            <w:tcW w:w="0" w:type="auto"/>
            <w:tcBorders>
              <w:left w:val="single" w:sz="2" w:space="0" w:color="808080" w:themeColor="background1" w:themeShade="80"/>
              <w:right w:val="single" w:sz="2" w:space="0" w:color="808080" w:themeColor="background1" w:themeShade="80"/>
            </w:tcBorders>
            <w:hideMark/>
          </w:tcPr>
          <w:p w14:paraId="15DBDA78" w14:textId="77777777" w:rsidR="00D623BA" w:rsidRPr="00F271B4" w:rsidRDefault="00D623BA" w:rsidP="005A781A">
            <w:pPr>
              <w:pStyle w:val="NormalWeb"/>
              <w:jc w:val="center"/>
              <w:rPr>
                <w:sz w:val="18"/>
                <w:szCs w:val="18"/>
              </w:rPr>
            </w:pPr>
            <w:r w:rsidRPr="00F271B4">
              <w:rPr>
                <w:sz w:val="18"/>
                <w:szCs w:val="18"/>
              </w:rPr>
              <w:t>8 [3 to 14]</w:t>
            </w:r>
          </w:p>
        </w:tc>
        <w:tc>
          <w:tcPr>
            <w:tcW w:w="0" w:type="auto"/>
            <w:tcBorders>
              <w:left w:val="single" w:sz="2" w:space="0" w:color="808080" w:themeColor="background1" w:themeShade="80"/>
              <w:right w:val="single" w:sz="2" w:space="0" w:color="808080" w:themeColor="background1" w:themeShade="80"/>
            </w:tcBorders>
            <w:hideMark/>
          </w:tcPr>
          <w:p w14:paraId="2E58FBE5" w14:textId="77777777" w:rsidR="00D623BA" w:rsidRPr="00F271B4" w:rsidRDefault="00D623BA" w:rsidP="005A781A">
            <w:pPr>
              <w:pStyle w:val="NormalWeb"/>
              <w:jc w:val="center"/>
              <w:rPr>
                <w:sz w:val="18"/>
                <w:szCs w:val="18"/>
              </w:rPr>
            </w:pPr>
            <w:r w:rsidRPr="00F271B4">
              <w:rPr>
                <w:sz w:val="18"/>
                <w:szCs w:val="18"/>
              </w:rPr>
              <w:t>7 [1 to 14]</w:t>
            </w:r>
          </w:p>
        </w:tc>
        <w:tc>
          <w:tcPr>
            <w:tcW w:w="1001" w:type="dxa"/>
            <w:tcBorders>
              <w:left w:val="single" w:sz="2" w:space="0" w:color="808080" w:themeColor="background1" w:themeShade="80"/>
            </w:tcBorders>
            <w:hideMark/>
          </w:tcPr>
          <w:p w14:paraId="26C452EA" w14:textId="77777777" w:rsidR="00D623BA" w:rsidRPr="00F271B4" w:rsidRDefault="00D623BA" w:rsidP="005A781A">
            <w:pPr>
              <w:jc w:val="center"/>
              <w:rPr>
                <w:sz w:val="18"/>
                <w:szCs w:val="18"/>
              </w:rPr>
            </w:pPr>
          </w:p>
        </w:tc>
      </w:tr>
      <w:tr w:rsidR="00D623BA" w:rsidRPr="00F271B4" w14:paraId="1102DC5F"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244DD98B" w14:textId="77777777" w:rsidR="00D623BA" w:rsidRPr="00F271B4" w:rsidRDefault="00D623BA">
            <w:pPr>
              <w:pStyle w:val="NormalWeb"/>
              <w:rPr>
                <w:sz w:val="18"/>
                <w:szCs w:val="18"/>
              </w:rPr>
            </w:pPr>
            <w:r w:rsidRPr="00F271B4">
              <w:rPr>
                <w:sz w:val="18"/>
                <w:szCs w:val="18"/>
              </w:rPr>
              <w:t>Pneumonia</w:t>
            </w:r>
          </w:p>
        </w:tc>
        <w:tc>
          <w:tcPr>
            <w:tcW w:w="0" w:type="auto"/>
            <w:tcBorders>
              <w:left w:val="single" w:sz="2" w:space="0" w:color="808080" w:themeColor="background1" w:themeShade="80"/>
              <w:right w:val="single" w:sz="2" w:space="0" w:color="808080" w:themeColor="background1" w:themeShade="80"/>
            </w:tcBorders>
            <w:hideMark/>
          </w:tcPr>
          <w:p w14:paraId="599F7A7E" w14:textId="77777777" w:rsidR="00D623BA" w:rsidRPr="00F271B4" w:rsidRDefault="00D623BA" w:rsidP="005A781A">
            <w:pPr>
              <w:pStyle w:val="NormalWeb"/>
              <w:jc w:val="center"/>
              <w:rPr>
                <w:sz w:val="18"/>
                <w:szCs w:val="18"/>
              </w:rPr>
            </w:pPr>
            <w:r w:rsidRPr="00F271B4">
              <w:rPr>
                <w:sz w:val="18"/>
                <w:szCs w:val="18"/>
              </w:rPr>
              <w:t>20</w:t>
            </w:r>
          </w:p>
        </w:tc>
        <w:tc>
          <w:tcPr>
            <w:tcW w:w="0" w:type="auto"/>
            <w:tcBorders>
              <w:left w:val="single" w:sz="2" w:space="0" w:color="808080" w:themeColor="background1" w:themeShade="80"/>
              <w:right w:val="single" w:sz="2" w:space="0" w:color="808080" w:themeColor="background1" w:themeShade="80"/>
            </w:tcBorders>
            <w:hideMark/>
          </w:tcPr>
          <w:p w14:paraId="562B1B2C" w14:textId="77777777" w:rsidR="00D623BA" w:rsidRPr="00F271B4" w:rsidRDefault="00D623BA" w:rsidP="005A781A">
            <w:pPr>
              <w:pStyle w:val="NormalWeb"/>
              <w:jc w:val="center"/>
              <w:rPr>
                <w:sz w:val="18"/>
                <w:szCs w:val="18"/>
              </w:rPr>
            </w:pPr>
            <w:r w:rsidRPr="00F271B4">
              <w:rPr>
                <w:sz w:val="18"/>
                <w:szCs w:val="18"/>
              </w:rPr>
              <w:t>35</w:t>
            </w:r>
          </w:p>
        </w:tc>
        <w:tc>
          <w:tcPr>
            <w:tcW w:w="0" w:type="auto"/>
            <w:tcBorders>
              <w:left w:val="single" w:sz="2" w:space="0" w:color="808080" w:themeColor="background1" w:themeShade="80"/>
              <w:right w:val="single" w:sz="2" w:space="0" w:color="808080" w:themeColor="background1" w:themeShade="80"/>
            </w:tcBorders>
            <w:hideMark/>
          </w:tcPr>
          <w:p w14:paraId="4EBE5A4C" w14:textId="77777777" w:rsidR="00D623BA" w:rsidRPr="00F271B4" w:rsidRDefault="00D623BA" w:rsidP="005A781A">
            <w:pPr>
              <w:pStyle w:val="NormalWeb"/>
              <w:jc w:val="center"/>
              <w:rPr>
                <w:sz w:val="18"/>
                <w:szCs w:val="18"/>
              </w:rPr>
            </w:pPr>
            <w:r w:rsidRPr="00F271B4">
              <w:rPr>
                <w:sz w:val="18"/>
                <w:szCs w:val="18"/>
              </w:rPr>
              <w:t>11</w:t>
            </w:r>
          </w:p>
        </w:tc>
        <w:tc>
          <w:tcPr>
            <w:tcW w:w="1001" w:type="dxa"/>
            <w:tcBorders>
              <w:left w:val="single" w:sz="2" w:space="0" w:color="808080" w:themeColor="background1" w:themeShade="80"/>
            </w:tcBorders>
            <w:hideMark/>
          </w:tcPr>
          <w:p w14:paraId="779B045A" w14:textId="77777777" w:rsidR="00D623BA" w:rsidRPr="00F271B4" w:rsidRDefault="00D623BA" w:rsidP="005A781A">
            <w:pPr>
              <w:pStyle w:val="NormalWeb"/>
              <w:jc w:val="center"/>
              <w:rPr>
                <w:sz w:val="18"/>
                <w:szCs w:val="18"/>
              </w:rPr>
            </w:pPr>
            <w:r w:rsidRPr="00F271B4">
              <w:rPr>
                <w:sz w:val="18"/>
                <w:szCs w:val="18"/>
              </w:rPr>
              <w:t>66</w:t>
            </w:r>
          </w:p>
        </w:tc>
      </w:tr>
      <w:tr w:rsidR="00D623BA" w:rsidRPr="00F271B4" w14:paraId="3486074B" w14:textId="77777777" w:rsidTr="00B72EAB">
        <w:tc>
          <w:tcPr>
            <w:tcW w:w="0" w:type="auto"/>
            <w:tcBorders>
              <w:right w:val="single" w:sz="2" w:space="0" w:color="808080" w:themeColor="background1" w:themeShade="80"/>
            </w:tcBorders>
            <w:hideMark/>
          </w:tcPr>
          <w:p w14:paraId="35CCDCBD" w14:textId="77777777" w:rsidR="00D623BA" w:rsidRPr="00F271B4" w:rsidRDefault="00D623BA">
            <w:pPr>
              <w:pStyle w:val="NormalWeb"/>
              <w:rPr>
                <w:sz w:val="18"/>
                <w:szCs w:val="18"/>
              </w:rPr>
            </w:pPr>
            <w:r w:rsidRPr="00F271B4">
              <w:rPr>
                <w:sz w:val="18"/>
                <w:szCs w:val="18"/>
              </w:rPr>
              <w:t>Complicated pneumonia</w:t>
            </w:r>
          </w:p>
        </w:tc>
        <w:tc>
          <w:tcPr>
            <w:tcW w:w="0" w:type="auto"/>
            <w:tcBorders>
              <w:left w:val="single" w:sz="2" w:space="0" w:color="808080" w:themeColor="background1" w:themeShade="80"/>
              <w:right w:val="single" w:sz="2" w:space="0" w:color="808080" w:themeColor="background1" w:themeShade="80"/>
            </w:tcBorders>
            <w:hideMark/>
          </w:tcPr>
          <w:p w14:paraId="0F3D094B" w14:textId="77777777" w:rsidR="00D623BA" w:rsidRPr="00F271B4" w:rsidRDefault="00D623BA" w:rsidP="005A781A">
            <w:pPr>
              <w:pStyle w:val="NormalWeb"/>
              <w:jc w:val="center"/>
              <w:rPr>
                <w:sz w:val="18"/>
                <w:szCs w:val="18"/>
              </w:rPr>
            </w:pPr>
            <w:r w:rsidRPr="00F271B4">
              <w:rPr>
                <w:sz w:val="18"/>
                <w:szCs w:val="18"/>
              </w:rPr>
              <w:t>0</w:t>
            </w:r>
          </w:p>
        </w:tc>
        <w:tc>
          <w:tcPr>
            <w:tcW w:w="0" w:type="auto"/>
            <w:tcBorders>
              <w:left w:val="single" w:sz="2" w:space="0" w:color="808080" w:themeColor="background1" w:themeShade="80"/>
              <w:right w:val="single" w:sz="2" w:space="0" w:color="808080" w:themeColor="background1" w:themeShade="80"/>
            </w:tcBorders>
            <w:hideMark/>
          </w:tcPr>
          <w:p w14:paraId="339A326D" w14:textId="77777777" w:rsidR="00D623BA" w:rsidRPr="00F271B4" w:rsidRDefault="00D623BA" w:rsidP="005A781A">
            <w:pPr>
              <w:pStyle w:val="NormalWeb"/>
              <w:jc w:val="center"/>
              <w:rPr>
                <w:sz w:val="18"/>
                <w:szCs w:val="18"/>
              </w:rPr>
            </w:pPr>
            <w:r w:rsidRPr="00F271B4">
              <w:rPr>
                <w:sz w:val="18"/>
                <w:szCs w:val="18"/>
              </w:rPr>
              <w:t>1</w:t>
            </w:r>
          </w:p>
        </w:tc>
        <w:tc>
          <w:tcPr>
            <w:tcW w:w="0" w:type="auto"/>
            <w:tcBorders>
              <w:left w:val="single" w:sz="2" w:space="0" w:color="808080" w:themeColor="background1" w:themeShade="80"/>
              <w:right w:val="single" w:sz="2" w:space="0" w:color="808080" w:themeColor="background1" w:themeShade="80"/>
            </w:tcBorders>
            <w:hideMark/>
          </w:tcPr>
          <w:p w14:paraId="3D8D5192" w14:textId="77777777" w:rsidR="00D623BA" w:rsidRPr="00F271B4" w:rsidRDefault="00D623BA" w:rsidP="005A781A">
            <w:pPr>
              <w:pStyle w:val="NormalWeb"/>
              <w:jc w:val="center"/>
              <w:rPr>
                <w:sz w:val="18"/>
                <w:szCs w:val="18"/>
              </w:rPr>
            </w:pPr>
            <w:r w:rsidRPr="00F271B4">
              <w:rPr>
                <w:sz w:val="18"/>
                <w:szCs w:val="18"/>
              </w:rPr>
              <w:t>2</w:t>
            </w:r>
          </w:p>
        </w:tc>
        <w:tc>
          <w:tcPr>
            <w:tcW w:w="1001" w:type="dxa"/>
            <w:tcBorders>
              <w:left w:val="single" w:sz="2" w:space="0" w:color="808080" w:themeColor="background1" w:themeShade="80"/>
            </w:tcBorders>
            <w:hideMark/>
          </w:tcPr>
          <w:p w14:paraId="717F1CF0" w14:textId="77777777" w:rsidR="00D623BA" w:rsidRPr="00F271B4" w:rsidRDefault="00D623BA" w:rsidP="005A781A">
            <w:pPr>
              <w:pStyle w:val="NormalWeb"/>
              <w:jc w:val="center"/>
              <w:rPr>
                <w:sz w:val="18"/>
                <w:szCs w:val="18"/>
              </w:rPr>
            </w:pPr>
            <w:r w:rsidRPr="00F271B4">
              <w:rPr>
                <w:sz w:val="18"/>
                <w:szCs w:val="18"/>
              </w:rPr>
              <w:t>3</w:t>
            </w:r>
          </w:p>
        </w:tc>
      </w:tr>
      <w:tr w:rsidR="00D623BA" w:rsidRPr="00F271B4" w14:paraId="7F82ACFA"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14D29580" w14:textId="77777777" w:rsidR="00D623BA" w:rsidRPr="00F271B4" w:rsidRDefault="00D623BA">
            <w:pPr>
              <w:pStyle w:val="NormalWeb"/>
              <w:rPr>
                <w:sz w:val="18"/>
                <w:szCs w:val="18"/>
              </w:rPr>
            </w:pPr>
            <w:r w:rsidRPr="00F271B4">
              <w:rPr>
                <w:sz w:val="18"/>
                <w:szCs w:val="18"/>
              </w:rPr>
              <w:t>Died</w:t>
            </w:r>
          </w:p>
        </w:tc>
        <w:tc>
          <w:tcPr>
            <w:tcW w:w="0" w:type="auto"/>
            <w:tcBorders>
              <w:left w:val="single" w:sz="2" w:space="0" w:color="808080" w:themeColor="background1" w:themeShade="80"/>
              <w:right w:val="single" w:sz="2" w:space="0" w:color="808080" w:themeColor="background1" w:themeShade="80"/>
            </w:tcBorders>
            <w:hideMark/>
          </w:tcPr>
          <w:p w14:paraId="6DBE0D63" w14:textId="77777777" w:rsidR="00D623BA" w:rsidRPr="00F271B4" w:rsidRDefault="00D623BA" w:rsidP="005A781A">
            <w:pPr>
              <w:pStyle w:val="NormalWeb"/>
              <w:jc w:val="center"/>
              <w:rPr>
                <w:sz w:val="18"/>
                <w:szCs w:val="18"/>
              </w:rPr>
            </w:pPr>
            <w:r w:rsidRPr="00F271B4">
              <w:rPr>
                <w:sz w:val="18"/>
                <w:szCs w:val="18"/>
              </w:rPr>
              <w:t>1</w:t>
            </w:r>
          </w:p>
        </w:tc>
        <w:tc>
          <w:tcPr>
            <w:tcW w:w="0" w:type="auto"/>
            <w:tcBorders>
              <w:left w:val="single" w:sz="2" w:space="0" w:color="808080" w:themeColor="background1" w:themeShade="80"/>
              <w:right w:val="single" w:sz="2" w:space="0" w:color="808080" w:themeColor="background1" w:themeShade="80"/>
            </w:tcBorders>
            <w:hideMark/>
          </w:tcPr>
          <w:p w14:paraId="2F149084" w14:textId="77777777" w:rsidR="00D623BA" w:rsidRPr="00F271B4" w:rsidRDefault="00D623BA" w:rsidP="005A781A">
            <w:pPr>
              <w:pStyle w:val="NormalWeb"/>
              <w:jc w:val="center"/>
              <w:rPr>
                <w:sz w:val="18"/>
                <w:szCs w:val="18"/>
              </w:rPr>
            </w:pPr>
            <w:r w:rsidRPr="00F271B4">
              <w:rPr>
                <w:sz w:val="18"/>
                <w:szCs w:val="18"/>
              </w:rPr>
              <w:t>0</w:t>
            </w:r>
          </w:p>
        </w:tc>
        <w:tc>
          <w:tcPr>
            <w:tcW w:w="0" w:type="auto"/>
            <w:tcBorders>
              <w:left w:val="single" w:sz="2" w:space="0" w:color="808080" w:themeColor="background1" w:themeShade="80"/>
              <w:right w:val="single" w:sz="2" w:space="0" w:color="808080" w:themeColor="background1" w:themeShade="80"/>
            </w:tcBorders>
            <w:hideMark/>
          </w:tcPr>
          <w:p w14:paraId="42F8F40A" w14:textId="77777777" w:rsidR="00D623BA" w:rsidRPr="00F271B4" w:rsidRDefault="00D623BA" w:rsidP="005A781A">
            <w:pPr>
              <w:pStyle w:val="NormalWeb"/>
              <w:jc w:val="center"/>
              <w:rPr>
                <w:sz w:val="18"/>
                <w:szCs w:val="18"/>
              </w:rPr>
            </w:pPr>
            <w:r w:rsidRPr="00F271B4">
              <w:rPr>
                <w:sz w:val="18"/>
                <w:szCs w:val="18"/>
              </w:rPr>
              <w:t>0</w:t>
            </w:r>
          </w:p>
        </w:tc>
        <w:tc>
          <w:tcPr>
            <w:tcW w:w="1001" w:type="dxa"/>
            <w:tcBorders>
              <w:left w:val="single" w:sz="2" w:space="0" w:color="808080" w:themeColor="background1" w:themeShade="80"/>
            </w:tcBorders>
            <w:hideMark/>
          </w:tcPr>
          <w:p w14:paraId="63B70689" w14:textId="77777777" w:rsidR="00D623BA" w:rsidRPr="00F271B4" w:rsidRDefault="00D623BA" w:rsidP="005A781A">
            <w:pPr>
              <w:pStyle w:val="NormalWeb"/>
              <w:jc w:val="center"/>
              <w:rPr>
                <w:sz w:val="18"/>
                <w:szCs w:val="18"/>
              </w:rPr>
            </w:pPr>
            <w:r w:rsidRPr="00F271B4">
              <w:rPr>
                <w:sz w:val="18"/>
                <w:szCs w:val="18"/>
              </w:rPr>
              <w:t>1</w:t>
            </w:r>
          </w:p>
        </w:tc>
      </w:tr>
      <w:tr w:rsidR="00D623BA" w:rsidRPr="00F271B4" w14:paraId="2555B9C4" w14:textId="77777777" w:rsidTr="00B72EAB">
        <w:tc>
          <w:tcPr>
            <w:tcW w:w="0" w:type="auto"/>
            <w:tcBorders>
              <w:right w:val="single" w:sz="2" w:space="0" w:color="808080" w:themeColor="background1" w:themeShade="80"/>
            </w:tcBorders>
            <w:hideMark/>
          </w:tcPr>
          <w:p w14:paraId="5332F2A6" w14:textId="77777777" w:rsidR="00D623BA" w:rsidRPr="00F271B4" w:rsidRDefault="00D623BA">
            <w:pPr>
              <w:pStyle w:val="NormalWeb"/>
              <w:rPr>
                <w:sz w:val="18"/>
                <w:szCs w:val="18"/>
              </w:rPr>
            </w:pPr>
            <w:r w:rsidRPr="00F271B4">
              <w:rPr>
                <w:sz w:val="18"/>
                <w:szCs w:val="18"/>
              </w:rPr>
              <w:t>Received polysaccharide vaccine dose ever</w:t>
            </w:r>
          </w:p>
        </w:tc>
        <w:tc>
          <w:tcPr>
            <w:tcW w:w="0" w:type="auto"/>
            <w:tcBorders>
              <w:left w:val="single" w:sz="2" w:space="0" w:color="808080" w:themeColor="background1" w:themeShade="80"/>
              <w:right w:val="single" w:sz="2" w:space="0" w:color="808080" w:themeColor="background1" w:themeShade="80"/>
            </w:tcBorders>
            <w:hideMark/>
          </w:tcPr>
          <w:p w14:paraId="64939FA5" w14:textId="77777777" w:rsidR="00D623BA" w:rsidRPr="00F271B4" w:rsidRDefault="00D623BA" w:rsidP="005A781A">
            <w:pPr>
              <w:pStyle w:val="NormalWeb"/>
              <w:jc w:val="center"/>
              <w:rPr>
                <w:sz w:val="18"/>
                <w:szCs w:val="18"/>
              </w:rPr>
            </w:pPr>
            <w:r w:rsidRPr="00F271B4">
              <w:rPr>
                <w:sz w:val="18"/>
                <w:szCs w:val="18"/>
              </w:rPr>
              <w:t>13</w:t>
            </w:r>
          </w:p>
        </w:tc>
        <w:tc>
          <w:tcPr>
            <w:tcW w:w="0" w:type="auto"/>
            <w:tcBorders>
              <w:left w:val="single" w:sz="2" w:space="0" w:color="808080" w:themeColor="background1" w:themeShade="80"/>
              <w:right w:val="single" w:sz="2" w:space="0" w:color="808080" w:themeColor="background1" w:themeShade="80"/>
            </w:tcBorders>
            <w:hideMark/>
          </w:tcPr>
          <w:p w14:paraId="0E6078E0" w14:textId="77777777" w:rsidR="00D623BA" w:rsidRPr="00F271B4" w:rsidRDefault="00D623BA" w:rsidP="005A781A">
            <w:pPr>
              <w:pStyle w:val="NormalWeb"/>
              <w:jc w:val="center"/>
              <w:rPr>
                <w:sz w:val="18"/>
                <w:szCs w:val="18"/>
              </w:rPr>
            </w:pPr>
            <w:r w:rsidRPr="00F271B4">
              <w:rPr>
                <w:sz w:val="18"/>
                <w:szCs w:val="18"/>
              </w:rPr>
              <w:t>35</w:t>
            </w:r>
          </w:p>
        </w:tc>
        <w:tc>
          <w:tcPr>
            <w:tcW w:w="0" w:type="auto"/>
            <w:tcBorders>
              <w:left w:val="single" w:sz="2" w:space="0" w:color="808080" w:themeColor="background1" w:themeShade="80"/>
              <w:right w:val="single" w:sz="2" w:space="0" w:color="808080" w:themeColor="background1" w:themeShade="80"/>
            </w:tcBorders>
            <w:hideMark/>
          </w:tcPr>
          <w:p w14:paraId="2609ED7D" w14:textId="77777777" w:rsidR="00D623BA" w:rsidRPr="00F271B4" w:rsidRDefault="00D623BA" w:rsidP="005A781A">
            <w:pPr>
              <w:pStyle w:val="NormalWeb"/>
              <w:jc w:val="center"/>
              <w:rPr>
                <w:sz w:val="18"/>
                <w:szCs w:val="18"/>
              </w:rPr>
            </w:pPr>
            <w:r w:rsidRPr="00F271B4">
              <w:rPr>
                <w:sz w:val="18"/>
                <w:szCs w:val="18"/>
              </w:rPr>
              <w:t>8</w:t>
            </w:r>
          </w:p>
        </w:tc>
        <w:tc>
          <w:tcPr>
            <w:tcW w:w="1001" w:type="dxa"/>
            <w:tcBorders>
              <w:left w:val="single" w:sz="2" w:space="0" w:color="808080" w:themeColor="background1" w:themeShade="80"/>
            </w:tcBorders>
            <w:hideMark/>
          </w:tcPr>
          <w:p w14:paraId="65E88C28" w14:textId="77777777" w:rsidR="00D623BA" w:rsidRPr="00F271B4" w:rsidRDefault="00D623BA" w:rsidP="005A781A">
            <w:pPr>
              <w:pStyle w:val="NormalWeb"/>
              <w:jc w:val="center"/>
              <w:rPr>
                <w:sz w:val="18"/>
                <w:szCs w:val="18"/>
              </w:rPr>
            </w:pPr>
            <w:r w:rsidRPr="00F271B4">
              <w:rPr>
                <w:sz w:val="18"/>
                <w:szCs w:val="18"/>
              </w:rPr>
              <w:t>56</w:t>
            </w:r>
          </w:p>
        </w:tc>
      </w:tr>
      <w:tr w:rsidR="00D623BA" w:rsidRPr="00F271B4" w14:paraId="7AEFE0A4"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64C468DF" w14:textId="77777777" w:rsidR="00D623BA" w:rsidRPr="00F271B4" w:rsidRDefault="00D623BA">
            <w:pPr>
              <w:pStyle w:val="NormalWeb"/>
              <w:rPr>
                <w:sz w:val="18"/>
                <w:szCs w:val="18"/>
              </w:rPr>
            </w:pPr>
            <w:r w:rsidRPr="00F271B4">
              <w:rPr>
                <w:sz w:val="18"/>
                <w:szCs w:val="18"/>
              </w:rPr>
              <w:t>Received polysaccharide vaccine dose within last 5 years</w:t>
            </w:r>
          </w:p>
        </w:tc>
        <w:tc>
          <w:tcPr>
            <w:tcW w:w="0" w:type="auto"/>
            <w:tcBorders>
              <w:left w:val="single" w:sz="2" w:space="0" w:color="808080" w:themeColor="background1" w:themeShade="80"/>
              <w:right w:val="single" w:sz="2" w:space="0" w:color="808080" w:themeColor="background1" w:themeShade="80"/>
            </w:tcBorders>
            <w:hideMark/>
          </w:tcPr>
          <w:p w14:paraId="5DF81697" w14:textId="77777777" w:rsidR="00D623BA" w:rsidRPr="00F271B4" w:rsidRDefault="00D623BA" w:rsidP="005A781A">
            <w:pPr>
              <w:pStyle w:val="NormalWeb"/>
              <w:jc w:val="center"/>
              <w:rPr>
                <w:sz w:val="18"/>
                <w:szCs w:val="18"/>
              </w:rPr>
            </w:pPr>
            <w:r w:rsidRPr="00F271B4">
              <w:rPr>
                <w:sz w:val="18"/>
                <w:szCs w:val="18"/>
              </w:rPr>
              <w:t>8</w:t>
            </w:r>
          </w:p>
        </w:tc>
        <w:tc>
          <w:tcPr>
            <w:tcW w:w="0" w:type="auto"/>
            <w:tcBorders>
              <w:left w:val="single" w:sz="2" w:space="0" w:color="808080" w:themeColor="background1" w:themeShade="80"/>
              <w:right w:val="single" w:sz="2" w:space="0" w:color="808080" w:themeColor="background1" w:themeShade="80"/>
            </w:tcBorders>
            <w:hideMark/>
          </w:tcPr>
          <w:p w14:paraId="1187880F" w14:textId="77777777" w:rsidR="00D623BA" w:rsidRPr="00F271B4" w:rsidRDefault="00D623BA" w:rsidP="005A781A">
            <w:pPr>
              <w:pStyle w:val="NormalWeb"/>
              <w:jc w:val="center"/>
              <w:rPr>
                <w:sz w:val="18"/>
                <w:szCs w:val="18"/>
              </w:rPr>
            </w:pPr>
            <w:r w:rsidRPr="00F271B4">
              <w:rPr>
                <w:sz w:val="18"/>
                <w:szCs w:val="18"/>
              </w:rPr>
              <w:t>15</w:t>
            </w:r>
          </w:p>
        </w:tc>
        <w:tc>
          <w:tcPr>
            <w:tcW w:w="0" w:type="auto"/>
            <w:tcBorders>
              <w:left w:val="single" w:sz="2" w:space="0" w:color="808080" w:themeColor="background1" w:themeShade="80"/>
              <w:right w:val="single" w:sz="2" w:space="0" w:color="808080" w:themeColor="background1" w:themeShade="80"/>
            </w:tcBorders>
            <w:hideMark/>
          </w:tcPr>
          <w:p w14:paraId="177B5BD4" w14:textId="77777777" w:rsidR="00D623BA" w:rsidRPr="00F271B4" w:rsidRDefault="00D623BA" w:rsidP="005A781A">
            <w:pPr>
              <w:pStyle w:val="NormalWeb"/>
              <w:jc w:val="center"/>
              <w:rPr>
                <w:sz w:val="18"/>
                <w:szCs w:val="18"/>
              </w:rPr>
            </w:pPr>
            <w:r w:rsidRPr="00F271B4">
              <w:rPr>
                <w:sz w:val="18"/>
                <w:szCs w:val="18"/>
              </w:rPr>
              <w:t>3</w:t>
            </w:r>
          </w:p>
        </w:tc>
        <w:tc>
          <w:tcPr>
            <w:tcW w:w="1001" w:type="dxa"/>
            <w:tcBorders>
              <w:left w:val="single" w:sz="2" w:space="0" w:color="808080" w:themeColor="background1" w:themeShade="80"/>
            </w:tcBorders>
            <w:hideMark/>
          </w:tcPr>
          <w:p w14:paraId="727E8637" w14:textId="77777777" w:rsidR="00D623BA" w:rsidRPr="00F271B4" w:rsidRDefault="00D623BA" w:rsidP="005A781A">
            <w:pPr>
              <w:pStyle w:val="NormalWeb"/>
              <w:jc w:val="center"/>
              <w:rPr>
                <w:sz w:val="18"/>
                <w:szCs w:val="18"/>
              </w:rPr>
            </w:pPr>
            <w:r w:rsidRPr="00F271B4">
              <w:rPr>
                <w:sz w:val="18"/>
                <w:szCs w:val="18"/>
              </w:rPr>
              <w:t>26</w:t>
            </w:r>
          </w:p>
        </w:tc>
      </w:tr>
      <w:tr w:rsidR="00D623BA" w:rsidRPr="00F271B4" w14:paraId="0A20AB33" w14:textId="77777777" w:rsidTr="00B72EAB">
        <w:tc>
          <w:tcPr>
            <w:tcW w:w="0" w:type="auto"/>
            <w:tcBorders>
              <w:right w:val="single" w:sz="2" w:space="0" w:color="808080" w:themeColor="background1" w:themeShade="80"/>
            </w:tcBorders>
            <w:hideMark/>
          </w:tcPr>
          <w:p w14:paraId="5F89ECBC" w14:textId="77777777" w:rsidR="00D623BA" w:rsidRPr="00F271B4" w:rsidRDefault="00D623BA">
            <w:pPr>
              <w:pStyle w:val="NormalWeb"/>
              <w:rPr>
                <w:sz w:val="18"/>
                <w:szCs w:val="18"/>
              </w:rPr>
            </w:pPr>
            <w:r w:rsidRPr="00F271B4">
              <w:rPr>
                <w:sz w:val="18"/>
                <w:szCs w:val="18"/>
              </w:rPr>
              <w:t>Vaccine history not available</w:t>
            </w:r>
          </w:p>
        </w:tc>
        <w:tc>
          <w:tcPr>
            <w:tcW w:w="0" w:type="auto"/>
            <w:tcBorders>
              <w:left w:val="single" w:sz="2" w:space="0" w:color="808080" w:themeColor="background1" w:themeShade="80"/>
              <w:right w:val="single" w:sz="2" w:space="0" w:color="808080" w:themeColor="background1" w:themeShade="80"/>
            </w:tcBorders>
            <w:hideMark/>
          </w:tcPr>
          <w:p w14:paraId="494BDD8F" w14:textId="77777777" w:rsidR="00D623BA" w:rsidRPr="00F271B4" w:rsidRDefault="00D623BA" w:rsidP="005A781A">
            <w:pPr>
              <w:pStyle w:val="NormalWeb"/>
              <w:jc w:val="center"/>
              <w:rPr>
                <w:sz w:val="18"/>
                <w:szCs w:val="18"/>
              </w:rPr>
            </w:pPr>
            <w:r w:rsidRPr="00F271B4">
              <w:rPr>
                <w:sz w:val="18"/>
                <w:szCs w:val="18"/>
              </w:rPr>
              <w:t>2</w:t>
            </w:r>
          </w:p>
        </w:tc>
        <w:tc>
          <w:tcPr>
            <w:tcW w:w="0" w:type="auto"/>
            <w:tcBorders>
              <w:left w:val="single" w:sz="2" w:space="0" w:color="808080" w:themeColor="background1" w:themeShade="80"/>
              <w:right w:val="single" w:sz="2" w:space="0" w:color="808080" w:themeColor="background1" w:themeShade="80"/>
            </w:tcBorders>
            <w:hideMark/>
          </w:tcPr>
          <w:p w14:paraId="7E7F9B0D" w14:textId="77777777" w:rsidR="00D623BA" w:rsidRPr="00F271B4" w:rsidRDefault="00D623BA" w:rsidP="005A781A">
            <w:pPr>
              <w:pStyle w:val="NormalWeb"/>
              <w:jc w:val="center"/>
              <w:rPr>
                <w:sz w:val="18"/>
                <w:szCs w:val="18"/>
              </w:rPr>
            </w:pPr>
            <w:r w:rsidRPr="00F271B4">
              <w:rPr>
                <w:sz w:val="18"/>
                <w:szCs w:val="18"/>
              </w:rPr>
              <w:t>0</w:t>
            </w:r>
          </w:p>
        </w:tc>
        <w:tc>
          <w:tcPr>
            <w:tcW w:w="0" w:type="auto"/>
            <w:tcBorders>
              <w:left w:val="single" w:sz="2" w:space="0" w:color="808080" w:themeColor="background1" w:themeShade="80"/>
              <w:right w:val="single" w:sz="2" w:space="0" w:color="808080" w:themeColor="background1" w:themeShade="80"/>
            </w:tcBorders>
            <w:hideMark/>
          </w:tcPr>
          <w:p w14:paraId="006C3557" w14:textId="77777777" w:rsidR="00D623BA" w:rsidRPr="00F271B4" w:rsidRDefault="00D623BA" w:rsidP="005A781A">
            <w:pPr>
              <w:pStyle w:val="NormalWeb"/>
              <w:jc w:val="center"/>
              <w:rPr>
                <w:sz w:val="18"/>
                <w:szCs w:val="18"/>
              </w:rPr>
            </w:pPr>
            <w:r w:rsidRPr="00F271B4">
              <w:rPr>
                <w:sz w:val="18"/>
                <w:szCs w:val="18"/>
              </w:rPr>
              <w:t>1</w:t>
            </w:r>
          </w:p>
        </w:tc>
        <w:tc>
          <w:tcPr>
            <w:tcW w:w="1001" w:type="dxa"/>
            <w:tcBorders>
              <w:left w:val="single" w:sz="2" w:space="0" w:color="808080" w:themeColor="background1" w:themeShade="80"/>
            </w:tcBorders>
            <w:hideMark/>
          </w:tcPr>
          <w:p w14:paraId="52470892" w14:textId="77777777" w:rsidR="00D623BA" w:rsidRPr="00F271B4" w:rsidRDefault="00D623BA" w:rsidP="005A781A">
            <w:pPr>
              <w:pStyle w:val="NormalWeb"/>
              <w:jc w:val="center"/>
              <w:rPr>
                <w:sz w:val="18"/>
                <w:szCs w:val="18"/>
              </w:rPr>
            </w:pPr>
            <w:r w:rsidRPr="00F271B4">
              <w:rPr>
                <w:sz w:val="18"/>
                <w:szCs w:val="18"/>
              </w:rPr>
              <w:t>3</w:t>
            </w:r>
          </w:p>
        </w:tc>
      </w:tr>
      <w:tr w:rsidR="00D623BA" w:rsidRPr="00AC305F" w14:paraId="3B5C0E0D"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22548085" w14:textId="77777777" w:rsidR="00D623BA" w:rsidRPr="00AC305F" w:rsidRDefault="00D623BA">
            <w:pPr>
              <w:pStyle w:val="NormalWeb"/>
              <w:rPr>
                <w:b/>
                <w:sz w:val="18"/>
                <w:szCs w:val="18"/>
              </w:rPr>
            </w:pPr>
            <w:r w:rsidRPr="00AC305F">
              <w:rPr>
                <w:b/>
                <w:sz w:val="18"/>
                <w:szCs w:val="18"/>
              </w:rPr>
              <w:t>Total aged 0 to 14 years</w:t>
            </w:r>
          </w:p>
        </w:tc>
        <w:tc>
          <w:tcPr>
            <w:tcW w:w="0" w:type="auto"/>
            <w:tcBorders>
              <w:left w:val="single" w:sz="2" w:space="0" w:color="808080" w:themeColor="background1" w:themeShade="80"/>
              <w:right w:val="single" w:sz="2" w:space="0" w:color="808080" w:themeColor="background1" w:themeShade="80"/>
            </w:tcBorders>
            <w:hideMark/>
          </w:tcPr>
          <w:p w14:paraId="1ED3429D" w14:textId="77777777" w:rsidR="00D623BA" w:rsidRPr="00AC305F" w:rsidRDefault="00D623BA" w:rsidP="005A781A">
            <w:pPr>
              <w:pStyle w:val="NormalWeb"/>
              <w:jc w:val="center"/>
              <w:rPr>
                <w:b/>
                <w:sz w:val="18"/>
                <w:szCs w:val="18"/>
              </w:rPr>
            </w:pPr>
            <w:r w:rsidRPr="00AC305F">
              <w:rPr>
                <w:b/>
                <w:sz w:val="18"/>
                <w:szCs w:val="18"/>
              </w:rPr>
              <w:t>33</w:t>
            </w:r>
          </w:p>
        </w:tc>
        <w:tc>
          <w:tcPr>
            <w:tcW w:w="0" w:type="auto"/>
            <w:tcBorders>
              <w:left w:val="single" w:sz="2" w:space="0" w:color="808080" w:themeColor="background1" w:themeShade="80"/>
              <w:right w:val="single" w:sz="2" w:space="0" w:color="808080" w:themeColor="background1" w:themeShade="80"/>
            </w:tcBorders>
            <w:hideMark/>
          </w:tcPr>
          <w:p w14:paraId="29AF41C6" w14:textId="77777777" w:rsidR="00D623BA" w:rsidRPr="00AC305F" w:rsidRDefault="00D623BA" w:rsidP="005A781A">
            <w:pPr>
              <w:pStyle w:val="NormalWeb"/>
              <w:jc w:val="center"/>
              <w:rPr>
                <w:b/>
                <w:sz w:val="18"/>
                <w:szCs w:val="18"/>
              </w:rPr>
            </w:pPr>
            <w:r w:rsidRPr="00AC305F">
              <w:rPr>
                <w:b/>
                <w:sz w:val="18"/>
                <w:szCs w:val="18"/>
              </w:rPr>
              <w:t>41</w:t>
            </w:r>
          </w:p>
        </w:tc>
        <w:tc>
          <w:tcPr>
            <w:tcW w:w="0" w:type="auto"/>
            <w:tcBorders>
              <w:left w:val="single" w:sz="2" w:space="0" w:color="808080" w:themeColor="background1" w:themeShade="80"/>
              <w:right w:val="single" w:sz="2" w:space="0" w:color="808080" w:themeColor="background1" w:themeShade="80"/>
            </w:tcBorders>
            <w:hideMark/>
          </w:tcPr>
          <w:p w14:paraId="437B205F" w14:textId="77777777" w:rsidR="00D623BA" w:rsidRPr="00AC305F" w:rsidRDefault="00D623BA" w:rsidP="005A781A">
            <w:pPr>
              <w:pStyle w:val="NormalWeb"/>
              <w:jc w:val="center"/>
              <w:rPr>
                <w:b/>
                <w:sz w:val="18"/>
                <w:szCs w:val="18"/>
              </w:rPr>
            </w:pPr>
            <w:r w:rsidRPr="00AC305F">
              <w:rPr>
                <w:b/>
                <w:sz w:val="18"/>
                <w:szCs w:val="18"/>
              </w:rPr>
              <w:t>15</w:t>
            </w:r>
          </w:p>
        </w:tc>
        <w:tc>
          <w:tcPr>
            <w:tcW w:w="1001" w:type="dxa"/>
            <w:tcBorders>
              <w:left w:val="single" w:sz="2" w:space="0" w:color="808080" w:themeColor="background1" w:themeShade="80"/>
            </w:tcBorders>
            <w:hideMark/>
          </w:tcPr>
          <w:p w14:paraId="6595B560" w14:textId="77777777" w:rsidR="00D623BA" w:rsidRPr="00AC305F" w:rsidRDefault="00D623BA" w:rsidP="005A781A">
            <w:pPr>
              <w:pStyle w:val="NormalWeb"/>
              <w:jc w:val="center"/>
              <w:rPr>
                <w:b/>
                <w:sz w:val="18"/>
                <w:szCs w:val="18"/>
              </w:rPr>
            </w:pPr>
            <w:r w:rsidRPr="00AC305F">
              <w:rPr>
                <w:b/>
                <w:sz w:val="18"/>
                <w:szCs w:val="18"/>
              </w:rPr>
              <w:t>89</w:t>
            </w:r>
          </w:p>
        </w:tc>
      </w:tr>
      <w:tr w:rsidR="006E566D" w:rsidRPr="006E566D" w14:paraId="29B220CA" w14:textId="77777777" w:rsidTr="00B72EAB">
        <w:tc>
          <w:tcPr>
            <w:tcW w:w="0" w:type="auto"/>
            <w:tcBorders>
              <w:right w:val="single" w:sz="2" w:space="0" w:color="808080" w:themeColor="background1" w:themeShade="80"/>
            </w:tcBorders>
            <w:shd w:val="clear" w:color="auto" w:fill="808080" w:themeFill="background1" w:themeFillShade="80"/>
            <w:hideMark/>
          </w:tcPr>
          <w:p w14:paraId="5593CAF5" w14:textId="77777777" w:rsidR="00D623BA" w:rsidRPr="006E566D" w:rsidRDefault="00D623BA">
            <w:pPr>
              <w:pStyle w:val="NormalWeb"/>
              <w:rPr>
                <w:b/>
                <w:color w:val="FFFFFF" w:themeColor="background1"/>
                <w:sz w:val="18"/>
                <w:szCs w:val="18"/>
              </w:rPr>
            </w:pPr>
            <w:r w:rsidRPr="006E566D">
              <w:rPr>
                <w:b/>
                <w:color w:val="FFFFFF" w:themeColor="background1"/>
                <w:sz w:val="18"/>
                <w:szCs w:val="18"/>
              </w:rPr>
              <w:t>Aged 15 years or older</w:t>
            </w:r>
          </w:p>
        </w:tc>
        <w:tc>
          <w:tcPr>
            <w:tcW w:w="0" w:type="auto"/>
            <w:tcBorders>
              <w:left w:val="single" w:sz="2" w:space="0" w:color="808080" w:themeColor="background1" w:themeShade="80"/>
              <w:right w:val="single" w:sz="2" w:space="0" w:color="808080" w:themeColor="background1" w:themeShade="80"/>
            </w:tcBorders>
            <w:shd w:val="clear" w:color="auto" w:fill="808080" w:themeFill="background1" w:themeFillShade="80"/>
            <w:hideMark/>
          </w:tcPr>
          <w:p w14:paraId="21DE08B9" w14:textId="77777777" w:rsidR="00D623BA" w:rsidRPr="006E566D" w:rsidRDefault="00D623BA" w:rsidP="005A781A">
            <w:pPr>
              <w:jc w:val="center"/>
              <w:rPr>
                <w:b/>
                <w:color w:val="FFFFFF" w:themeColor="background1"/>
                <w:sz w:val="18"/>
                <w:szCs w:val="18"/>
              </w:rPr>
            </w:pPr>
          </w:p>
        </w:tc>
        <w:tc>
          <w:tcPr>
            <w:tcW w:w="0" w:type="auto"/>
            <w:tcBorders>
              <w:left w:val="single" w:sz="2" w:space="0" w:color="808080" w:themeColor="background1" w:themeShade="80"/>
              <w:right w:val="single" w:sz="2" w:space="0" w:color="808080" w:themeColor="background1" w:themeShade="80"/>
            </w:tcBorders>
            <w:shd w:val="clear" w:color="auto" w:fill="808080" w:themeFill="background1" w:themeFillShade="80"/>
            <w:hideMark/>
          </w:tcPr>
          <w:p w14:paraId="5E017460" w14:textId="77777777" w:rsidR="00D623BA" w:rsidRPr="006E566D" w:rsidRDefault="00D623BA" w:rsidP="005A781A">
            <w:pPr>
              <w:jc w:val="center"/>
              <w:rPr>
                <w:rFonts w:eastAsia="Times New Roman"/>
                <w:b/>
                <w:color w:val="FFFFFF" w:themeColor="background1"/>
                <w:sz w:val="18"/>
                <w:szCs w:val="18"/>
              </w:rPr>
            </w:pPr>
          </w:p>
        </w:tc>
        <w:tc>
          <w:tcPr>
            <w:tcW w:w="0" w:type="auto"/>
            <w:tcBorders>
              <w:left w:val="single" w:sz="2" w:space="0" w:color="808080" w:themeColor="background1" w:themeShade="80"/>
              <w:right w:val="single" w:sz="2" w:space="0" w:color="808080" w:themeColor="background1" w:themeShade="80"/>
            </w:tcBorders>
            <w:shd w:val="clear" w:color="auto" w:fill="808080" w:themeFill="background1" w:themeFillShade="80"/>
            <w:hideMark/>
          </w:tcPr>
          <w:p w14:paraId="78DA788A" w14:textId="77777777" w:rsidR="00D623BA" w:rsidRPr="006E566D" w:rsidRDefault="00D623BA" w:rsidP="005A781A">
            <w:pPr>
              <w:jc w:val="center"/>
              <w:rPr>
                <w:rFonts w:eastAsia="Times New Roman"/>
                <w:b/>
                <w:color w:val="FFFFFF" w:themeColor="background1"/>
                <w:sz w:val="18"/>
                <w:szCs w:val="18"/>
              </w:rPr>
            </w:pPr>
          </w:p>
        </w:tc>
        <w:tc>
          <w:tcPr>
            <w:tcW w:w="1001" w:type="dxa"/>
            <w:tcBorders>
              <w:left w:val="single" w:sz="2" w:space="0" w:color="808080" w:themeColor="background1" w:themeShade="80"/>
            </w:tcBorders>
            <w:shd w:val="clear" w:color="auto" w:fill="808080" w:themeFill="background1" w:themeFillShade="80"/>
            <w:hideMark/>
          </w:tcPr>
          <w:p w14:paraId="704F3506" w14:textId="77777777" w:rsidR="00D623BA" w:rsidRPr="006E566D" w:rsidRDefault="00D623BA" w:rsidP="005A781A">
            <w:pPr>
              <w:jc w:val="center"/>
              <w:rPr>
                <w:rFonts w:eastAsia="Times New Roman"/>
                <w:b/>
                <w:color w:val="FFFFFF" w:themeColor="background1"/>
                <w:sz w:val="18"/>
                <w:szCs w:val="18"/>
              </w:rPr>
            </w:pPr>
          </w:p>
        </w:tc>
      </w:tr>
      <w:tr w:rsidR="00D623BA" w:rsidRPr="00F271B4" w14:paraId="73AD2005"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31A0B7BB" w14:textId="77777777" w:rsidR="00D623BA" w:rsidRPr="00F271B4" w:rsidRDefault="00D623BA">
            <w:pPr>
              <w:pStyle w:val="NormalWeb"/>
              <w:rPr>
                <w:sz w:val="18"/>
                <w:szCs w:val="18"/>
              </w:rPr>
            </w:pPr>
            <w:r w:rsidRPr="00F271B4">
              <w:rPr>
                <w:sz w:val="18"/>
                <w:szCs w:val="18"/>
              </w:rPr>
              <w:t>Mean age</w:t>
            </w:r>
          </w:p>
        </w:tc>
        <w:tc>
          <w:tcPr>
            <w:tcW w:w="0" w:type="auto"/>
            <w:tcBorders>
              <w:left w:val="single" w:sz="2" w:space="0" w:color="808080" w:themeColor="background1" w:themeShade="80"/>
              <w:right w:val="single" w:sz="2" w:space="0" w:color="808080" w:themeColor="background1" w:themeShade="80"/>
            </w:tcBorders>
            <w:hideMark/>
          </w:tcPr>
          <w:p w14:paraId="7DB54C4F" w14:textId="77777777" w:rsidR="00D623BA" w:rsidRPr="00F271B4" w:rsidRDefault="00D623BA" w:rsidP="005A781A">
            <w:pPr>
              <w:pStyle w:val="NormalWeb"/>
              <w:jc w:val="center"/>
              <w:rPr>
                <w:sz w:val="18"/>
                <w:szCs w:val="18"/>
              </w:rPr>
            </w:pPr>
            <w:r w:rsidRPr="00F271B4">
              <w:rPr>
                <w:sz w:val="18"/>
                <w:szCs w:val="18"/>
              </w:rPr>
              <w:t>36.8</w:t>
            </w:r>
          </w:p>
        </w:tc>
        <w:tc>
          <w:tcPr>
            <w:tcW w:w="0" w:type="auto"/>
            <w:tcBorders>
              <w:left w:val="single" w:sz="2" w:space="0" w:color="808080" w:themeColor="background1" w:themeShade="80"/>
              <w:right w:val="single" w:sz="2" w:space="0" w:color="808080" w:themeColor="background1" w:themeShade="80"/>
            </w:tcBorders>
            <w:hideMark/>
          </w:tcPr>
          <w:p w14:paraId="2F3D6890" w14:textId="77777777" w:rsidR="00D623BA" w:rsidRPr="00F271B4" w:rsidRDefault="00D623BA" w:rsidP="005A781A">
            <w:pPr>
              <w:pStyle w:val="NormalWeb"/>
              <w:jc w:val="center"/>
              <w:rPr>
                <w:sz w:val="18"/>
                <w:szCs w:val="18"/>
              </w:rPr>
            </w:pPr>
            <w:r w:rsidRPr="00F271B4">
              <w:rPr>
                <w:sz w:val="18"/>
                <w:szCs w:val="18"/>
              </w:rPr>
              <w:t>39.6</w:t>
            </w:r>
          </w:p>
        </w:tc>
        <w:tc>
          <w:tcPr>
            <w:tcW w:w="0" w:type="auto"/>
            <w:tcBorders>
              <w:left w:val="single" w:sz="2" w:space="0" w:color="808080" w:themeColor="background1" w:themeShade="80"/>
              <w:right w:val="single" w:sz="2" w:space="0" w:color="808080" w:themeColor="background1" w:themeShade="80"/>
            </w:tcBorders>
            <w:hideMark/>
          </w:tcPr>
          <w:p w14:paraId="61E12B83" w14:textId="77777777" w:rsidR="00D623BA" w:rsidRPr="00F271B4" w:rsidRDefault="00D623BA" w:rsidP="005A781A">
            <w:pPr>
              <w:pStyle w:val="NormalWeb"/>
              <w:jc w:val="center"/>
              <w:rPr>
                <w:sz w:val="18"/>
                <w:szCs w:val="18"/>
              </w:rPr>
            </w:pPr>
            <w:r w:rsidRPr="00F271B4">
              <w:rPr>
                <w:sz w:val="18"/>
                <w:szCs w:val="18"/>
              </w:rPr>
              <w:t>33.1</w:t>
            </w:r>
          </w:p>
        </w:tc>
        <w:tc>
          <w:tcPr>
            <w:tcW w:w="1001" w:type="dxa"/>
            <w:tcBorders>
              <w:left w:val="single" w:sz="2" w:space="0" w:color="808080" w:themeColor="background1" w:themeShade="80"/>
            </w:tcBorders>
            <w:hideMark/>
          </w:tcPr>
          <w:p w14:paraId="164F1A35" w14:textId="77777777" w:rsidR="00D623BA" w:rsidRPr="00F271B4" w:rsidRDefault="00D623BA" w:rsidP="005A781A">
            <w:pPr>
              <w:jc w:val="center"/>
              <w:rPr>
                <w:sz w:val="18"/>
                <w:szCs w:val="18"/>
              </w:rPr>
            </w:pPr>
          </w:p>
        </w:tc>
      </w:tr>
      <w:tr w:rsidR="00D623BA" w:rsidRPr="00F271B4" w14:paraId="7537A60C" w14:textId="77777777" w:rsidTr="00B72EAB">
        <w:tc>
          <w:tcPr>
            <w:tcW w:w="0" w:type="auto"/>
            <w:tcBorders>
              <w:right w:val="single" w:sz="2" w:space="0" w:color="808080" w:themeColor="background1" w:themeShade="80"/>
            </w:tcBorders>
            <w:hideMark/>
          </w:tcPr>
          <w:p w14:paraId="53B24591" w14:textId="77777777" w:rsidR="00D623BA" w:rsidRPr="00F271B4" w:rsidRDefault="00D623BA">
            <w:pPr>
              <w:pStyle w:val="NormalWeb"/>
              <w:rPr>
                <w:sz w:val="18"/>
                <w:szCs w:val="18"/>
              </w:rPr>
            </w:pPr>
            <w:r w:rsidRPr="00F271B4">
              <w:rPr>
                <w:sz w:val="18"/>
                <w:szCs w:val="18"/>
              </w:rPr>
              <w:t>Median age [range]</w:t>
            </w:r>
          </w:p>
        </w:tc>
        <w:tc>
          <w:tcPr>
            <w:tcW w:w="0" w:type="auto"/>
            <w:tcBorders>
              <w:left w:val="single" w:sz="2" w:space="0" w:color="808080" w:themeColor="background1" w:themeShade="80"/>
              <w:right w:val="single" w:sz="2" w:space="0" w:color="808080" w:themeColor="background1" w:themeShade="80"/>
            </w:tcBorders>
            <w:hideMark/>
          </w:tcPr>
          <w:p w14:paraId="7923BF49" w14:textId="77777777" w:rsidR="00D623BA" w:rsidRPr="00F271B4" w:rsidRDefault="00D623BA" w:rsidP="005A781A">
            <w:pPr>
              <w:pStyle w:val="NormalWeb"/>
              <w:jc w:val="center"/>
              <w:rPr>
                <w:sz w:val="18"/>
                <w:szCs w:val="18"/>
              </w:rPr>
            </w:pPr>
            <w:r w:rsidRPr="00F271B4">
              <w:rPr>
                <w:sz w:val="18"/>
                <w:szCs w:val="18"/>
              </w:rPr>
              <w:t>33 [15 to 80]</w:t>
            </w:r>
          </w:p>
        </w:tc>
        <w:tc>
          <w:tcPr>
            <w:tcW w:w="0" w:type="auto"/>
            <w:tcBorders>
              <w:left w:val="single" w:sz="2" w:space="0" w:color="808080" w:themeColor="background1" w:themeShade="80"/>
              <w:right w:val="single" w:sz="2" w:space="0" w:color="808080" w:themeColor="background1" w:themeShade="80"/>
            </w:tcBorders>
            <w:hideMark/>
          </w:tcPr>
          <w:p w14:paraId="6B6E5E22" w14:textId="77777777" w:rsidR="00D623BA" w:rsidRPr="00F271B4" w:rsidRDefault="00D623BA" w:rsidP="005A781A">
            <w:pPr>
              <w:pStyle w:val="NormalWeb"/>
              <w:jc w:val="center"/>
              <w:rPr>
                <w:sz w:val="18"/>
                <w:szCs w:val="18"/>
              </w:rPr>
            </w:pPr>
            <w:r w:rsidRPr="00F271B4">
              <w:rPr>
                <w:sz w:val="18"/>
                <w:szCs w:val="18"/>
              </w:rPr>
              <w:t>36 (16 to 92]</w:t>
            </w:r>
          </w:p>
        </w:tc>
        <w:tc>
          <w:tcPr>
            <w:tcW w:w="0" w:type="auto"/>
            <w:tcBorders>
              <w:left w:val="single" w:sz="2" w:space="0" w:color="808080" w:themeColor="background1" w:themeShade="80"/>
              <w:right w:val="single" w:sz="2" w:space="0" w:color="808080" w:themeColor="background1" w:themeShade="80"/>
            </w:tcBorders>
            <w:hideMark/>
          </w:tcPr>
          <w:p w14:paraId="041E400E" w14:textId="77777777" w:rsidR="00D623BA" w:rsidRPr="00F271B4" w:rsidRDefault="00D623BA" w:rsidP="005A781A">
            <w:pPr>
              <w:pStyle w:val="NormalWeb"/>
              <w:jc w:val="center"/>
              <w:rPr>
                <w:sz w:val="18"/>
                <w:szCs w:val="18"/>
              </w:rPr>
            </w:pPr>
            <w:r w:rsidRPr="00F271B4">
              <w:rPr>
                <w:sz w:val="18"/>
                <w:szCs w:val="18"/>
              </w:rPr>
              <w:t>32 [15 to 64]</w:t>
            </w:r>
          </w:p>
        </w:tc>
        <w:tc>
          <w:tcPr>
            <w:tcW w:w="1001" w:type="dxa"/>
            <w:tcBorders>
              <w:left w:val="single" w:sz="2" w:space="0" w:color="808080" w:themeColor="background1" w:themeShade="80"/>
            </w:tcBorders>
            <w:hideMark/>
          </w:tcPr>
          <w:p w14:paraId="178C1CC0" w14:textId="77777777" w:rsidR="00D623BA" w:rsidRPr="00F271B4" w:rsidRDefault="00D623BA" w:rsidP="005A781A">
            <w:pPr>
              <w:jc w:val="center"/>
              <w:rPr>
                <w:sz w:val="18"/>
                <w:szCs w:val="18"/>
              </w:rPr>
            </w:pPr>
          </w:p>
        </w:tc>
      </w:tr>
      <w:tr w:rsidR="00D623BA" w:rsidRPr="00F271B4" w14:paraId="3774B42E"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72EA1251" w14:textId="77777777" w:rsidR="00D623BA" w:rsidRPr="00F271B4" w:rsidRDefault="00D623BA">
            <w:pPr>
              <w:pStyle w:val="NormalWeb"/>
              <w:rPr>
                <w:sz w:val="18"/>
                <w:szCs w:val="18"/>
              </w:rPr>
            </w:pPr>
            <w:r w:rsidRPr="00F271B4">
              <w:rPr>
                <w:sz w:val="18"/>
                <w:szCs w:val="18"/>
              </w:rPr>
              <w:t>Pneumonia</w:t>
            </w:r>
          </w:p>
        </w:tc>
        <w:tc>
          <w:tcPr>
            <w:tcW w:w="0" w:type="auto"/>
            <w:tcBorders>
              <w:left w:val="single" w:sz="2" w:space="0" w:color="808080" w:themeColor="background1" w:themeShade="80"/>
              <w:right w:val="single" w:sz="2" w:space="0" w:color="808080" w:themeColor="background1" w:themeShade="80"/>
            </w:tcBorders>
            <w:hideMark/>
          </w:tcPr>
          <w:p w14:paraId="18CDA64A" w14:textId="77777777" w:rsidR="00D623BA" w:rsidRPr="00F271B4" w:rsidRDefault="00D623BA" w:rsidP="005A781A">
            <w:pPr>
              <w:pStyle w:val="NormalWeb"/>
              <w:jc w:val="center"/>
              <w:rPr>
                <w:sz w:val="18"/>
                <w:szCs w:val="18"/>
              </w:rPr>
            </w:pPr>
            <w:r w:rsidRPr="00F271B4">
              <w:rPr>
                <w:sz w:val="18"/>
                <w:szCs w:val="18"/>
              </w:rPr>
              <w:t>36</w:t>
            </w:r>
          </w:p>
        </w:tc>
        <w:tc>
          <w:tcPr>
            <w:tcW w:w="0" w:type="auto"/>
            <w:tcBorders>
              <w:left w:val="single" w:sz="2" w:space="0" w:color="808080" w:themeColor="background1" w:themeShade="80"/>
              <w:right w:val="single" w:sz="2" w:space="0" w:color="808080" w:themeColor="background1" w:themeShade="80"/>
            </w:tcBorders>
            <w:hideMark/>
          </w:tcPr>
          <w:p w14:paraId="247117E9" w14:textId="77777777" w:rsidR="00D623BA" w:rsidRPr="00F271B4" w:rsidRDefault="00D623BA" w:rsidP="005A781A">
            <w:pPr>
              <w:pStyle w:val="NormalWeb"/>
              <w:jc w:val="center"/>
              <w:rPr>
                <w:sz w:val="18"/>
                <w:szCs w:val="18"/>
              </w:rPr>
            </w:pPr>
            <w:r w:rsidRPr="00F271B4">
              <w:rPr>
                <w:sz w:val="18"/>
                <w:szCs w:val="18"/>
              </w:rPr>
              <w:t>25</w:t>
            </w:r>
          </w:p>
        </w:tc>
        <w:tc>
          <w:tcPr>
            <w:tcW w:w="0" w:type="auto"/>
            <w:tcBorders>
              <w:left w:val="single" w:sz="2" w:space="0" w:color="808080" w:themeColor="background1" w:themeShade="80"/>
              <w:right w:val="single" w:sz="2" w:space="0" w:color="808080" w:themeColor="background1" w:themeShade="80"/>
            </w:tcBorders>
            <w:hideMark/>
          </w:tcPr>
          <w:p w14:paraId="21AF13DF" w14:textId="77777777" w:rsidR="00D623BA" w:rsidRPr="00F271B4" w:rsidRDefault="00D623BA" w:rsidP="005A781A">
            <w:pPr>
              <w:pStyle w:val="NormalWeb"/>
              <w:jc w:val="center"/>
              <w:rPr>
                <w:sz w:val="18"/>
                <w:szCs w:val="18"/>
              </w:rPr>
            </w:pPr>
            <w:r w:rsidRPr="00F271B4">
              <w:rPr>
                <w:sz w:val="18"/>
                <w:szCs w:val="18"/>
              </w:rPr>
              <w:t>20</w:t>
            </w:r>
          </w:p>
        </w:tc>
        <w:tc>
          <w:tcPr>
            <w:tcW w:w="1001" w:type="dxa"/>
            <w:tcBorders>
              <w:left w:val="single" w:sz="2" w:space="0" w:color="808080" w:themeColor="background1" w:themeShade="80"/>
            </w:tcBorders>
            <w:hideMark/>
          </w:tcPr>
          <w:p w14:paraId="549A1DC3" w14:textId="77777777" w:rsidR="00D623BA" w:rsidRPr="00F271B4" w:rsidRDefault="00D623BA" w:rsidP="005A781A">
            <w:pPr>
              <w:pStyle w:val="NormalWeb"/>
              <w:jc w:val="center"/>
              <w:rPr>
                <w:sz w:val="18"/>
                <w:szCs w:val="18"/>
              </w:rPr>
            </w:pPr>
            <w:r w:rsidRPr="00F271B4">
              <w:rPr>
                <w:sz w:val="18"/>
                <w:szCs w:val="18"/>
              </w:rPr>
              <w:t>81</w:t>
            </w:r>
          </w:p>
        </w:tc>
      </w:tr>
      <w:tr w:rsidR="00D623BA" w:rsidRPr="00F271B4" w14:paraId="159B0EC0" w14:textId="77777777" w:rsidTr="00B72EAB">
        <w:tc>
          <w:tcPr>
            <w:tcW w:w="0" w:type="auto"/>
            <w:tcBorders>
              <w:right w:val="single" w:sz="2" w:space="0" w:color="808080" w:themeColor="background1" w:themeShade="80"/>
            </w:tcBorders>
            <w:hideMark/>
          </w:tcPr>
          <w:p w14:paraId="13312999" w14:textId="77777777" w:rsidR="00D623BA" w:rsidRPr="00F271B4" w:rsidRDefault="00D623BA">
            <w:pPr>
              <w:pStyle w:val="NormalWeb"/>
              <w:rPr>
                <w:sz w:val="18"/>
                <w:szCs w:val="18"/>
              </w:rPr>
            </w:pPr>
            <w:r w:rsidRPr="00F271B4">
              <w:rPr>
                <w:sz w:val="18"/>
                <w:szCs w:val="18"/>
              </w:rPr>
              <w:t>Complicated pneumonia</w:t>
            </w:r>
          </w:p>
        </w:tc>
        <w:tc>
          <w:tcPr>
            <w:tcW w:w="0" w:type="auto"/>
            <w:tcBorders>
              <w:left w:val="single" w:sz="2" w:space="0" w:color="808080" w:themeColor="background1" w:themeShade="80"/>
              <w:right w:val="single" w:sz="2" w:space="0" w:color="808080" w:themeColor="background1" w:themeShade="80"/>
            </w:tcBorders>
            <w:hideMark/>
          </w:tcPr>
          <w:p w14:paraId="601580BC" w14:textId="77777777" w:rsidR="00D623BA" w:rsidRPr="00F271B4" w:rsidRDefault="00D623BA" w:rsidP="005A781A">
            <w:pPr>
              <w:pStyle w:val="NormalWeb"/>
              <w:jc w:val="center"/>
              <w:rPr>
                <w:sz w:val="18"/>
                <w:szCs w:val="18"/>
              </w:rPr>
            </w:pPr>
            <w:r w:rsidRPr="00F271B4">
              <w:rPr>
                <w:sz w:val="18"/>
                <w:szCs w:val="18"/>
              </w:rPr>
              <w:t>4</w:t>
            </w:r>
          </w:p>
        </w:tc>
        <w:tc>
          <w:tcPr>
            <w:tcW w:w="0" w:type="auto"/>
            <w:tcBorders>
              <w:left w:val="single" w:sz="2" w:space="0" w:color="808080" w:themeColor="background1" w:themeShade="80"/>
              <w:right w:val="single" w:sz="2" w:space="0" w:color="808080" w:themeColor="background1" w:themeShade="80"/>
            </w:tcBorders>
            <w:hideMark/>
          </w:tcPr>
          <w:p w14:paraId="33F8A84E" w14:textId="77777777" w:rsidR="00D623BA" w:rsidRPr="00F271B4" w:rsidRDefault="00D623BA" w:rsidP="005A781A">
            <w:pPr>
              <w:pStyle w:val="NormalWeb"/>
              <w:jc w:val="center"/>
              <w:rPr>
                <w:sz w:val="18"/>
                <w:szCs w:val="18"/>
              </w:rPr>
            </w:pPr>
            <w:r w:rsidRPr="00F271B4">
              <w:rPr>
                <w:sz w:val="18"/>
                <w:szCs w:val="18"/>
              </w:rPr>
              <w:t>0</w:t>
            </w:r>
          </w:p>
        </w:tc>
        <w:tc>
          <w:tcPr>
            <w:tcW w:w="0" w:type="auto"/>
            <w:tcBorders>
              <w:left w:val="single" w:sz="2" w:space="0" w:color="808080" w:themeColor="background1" w:themeShade="80"/>
              <w:right w:val="single" w:sz="2" w:space="0" w:color="808080" w:themeColor="background1" w:themeShade="80"/>
            </w:tcBorders>
            <w:hideMark/>
          </w:tcPr>
          <w:p w14:paraId="655D836A" w14:textId="77777777" w:rsidR="00D623BA" w:rsidRPr="00F271B4" w:rsidRDefault="00D623BA" w:rsidP="005A781A">
            <w:pPr>
              <w:pStyle w:val="NormalWeb"/>
              <w:jc w:val="center"/>
              <w:rPr>
                <w:sz w:val="18"/>
                <w:szCs w:val="18"/>
              </w:rPr>
            </w:pPr>
            <w:r w:rsidRPr="00F271B4">
              <w:rPr>
                <w:sz w:val="18"/>
                <w:szCs w:val="18"/>
              </w:rPr>
              <w:t>1</w:t>
            </w:r>
          </w:p>
        </w:tc>
        <w:tc>
          <w:tcPr>
            <w:tcW w:w="1001" w:type="dxa"/>
            <w:tcBorders>
              <w:left w:val="single" w:sz="2" w:space="0" w:color="808080" w:themeColor="background1" w:themeShade="80"/>
            </w:tcBorders>
            <w:hideMark/>
          </w:tcPr>
          <w:p w14:paraId="4F87537F" w14:textId="77777777" w:rsidR="00D623BA" w:rsidRPr="00F271B4" w:rsidRDefault="00D623BA" w:rsidP="005A781A">
            <w:pPr>
              <w:pStyle w:val="NormalWeb"/>
              <w:jc w:val="center"/>
              <w:rPr>
                <w:sz w:val="18"/>
                <w:szCs w:val="18"/>
              </w:rPr>
            </w:pPr>
            <w:r w:rsidRPr="00F271B4">
              <w:rPr>
                <w:sz w:val="18"/>
                <w:szCs w:val="18"/>
              </w:rPr>
              <w:t>5</w:t>
            </w:r>
          </w:p>
        </w:tc>
      </w:tr>
      <w:tr w:rsidR="00D623BA" w:rsidRPr="00F271B4" w14:paraId="306FCD21"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78918688" w14:textId="77777777" w:rsidR="00D623BA" w:rsidRPr="00F271B4" w:rsidRDefault="00D623BA">
            <w:pPr>
              <w:pStyle w:val="NormalWeb"/>
              <w:rPr>
                <w:sz w:val="18"/>
                <w:szCs w:val="18"/>
              </w:rPr>
            </w:pPr>
            <w:r w:rsidRPr="00F271B4">
              <w:rPr>
                <w:sz w:val="18"/>
                <w:szCs w:val="18"/>
              </w:rPr>
              <w:t>Died</w:t>
            </w:r>
          </w:p>
        </w:tc>
        <w:tc>
          <w:tcPr>
            <w:tcW w:w="0" w:type="auto"/>
            <w:tcBorders>
              <w:left w:val="single" w:sz="2" w:space="0" w:color="808080" w:themeColor="background1" w:themeShade="80"/>
              <w:right w:val="single" w:sz="2" w:space="0" w:color="808080" w:themeColor="background1" w:themeShade="80"/>
            </w:tcBorders>
            <w:hideMark/>
          </w:tcPr>
          <w:p w14:paraId="01E304C0" w14:textId="77777777" w:rsidR="00D623BA" w:rsidRPr="00F271B4" w:rsidRDefault="00D623BA" w:rsidP="005A781A">
            <w:pPr>
              <w:pStyle w:val="NormalWeb"/>
              <w:jc w:val="center"/>
              <w:rPr>
                <w:sz w:val="18"/>
                <w:szCs w:val="18"/>
              </w:rPr>
            </w:pPr>
            <w:r w:rsidRPr="00F271B4">
              <w:rPr>
                <w:sz w:val="18"/>
                <w:szCs w:val="18"/>
              </w:rPr>
              <w:t>0</w:t>
            </w:r>
          </w:p>
        </w:tc>
        <w:tc>
          <w:tcPr>
            <w:tcW w:w="0" w:type="auto"/>
            <w:tcBorders>
              <w:left w:val="single" w:sz="2" w:space="0" w:color="808080" w:themeColor="background1" w:themeShade="80"/>
              <w:right w:val="single" w:sz="2" w:space="0" w:color="808080" w:themeColor="background1" w:themeShade="80"/>
            </w:tcBorders>
            <w:hideMark/>
          </w:tcPr>
          <w:p w14:paraId="7D39D83E" w14:textId="77777777" w:rsidR="00D623BA" w:rsidRPr="00F271B4" w:rsidRDefault="00D623BA" w:rsidP="005A781A">
            <w:pPr>
              <w:pStyle w:val="NormalWeb"/>
              <w:jc w:val="center"/>
              <w:rPr>
                <w:sz w:val="18"/>
                <w:szCs w:val="18"/>
              </w:rPr>
            </w:pPr>
            <w:r w:rsidRPr="00F271B4">
              <w:rPr>
                <w:sz w:val="18"/>
                <w:szCs w:val="18"/>
              </w:rPr>
              <w:t>0</w:t>
            </w:r>
          </w:p>
        </w:tc>
        <w:tc>
          <w:tcPr>
            <w:tcW w:w="0" w:type="auto"/>
            <w:tcBorders>
              <w:left w:val="single" w:sz="2" w:space="0" w:color="808080" w:themeColor="background1" w:themeShade="80"/>
              <w:right w:val="single" w:sz="2" w:space="0" w:color="808080" w:themeColor="background1" w:themeShade="80"/>
            </w:tcBorders>
            <w:hideMark/>
          </w:tcPr>
          <w:p w14:paraId="2F29BFF5" w14:textId="77777777" w:rsidR="00D623BA" w:rsidRPr="00F271B4" w:rsidRDefault="00D623BA" w:rsidP="005A781A">
            <w:pPr>
              <w:pStyle w:val="NormalWeb"/>
              <w:jc w:val="center"/>
              <w:rPr>
                <w:sz w:val="18"/>
                <w:szCs w:val="18"/>
              </w:rPr>
            </w:pPr>
            <w:r w:rsidRPr="00F271B4">
              <w:rPr>
                <w:sz w:val="18"/>
                <w:szCs w:val="18"/>
              </w:rPr>
              <w:t>1</w:t>
            </w:r>
          </w:p>
        </w:tc>
        <w:tc>
          <w:tcPr>
            <w:tcW w:w="1001" w:type="dxa"/>
            <w:tcBorders>
              <w:left w:val="single" w:sz="2" w:space="0" w:color="808080" w:themeColor="background1" w:themeShade="80"/>
            </w:tcBorders>
            <w:hideMark/>
          </w:tcPr>
          <w:p w14:paraId="6FB5E71A" w14:textId="77777777" w:rsidR="00D623BA" w:rsidRPr="00F271B4" w:rsidRDefault="00D623BA" w:rsidP="005A781A">
            <w:pPr>
              <w:pStyle w:val="NormalWeb"/>
              <w:jc w:val="center"/>
              <w:rPr>
                <w:sz w:val="18"/>
                <w:szCs w:val="18"/>
              </w:rPr>
            </w:pPr>
            <w:r w:rsidRPr="00F271B4">
              <w:rPr>
                <w:sz w:val="18"/>
                <w:szCs w:val="18"/>
              </w:rPr>
              <w:t>1</w:t>
            </w:r>
          </w:p>
        </w:tc>
      </w:tr>
      <w:tr w:rsidR="00D623BA" w:rsidRPr="00F271B4" w14:paraId="55B40132" w14:textId="77777777" w:rsidTr="00B72EAB">
        <w:tc>
          <w:tcPr>
            <w:tcW w:w="0" w:type="auto"/>
            <w:tcBorders>
              <w:right w:val="single" w:sz="2" w:space="0" w:color="808080" w:themeColor="background1" w:themeShade="80"/>
            </w:tcBorders>
            <w:hideMark/>
          </w:tcPr>
          <w:p w14:paraId="4C1D280E" w14:textId="77777777" w:rsidR="00D623BA" w:rsidRPr="00F271B4" w:rsidRDefault="00D623BA">
            <w:pPr>
              <w:pStyle w:val="NormalWeb"/>
              <w:rPr>
                <w:sz w:val="18"/>
                <w:szCs w:val="18"/>
              </w:rPr>
            </w:pPr>
            <w:r w:rsidRPr="00F271B4">
              <w:rPr>
                <w:sz w:val="18"/>
                <w:szCs w:val="18"/>
              </w:rPr>
              <w:t>Received polysaccharide vaccine dose ever</w:t>
            </w:r>
          </w:p>
        </w:tc>
        <w:tc>
          <w:tcPr>
            <w:tcW w:w="0" w:type="auto"/>
            <w:tcBorders>
              <w:left w:val="single" w:sz="2" w:space="0" w:color="808080" w:themeColor="background1" w:themeShade="80"/>
              <w:right w:val="single" w:sz="2" w:space="0" w:color="808080" w:themeColor="background1" w:themeShade="80"/>
            </w:tcBorders>
            <w:hideMark/>
          </w:tcPr>
          <w:p w14:paraId="15967C5A" w14:textId="77777777" w:rsidR="00D623BA" w:rsidRPr="00F271B4" w:rsidRDefault="00D623BA" w:rsidP="005A781A">
            <w:pPr>
              <w:pStyle w:val="NormalWeb"/>
              <w:jc w:val="center"/>
              <w:rPr>
                <w:sz w:val="18"/>
                <w:szCs w:val="18"/>
              </w:rPr>
            </w:pPr>
            <w:r w:rsidRPr="00F271B4">
              <w:rPr>
                <w:sz w:val="18"/>
                <w:szCs w:val="18"/>
              </w:rPr>
              <w:t>8</w:t>
            </w:r>
          </w:p>
        </w:tc>
        <w:tc>
          <w:tcPr>
            <w:tcW w:w="0" w:type="auto"/>
            <w:tcBorders>
              <w:left w:val="single" w:sz="2" w:space="0" w:color="808080" w:themeColor="background1" w:themeShade="80"/>
              <w:right w:val="single" w:sz="2" w:space="0" w:color="808080" w:themeColor="background1" w:themeShade="80"/>
            </w:tcBorders>
            <w:hideMark/>
          </w:tcPr>
          <w:p w14:paraId="492D4550" w14:textId="77777777" w:rsidR="00D623BA" w:rsidRPr="00F271B4" w:rsidRDefault="00D623BA" w:rsidP="005A781A">
            <w:pPr>
              <w:pStyle w:val="NormalWeb"/>
              <w:jc w:val="center"/>
              <w:rPr>
                <w:sz w:val="18"/>
                <w:szCs w:val="18"/>
              </w:rPr>
            </w:pPr>
            <w:r w:rsidRPr="00F271B4">
              <w:rPr>
                <w:sz w:val="18"/>
                <w:szCs w:val="18"/>
              </w:rPr>
              <w:t>21</w:t>
            </w:r>
          </w:p>
        </w:tc>
        <w:tc>
          <w:tcPr>
            <w:tcW w:w="0" w:type="auto"/>
            <w:tcBorders>
              <w:left w:val="single" w:sz="2" w:space="0" w:color="808080" w:themeColor="background1" w:themeShade="80"/>
              <w:right w:val="single" w:sz="2" w:space="0" w:color="808080" w:themeColor="background1" w:themeShade="80"/>
            </w:tcBorders>
            <w:hideMark/>
          </w:tcPr>
          <w:p w14:paraId="68C8E5E0" w14:textId="77777777" w:rsidR="00D623BA" w:rsidRPr="00F271B4" w:rsidRDefault="00D623BA" w:rsidP="005A781A">
            <w:pPr>
              <w:pStyle w:val="NormalWeb"/>
              <w:jc w:val="center"/>
              <w:rPr>
                <w:sz w:val="18"/>
                <w:szCs w:val="18"/>
              </w:rPr>
            </w:pPr>
            <w:r w:rsidRPr="00F271B4">
              <w:rPr>
                <w:sz w:val="18"/>
                <w:szCs w:val="18"/>
              </w:rPr>
              <w:t>10</w:t>
            </w:r>
          </w:p>
        </w:tc>
        <w:tc>
          <w:tcPr>
            <w:tcW w:w="1001" w:type="dxa"/>
            <w:tcBorders>
              <w:left w:val="single" w:sz="2" w:space="0" w:color="808080" w:themeColor="background1" w:themeShade="80"/>
            </w:tcBorders>
            <w:hideMark/>
          </w:tcPr>
          <w:p w14:paraId="7E27BE14" w14:textId="77777777" w:rsidR="00D623BA" w:rsidRPr="00F271B4" w:rsidRDefault="00D623BA" w:rsidP="005A781A">
            <w:pPr>
              <w:pStyle w:val="NormalWeb"/>
              <w:jc w:val="center"/>
              <w:rPr>
                <w:sz w:val="18"/>
                <w:szCs w:val="18"/>
              </w:rPr>
            </w:pPr>
            <w:r w:rsidRPr="00F271B4">
              <w:rPr>
                <w:sz w:val="18"/>
                <w:szCs w:val="18"/>
              </w:rPr>
              <w:t>39</w:t>
            </w:r>
          </w:p>
        </w:tc>
      </w:tr>
      <w:tr w:rsidR="00D623BA" w:rsidRPr="00F271B4" w14:paraId="75F76E60"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759EC5C9" w14:textId="77777777" w:rsidR="00D623BA" w:rsidRPr="00F271B4" w:rsidRDefault="00D623BA">
            <w:pPr>
              <w:pStyle w:val="NormalWeb"/>
              <w:rPr>
                <w:sz w:val="18"/>
                <w:szCs w:val="18"/>
              </w:rPr>
            </w:pPr>
            <w:r w:rsidRPr="00F271B4">
              <w:rPr>
                <w:sz w:val="18"/>
                <w:szCs w:val="18"/>
              </w:rPr>
              <w:t>Received polysaccharide vaccine dose within last 5 years</w:t>
            </w:r>
          </w:p>
        </w:tc>
        <w:tc>
          <w:tcPr>
            <w:tcW w:w="0" w:type="auto"/>
            <w:tcBorders>
              <w:left w:val="single" w:sz="2" w:space="0" w:color="808080" w:themeColor="background1" w:themeShade="80"/>
              <w:right w:val="single" w:sz="2" w:space="0" w:color="808080" w:themeColor="background1" w:themeShade="80"/>
            </w:tcBorders>
            <w:hideMark/>
          </w:tcPr>
          <w:p w14:paraId="67169C10" w14:textId="77777777" w:rsidR="00D623BA" w:rsidRPr="00F271B4" w:rsidRDefault="00D623BA" w:rsidP="005A781A">
            <w:pPr>
              <w:pStyle w:val="NormalWeb"/>
              <w:jc w:val="center"/>
              <w:rPr>
                <w:sz w:val="18"/>
                <w:szCs w:val="18"/>
              </w:rPr>
            </w:pPr>
            <w:r w:rsidRPr="00F271B4">
              <w:rPr>
                <w:sz w:val="18"/>
                <w:szCs w:val="18"/>
              </w:rPr>
              <w:t>5</w:t>
            </w:r>
          </w:p>
        </w:tc>
        <w:tc>
          <w:tcPr>
            <w:tcW w:w="0" w:type="auto"/>
            <w:tcBorders>
              <w:left w:val="single" w:sz="2" w:space="0" w:color="808080" w:themeColor="background1" w:themeShade="80"/>
              <w:right w:val="single" w:sz="2" w:space="0" w:color="808080" w:themeColor="background1" w:themeShade="80"/>
            </w:tcBorders>
            <w:hideMark/>
          </w:tcPr>
          <w:p w14:paraId="696E0F51" w14:textId="77777777" w:rsidR="00D623BA" w:rsidRPr="00F271B4" w:rsidRDefault="00D623BA" w:rsidP="005A781A">
            <w:pPr>
              <w:pStyle w:val="NormalWeb"/>
              <w:jc w:val="center"/>
              <w:rPr>
                <w:sz w:val="18"/>
                <w:szCs w:val="18"/>
              </w:rPr>
            </w:pPr>
            <w:r w:rsidRPr="00F271B4">
              <w:rPr>
                <w:sz w:val="18"/>
                <w:szCs w:val="18"/>
              </w:rPr>
              <w:t>11</w:t>
            </w:r>
          </w:p>
        </w:tc>
        <w:tc>
          <w:tcPr>
            <w:tcW w:w="0" w:type="auto"/>
            <w:tcBorders>
              <w:left w:val="single" w:sz="2" w:space="0" w:color="808080" w:themeColor="background1" w:themeShade="80"/>
              <w:right w:val="single" w:sz="2" w:space="0" w:color="808080" w:themeColor="background1" w:themeShade="80"/>
            </w:tcBorders>
            <w:hideMark/>
          </w:tcPr>
          <w:p w14:paraId="3E4E79C8" w14:textId="77777777" w:rsidR="00D623BA" w:rsidRPr="00F271B4" w:rsidRDefault="00D623BA" w:rsidP="005A781A">
            <w:pPr>
              <w:pStyle w:val="NormalWeb"/>
              <w:jc w:val="center"/>
              <w:rPr>
                <w:sz w:val="18"/>
                <w:szCs w:val="18"/>
              </w:rPr>
            </w:pPr>
            <w:r w:rsidRPr="00F271B4">
              <w:rPr>
                <w:sz w:val="18"/>
                <w:szCs w:val="18"/>
              </w:rPr>
              <w:t>6</w:t>
            </w:r>
          </w:p>
        </w:tc>
        <w:tc>
          <w:tcPr>
            <w:tcW w:w="1001" w:type="dxa"/>
            <w:tcBorders>
              <w:left w:val="single" w:sz="2" w:space="0" w:color="808080" w:themeColor="background1" w:themeShade="80"/>
            </w:tcBorders>
            <w:hideMark/>
          </w:tcPr>
          <w:p w14:paraId="63A2C1F3" w14:textId="77777777" w:rsidR="00D623BA" w:rsidRPr="00F271B4" w:rsidRDefault="00D623BA" w:rsidP="005A781A">
            <w:pPr>
              <w:pStyle w:val="NormalWeb"/>
              <w:jc w:val="center"/>
              <w:rPr>
                <w:sz w:val="18"/>
                <w:szCs w:val="18"/>
              </w:rPr>
            </w:pPr>
            <w:r w:rsidRPr="00F271B4">
              <w:rPr>
                <w:sz w:val="18"/>
                <w:szCs w:val="18"/>
              </w:rPr>
              <w:t>22</w:t>
            </w:r>
          </w:p>
        </w:tc>
      </w:tr>
      <w:tr w:rsidR="00D623BA" w:rsidRPr="00F271B4" w14:paraId="2C7396E2" w14:textId="77777777" w:rsidTr="00B72EAB">
        <w:tc>
          <w:tcPr>
            <w:tcW w:w="0" w:type="auto"/>
            <w:tcBorders>
              <w:right w:val="single" w:sz="2" w:space="0" w:color="808080" w:themeColor="background1" w:themeShade="80"/>
            </w:tcBorders>
            <w:hideMark/>
          </w:tcPr>
          <w:p w14:paraId="305256AE" w14:textId="77777777" w:rsidR="00D623BA" w:rsidRPr="00F271B4" w:rsidRDefault="00D623BA">
            <w:pPr>
              <w:pStyle w:val="NormalWeb"/>
              <w:rPr>
                <w:sz w:val="18"/>
                <w:szCs w:val="18"/>
              </w:rPr>
            </w:pPr>
            <w:r w:rsidRPr="00F271B4">
              <w:rPr>
                <w:sz w:val="18"/>
                <w:szCs w:val="18"/>
              </w:rPr>
              <w:t>Vaccine history not available</w:t>
            </w:r>
          </w:p>
        </w:tc>
        <w:tc>
          <w:tcPr>
            <w:tcW w:w="0" w:type="auto"/>
            <w:tcBorders>
              <w:left w:val="single" w:sz="2" w:space="0" w:color="808080" w:themeColor="background1" w:themeShade="80"/>
              <w:right w:val="single" w:sz="2" w:space="0" w:color="808080" w:themeColor="background1" w:themeShade="80"/>
            </w:tcBorders>
            <w:hideMark/>
          </w:tcPr>
          <w:p w14:paraId="61D42A26" w14:textId="77777777" w:rsidR="00D623BA" w:rsidRPr="00F271B4" w:rsidRDefault="00D623BA" w:rsidP="005A781A">
            <w:pPr>
              <w:pStyle w:val="NormalWeb"/>
              <w:jc w:val="center"/>
              <w:rPr>
                <w:sz w:val="18"/>
                <w:szCs w:val="18"/>
              </w:rPr>
            </w:pPr>
            <w:r w:rsidRPr="00F271B4">
              <w:rPr>
                <w:sz w:val="18"/>
                <w:szCs w:val="18"/>
              </w:rPr>
              <w:t>23</w:t>
            </w:r>
          </w:p>
        </w:tc>
        <w:tc>
          <w:tcPr>
            <w:tcW w:w="0" w:type="auto"/>
            <w:tcBorders>
              <w:left w:val="single" w:sz="2" w:space="0" w:color="808080" w:themeColor="background1" w:themeShade="80"/>
              <w:right w:val="single" w:sz="2" w:space="0" w:color="808080" w:themeColor="background1" w:themeShade="80"/>
            </w:tcBorders>
            <w:hideMark/>
          </w:tcPr>
          <w:p w14:paraId="2361E4F3" w14:textId="77777777" w:rsidR="00D623BA" w:rsidRPr="00F271B4" w:rsidRDefault="00D623BA" w:rsidP="005A781A">
            <w:pPr>
              <w:pStyle w:val="NormalWeb"/>
              <w:jc w:val="center"/>
              <w:rPr>
                <w:sz w:val="18"/>
                <w:szCs w:val="18"/>
              </w:rPr>
            </w:pPr>
            <w:r w:rsidRPr="00F271B4">
              <w:rPr>
                <w:sz w:val="18"/>
                <w:szCs w:val="18"/>
              </w:rPr>
              <w:t>0</w:t>
            </w:r>
          </w:p>
        </w:tc>
        <w:tc>
          <w:tcPr>
            <w:tcW w:w="0" w:type="auto"/>
            <w:tcBorders>
              <w:left w:val="single" w:sz="2" w:space="0" w:color="808080" w:themeColor="background1" w:themeShade="80"/>
              <w:right w:val="single" w:sz="2" w:space="0" w:color="808080" w:themeColor="background1" w:themeShade="80"/>
            </w:tcBorders>
            <w:hideMark/>
          </w:tcPr>
          <w:p w14:paraId="7D98FC64" w14:textId="77777777" w:rsidR="00D623BA" w:rsidRPr="00F271B4" w:rsidRDefault="00D623BA" w:rsidP="005A781A">
            <w:pPr>
              <w:pStyle w:val="NormalWeb"/>
              <w:jc w:val="center"/>
              <w:rPr>
                <w:sz w:val="18"/>
                <w:szCs w:val="18"/>
              </w:rPr>
            </w:pPr>
            <w:r w:rsidRPr="00F271B4">
              <w:rPr>
                <w:sz w:val="18"/>
                <w:szCs w:val="18"/>
              </w:rPr>
              <w:t>7</w:t>
            </w:r>
          </w:p>
        </w:tc>
        <w:tc>
          <w:tcPr>
            <w:tcW w:w="1001" w:type="dxa"/>
            <w:tcBorders>
              <w:left w:val="single" w:sz="2" w:space="0" w:color="808080" w:themeColor="background1" w:themeShade="80"/>
            </w:tcBorders>
            <w:hideMark/>
          </w:tcPr>
          <w:p w14:paraId="7117786B" w14:textId="77777777" w:rsidR="00D623BA" w:rsidRPr="00F271B4" w:rsidRDefault="00D623BA" w:rsidP="005A781A">
            <w:pPr>
              <w:pStyle w:val="NormalWeb"/>
              <w:jc w:val="center"/>
              <w:rPr>
                <w:sz w:val="18"/>
                <w:szCs w:val="18"/>
              </w:rPr>
            </w:pPr>
            <w:r w:rsidRPr="00F271B4">
              <w:rPr>
                <w:sz w:val="18"/>
                <w:szCs w:val="18"/>
              </w:rPr>
              <w:t>30</w:t>
            </w:r>
          </w:p>
        </w:tc>
      </w:tr>
      <w:tr w:rsidR="00D623BA" w:rsidRPr="00AC305F" w14:paraId="2E3C6101" w14:textId="77777777" w:rsidTr="00B72EAB">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14:paraId="6970393C" w14:textId="77777777" w:rsidR="00D623BA" w:rsidRPr="00AC305F" w:rsidRDefault="00D623BA">
            <w:pPr>
              <w:pStyle w:val="NormalWeb"/>
              <w:rPr>
                <w:b/>
                <w:sz w:val="18"/>
                <w:szCs w:val="18"/>
              </w:rPr>
            </w:pPr>
            <w:r w:rsidRPr="00AC305F">
              <w:rPr>
                <w:b/>
                <w:sz w:val="18"/>
                <w:szCs w:val="18"/>
              </w:rPr>
              <w:t>Total aged 15 years or older</w:t>
            </w:r>
          </w:p>
        </w:tc>
        <w:tc>
          <w:tcPr>
            <w:tcW w:w="0" w:type="auto"/>
            <w:tcBorders>
              <w:left w:val="single" w:sz="2" w:space="0" w:color="808080" w:themeColor="background1" w:themeShade="80"/>
              <w:right w:val="single" w:sz="2" w:space="0" w:color="808080" w:themeColor="background1" w:themeShade="80"/>
            </w:tcBorders>
            <w:hideMark/>
          </w:tcPr>
          <w:p w14:paraId="1150AA89" w14:textId="77777777" w:rsidR="00D623BA" w:rsidRPr="00AC305F" w:rsidRDefault="00D623BA" w:rsidP="005A781A">
            <w:pPr>
              <w:pStyle w:val="NormalWeb"/>
              <w:jc w:val="center"/>
              <w:rPr>
                <w:b/>
                <w:sz w:val="18"/>
                <w:szCs w:val="18"/>
              </w:rPr>
            </w:pPr>
            <w:r w:rsidRPr="00AC305F">
              <w:rPr>
                <w:b/>
                <w:sz w:val="18"/>
                <w:szCs w:val="18"/>
              </w:rPr>
              <w:t>41</w:t>
            </w:r>
          </w:p>
        </w:tc>
        <w:tc>
          <w:tcPr>
            <w:tcW w:w="0" w:type="auto"/>
            <w:tcBorders>
              <w:left w:val="single" w:sz="2" w:space="0" w:color="808080" w:themeColor="background1" w:themeShade="80"/>
              <w:right w:val="single" w:sz="2" w:space="0" w:color="808080" w:themeColor="background1" w:themeShade="80"/>
            </w:tcBorders>
            <w:hideMark/>
          </w:tcPr>
          <w:p w14:paraId="5EAB0749" w14:textId="77777777" w:rsidR="00D623BA" w:rsidRPr="00AC305F" w:rsidRDefault="00D623BA" w:rsidP="005A781A">
            <w:pPr>
              <w:pStyle w:val="NormalWeb"/>
              <w:jc w:val="center"/>
              <w:rPr>
                <w:b/>
                <w:sz w:val="18"/>
                <w:szCs w:val="18"/>
              </w:rPr>
            </w:pPr>
            <w:r w:rsidRPr="00AC305F">
              <w:rPr>
                <w:b/>
                <w:sz w:val="18"/>
                <w:szCs w:val="18"/>
              </w:rPr>
              <w:t>30</w:t>
            </w:r>
          </w:p>
        </w:tc>
        <w:tc>
          <w:tcPr>
            <w:tcW w:w="0" w:type="auto"/>
            <w:tcBorders>
              <w:left w:val="single" w:sz="2" w:space="0" w:color="808080" w:themeColor="background1" w:themeShade="80"/>
              <w:right w:val="single" w:sz="2" w:space="0" w:color="808080" w:themeColor="background1" w:themeShade="80"/>
            </w:tcBorders>
            <w:hideMark/>
          </w:tcPr>
          <w:p w14:paraId="62435A3A" w14:textId="77777777" w:rsidR="00D623BA" w:rsidRPr="00AC305F" w:rsidRDefault="00D623BA" w:rsidP="005A781A">
            <w:pPr>
              <w:pStyle w:val="NormalWeb"/>
              <w:jc w:val="center"/>
              <w:rPr>
                <w:b/>
                <w:sz w:val="18"/>
                <w:szCs w:val="18"/>
              </w:rPr>
            </w:pPr>
            <w:r w:rsidRPr="00AC305F">
              <w:rPr>
                <w:b/>
                <w:sz w:val="18"/>
                <w:szCs w:val="18"/>
              </w:rPr>
              <w:t>25</w:t>
            </w:r>
          </w:p>
        </w:tc>
        <w:tc>
          <w:tcPr>
            <w:tcW w:w="1001" w:type="dxa"/>
            <w:tcBorders>
              <w:left w:val="single" w:sz="2" w:space="0" w:color="808080" w:themeColor="background1" w:themeShade="80"/>
            </w:tcBorders>
            <w:hideMark/>
          </w:tcPr>
          <w:p w14:paraId="4CE953B0" w14:textId="77777777" w:rsidR="00D623BA" w:rsidRPr="00AC305F" w:rsidRDefault="00D623BA" w:rsidP="005A781A">
            <w:pPr>
              <w:pStyle w:val="NormalWeb"/>
              <w:jc w:val="center"/>
              <w:rPr>
                <w:b/>
                <w:sz w:val="18"/>
                <w:szCs w:val="18"/>
              </w:rPr>
            </w:pPr>
            <w:r w:rsidRPr="00AC305F">
              <w:rPr>
                <w:b/>
                <w:sz w:val="18"/>
                <w:szCs w:val="18"/>
              </w:rPr>
              <w:t>96</w:t>
            </w:r>
          </w:p>
        </w:tc>
      </w:tr>
      <w:tr w:rsidR="00D623BA" w:rsidRPr="006E566D" w14:paraId="0AFB6C25" w14:textId="77777777" w:rsidTr="00B72EAB">
        <w:tc>
          <w:tcPr>
            <w:tcW w:w="0" w:type="auto"/>
            <w:tcBorders>
              <w:right w:val="single" w:sz="2" w:space="0" w:color="808080" w:themeColor="background1" w:themeShade="80"/>
            </w:tcBorders>
            <w:shd w:val="clear" w:color="auto" w:fill="FDE9D9" w:themeFill="accent6" w:themeFillTint="33"/>
            <w:hideMark/>
          </w:tcPr>
          <w:p w14:paraId="5D622393" w14:textId="77777777" w:rsidR="00D623BA" w:rsidRPr="006E566D" w:rsidRDefault="00D623BA">
            <w:pPr>
              <w:pStyle w:val="NormalWeb"/>
              <w:rPr>
                <w:b/>
                <w:sz w:val="18"/>
                <w:szCs w:val="18"/>
              </w:rPr>
            </w:pPr>
            <w:r w:rsidRPr="006E566D">
              <w:rPr>
                <w:b/>
                <w:sz w:val="18"/>
                <w:szCs w:val="18"/>
              </w:rPr>
              <w:t>Total cases (all ages)</w:t>
            </w:r>
          </w:p>
        </w:tc>
        <w:tc>
          <w:tcPr>
            <w:tcW w:w="0" w:type="auto"/>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8FBB1CB" w14:textId="77777777" w:rsidR="00D623BA" w:rsidRPr="006E566D" w:rsidRDefault="00D623BA" w:rsidP="005A781A">
            <w:pPr>
              <w:pStyle w:val="NormalWeb"/>
              <w:jc w:val="center"/>
              <w:rPr>
                <w:b/>
                <w:sz w:val="18"/>
                <w:szCs w:val="18"/>
              </w:rPr>
            </w:pPr>
            <w:r w:rsidRPr="006E566D">
              <w:rPr>
                <w:b/>
                <w:sz w:val="18"/>
                <w:szCs w:val="18"/>
              </w:rPr>
              <w:t>74</w:t>
            </w:r>
          </w:p>
        </w:tc>
        <w:tc>
          <w:tcPr>
            <w:tcW w:w="0" w:type="auto"/>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AE08819" w14:textId="77777777" w:rsidR="00D623BA" w:rsidRPr="006E566D" w:rsidRDefault="00D623BA" w:rsidP="005A781A">
            <w:pPr>
              <w:pStyle w:val="NormalWeb"/>
              <w:jc w:val="center"/>
              <w:rPr>
                <w:b/>
                <w:sz w:val="18"/>
                <w:szCs w:val="18"/>
              </w:rPr>
            </w:pPr>
            <w:r w:rsidRPr="006E566D">
              <w:rPr>
                <w:b/>
                <w:sz w:val="18"/>
                <w:szCs w:val="18"/>
              </w:rPr>
              <w:t>71</w:t>
            </w:r>
          </w:p>
        </w:tc>
        <w:tc>
          <w:tcPr>
            <w:tcW w:w="0" w:type="auto"/>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2D1E845" w14:textId="77777777" w:rsidR="00D623BA" w:rsidRPr="006E566D" w:rsidRDefault="00D623BA" w:rsidP="005A781A">
            <w:pPr>
              <w:pStyle w:val="NormalWeb"/>
              <w:jc w:val="center"/>
              <w:rPr>
                <w:b/>
                <w:sz w:val="18"/>
                <w:szCs w:val="18"/>
              </w:rPr>
            </w:pPr>
            <w:r w:rsidRPr="006E566D">
              <w:rPr>
                <w:b/>
                <w:sz w:val="18"/>
                <w:szCs w:val="18"/>
              </w:rPr>
              <w:t>40</w:t>
            </w:r>
          </w:p>
        </w:tc>
        <w:tc>
          <w:tcPr>
            <w:tcW w:w="1001" w:type="dxa"/>
            <w:tcBorders>
              <w:left w:val="single" w:sz="2" w:space="0" w:color="808080" w:themeColor="background1" w:themeShade="80"/>
            </w:tcBorders>
            <w:shd w:val="clear" w:color="auto" w:fill="FDE9D9" w:themeFill="accent6" w:themeFillTint="33"/>
            <w:hideMark/>
          </w:tcPr>
          <w:p w14:paraId="29C879F5" w14:textId="77777777" w:rsidR="00D623BA" w:rsidRPr="006E566D" w:rsidRDefault="00D623BA" w:rsidP="005A781A">
            <w:pPr>
              <w:pStyle w:val="NormalWeb"/>
              <w:jc w:val="center"/>
              <w:rPr>
                <w:b/>
                <w:sz w:val="18"/>
                <w:szCs w:val="18"/>
              </w:rPr>
            </w:pPr>
            <w:r w:rsidRPr="006E566D">
              <w:rPr>
                <w:b/>
                <w:sz w:val="18"/>
                <w:szCs w:val="18"/>
              </w:rPr>
              <w:t>185</w:t>
            </w:r>
          </w:p>
        </w:tc>
      </w:tr>
    </w:tbl>
    <w:p w14:paraId="6A708D7F" w14:textId="77777777" w:rsidR="0036274F" w:rsidRDefault="0036274F" w:rsidP="00FE5628">
      <w:pPr>
        <w:pStyle w:val="Heading2"/>
        <w:sectPr w:rsidR="0036274F" w:rsidSect="00A30C37">
          <w:pgSz w:w="11906" w:h="16838"/>
          <w:pgMar w:top="720" w:right="720" w:bottom="1134" w:left="720" w:header="709" w:footer="284" w:gutter="0"/>
          <w:cols w:space="708"/>
          <w:titlePg/>
          <w:docGrid w:linePitch="360"/>
        </w:sectPr>
      </w:pPr>
    </w:p>
    <w:p w14:paraId="7AF13AF8" w14:textId="77777777" w:rsidR="00D623BA" w:rsidRPr="00FE5628" w:rsidRDefault="00D623BA" w:rsidP="00FE5628">
      <w:pPr>
        <w:pStyle w:val="Heading2"/>
      </w:pPr>
      <w:r w:rsidRPr="00FE5628">
        <w:lastRenderedPageBreak/>
        <w:t xml:space="preserve">Vaccination status </w:t>
      </w:r>
    </w:p>
    <w:p w14:paraId="13702346" w14:textId="77777777" w:rsidR="00D623BA" w:rsidRDefault="00D623BA" w:rsidP="00FE5628">
      <w:r>
        <w:t xml:space="preserve">Of the 245 cases, 99 had received at least one dose of a serotype-1 containing vaccine. Two of those 99 cases (both aged three years) however had received a conjugate vaccine containing serotype-1 (i.e.10vPCV) in addition to primary vaccination with the non serotype-1 containing 7vPCV. The remaining 97 cases had received one or more doses of 23vPPV. Of these, two were non-Indigenous persons and both had received the vaccine more than 10 years prior to disease onset. </w:t>
      </w:r>
    </w:p>
    <w:p w14:paraId="5005EC8D" w14:textId="77777777" w:rsidR="00D623BA" w:rsidRDefault="00D623BA" w:rsidP="00AF0F9C">
      <w:r>
        <w:t xml:space="preserve">Of the 95 Indigenous cases vaccinated with 23vPPV, approximately half (n = 48/95) had received a dose within five years prior to disease onset (26 in NT, 13 in WA and 9 in Qld). Of these 48 cases who had received a dose of 23vPPV in the preceding five years, 26 were children who had received the vaccine as a booster dose following 7vPCV. For this group, the age at receipt of vaccine ranged between 17 and 45 months (mean age 23 months, median age 19 months). </w:t>
      </w:r>
    </w:p>
    <w:p w14:paraId="0E50B8F0" w14:textId="77777777" w:rsidR="00D623BA" w:rsidRDefault="00D623BA" w:rsidP="00AF0F9C">
      <w:r>
        <w:t xml:space="preserve">Across the three jurisdictions, 53.6% (n = 30/56) of 23vPPV-vaccinated children had received the vaccine more than five years prior to disease onset. </w:t>
      </w:r>
    </w:p>
    <w:p w14:paraId="49D38F40" w14:textId="77777777" w:rsidR="00D623BA" w:rsidRDefault="00D623BA" w:rsidP="00AF0F9C">
      <w:r>
        <w:t xml:space="preserve">There were 6 Indigenous cases aged &gt; 49 years vaccinated more than 5 years prior to disease onset, all of whom had risk factors identified. Of these, 3 cases were eligible to receive further 23vPPV revaccination prior to disease onset. </w:t>
      </w:r>
    </w:p>
    <w:p w14:paraId="542B6FB4" w14:textId="77777777" w:rsidR="00D623BA" w:rsidRDefault="00D623BA" w:rsidP="00AF0F9C">
      <w:r>
        <w:t xml:space="preserve">There were 8 Indigenous cases aged &gt; 49 years and 2 non-Indigenous cases aged &gt; 64 years who had never received a dose of 23vPPV. These 10 cases all had ‘chronic </w:t>
      </w:r>
      <w:proofErr w:type="gramStart"/>
      <w:r>
        <w:t>illness’</w:t>
      </w:r>
      <w:proofErr w:type="gramEnd"/>
      <w:r>
        <w:t xml:space="preserve"> recorded as a risk factor. </w:t>
      </w:r>
    </w:p>
    <w:p w14:paraId="216923FC" w14:textId="77777777" w:rsidR="00D623BA" w:rsidRPr="003A378C" w:rsidRDefault="00D623BA" w:rsidP="003A378C">
      <w:pPr>
        <w:pStyle w:val="Heading1"/>
      </w:pPr>
      <w:r w:rsidRPr="003A378C">
        <w:t xml:space="preserve">Discussion </w:t>
      </w:r>
    </w:p>
    <w:p w14:paraId="59963AFC" w14:textId="77777777" w:rsidR="00D623BA" w:rsidRDefault="00D623BA" w:rsidP="006B1CD8">
      <w:r>
        <w:t xml:space="preserve">This report describes an outbreak of serotype-1 IPD in Northern and Central Australia from 2010 to 2013. In 2011, rates were over 30-fold higher in the affected regions than across the remainder of Australia. Indigenous children were the most affected; overall, 75.5% of the total 245 cases of serotype-1 IPD within the outbreak regions occurred among the Indigenous population. </w:t>
      </w:r>
    </w:p>
    <w:p w14:paraId="7361B77A" w14:textId="77777777" w:rsidR="00D623BA" w:rsidRDefault="00D623BA" w:rsidP="006B1CD8">
      <w:r>
        <w:t>Outbreaks of IPD due to serotype-1 have been reported globally, predominantly occurring in closed settings such as prisons and men’s shelters.</w:t>
      </w:r>
      <w:r>
        <w:rPr>
          <w:vertAlign w:val="superscript"/>
        </w:rPr>
        <w:t>19–21</w:t>
      </w:r>
      <w:r>
        <w:t xml:space="preserve"> There are also reports of increases and outbreaks across widespread geographical areas in Africa, Canada, the South Pacific and Europe.</w:t>
      </w:r>
      <w:r>
        <w:rPr>
          <w:vertAlign w:val="superscript"/>
        </w:rPr>
        <w:t>22–27</w:t>
      </w:r>
      <w:r>
        <w:t xml:space="preserve"> Within Australia, a widespread outbreak of serotype-1 pneumococcal disease, affecting mainly Aboriginal men, occurred in the Central Australian region in 1991.</w:t>
      </w:r>
      <w:r>
        <w:rPr>
          <w:vertAlign w:val="superscript"/>
        </w:rPr>
        <w:t>28</w:t>
      </w:r>
      <w:r>
        <w:t xml:space="preserve"> Molecular characterisation</w:t>
      </w:r>
      <w:r>
        <w:rPr>
          <w:vertAlign w:val="superscript"/>
        </w:rPr>
        <w:t>17</w:t>
      </w:r>
      <w:r>
        <w:t xml:space="preserve"> determined that the 2010–2013 Australian outbreak was due to ST306, the same sequence type responsible for IPD serotype-1 outbreaks in the Western Pacific regions of New Caledonia in 2000 and 2007 and French Polynesia in 2002.</w:t>
      </w:r>
      <w:r>
        <w:rPr>
          <w:vertAlign w:val="superscript"/>
        </w:rPr>
        <w:t>23</w:t>
      </w:r>
      <w:r>
        <w:t xml:space="preserve"> An outbreak of non-sequenced serotype-1 IPD occurred in New Zealand from 2006 to 2011, peaking in 2009.</w:t>
      </w:r>
      <w:r>
        <w:rPr>
          <w:vertAlign w:val="superscript"/>
        </w:rPr>
        <w:t xml:space="preserve">29 </w:t>
      </w:r>
    </w:p>
    <w:p w14:paraId="06C8ACAC" w14:textId="77777777" w:rsidR="00D623BA" w:rsidRDefault="00D623BA" w:rsidP="006B1CD8">
      <w:r>
        <w:t xml:space="preserve">The spatial and temporal relationship of other serotype-1 IPD outbreaks and their geographical proximity to Australia is of interest given they all preceded the one described in this report. Interestingly, this Australian outbreak appeared to originate in the West and then move gradually towards the East Coast, the area closer to the Western Pacific region. It is possible that ST306 was circulating in Australia outside the outbreak regions prior to </w:t>
      </w:r>
      <w:proofErr w:type="gramStart"/>
      <w:r>
        <w:t>2010, but</w:t>
      </w:r>
      <w:proofErr w:type="gramEnd"/>
      <w:r>
        <w:t xml:space="preserve"> did not progress to widespread transmission. Data in ‘non-outbreak regions’ indicate ongoing low-level circulation of serotype-1 across 2003 to 2014. However, in the absence of molecular typing, it is not known if serotype-1 in these instances was the outbreak strain ST306. </w:t>
      </w:r>
    </w:p>
    <w:p w14:paraId="5B9504F2" w14:textId="77777777" w:rsidR="00D623BA" w:rsidRDefault="00D623BA" w:rsidP="006B1CD8">
      <w:r>
        <w:t>High mobility, overcrowding and poverty that is present in some remote Indigenous populations living in the affected outbreak regions</w:t>
      </w:r>
      <w:r>
        <w:rPr>
          <w:vertAlign w:val="superscript"/>
        </w:rPr>
        <w:t>30</w:t>
      </w:r>
      <w:r>
        <w:t xml:space="preserve"> most likely contributed to higher serotype-1 ST306 carriage density</w:t>
      </w:r>
      <w:r>
        <w:rPr>
          <w:vertAlign w:val="superscript"/>
        </w:rPr>
        <w:t>31</w:t>
      </w:r>
      <w:r>
        <w:t xml:space="preserve"> and subsequent invasive disease. These social determinants of health have been recognised as contributors in other communicable </w:t>
      </w:r>
      <w:r>
        <w:lastRenderedPageBreak/>
        <w:t>disease outbreaks such as mumps, syphilis and meningococcal disease which have affected the remote Indigenous population of Australia.</w:t>
      </w:r>
      <w:r>
        <w:rPr>
          <w:vertAlign w:val="superscript"/>
        </w:rPr>
        <w:t>32–34</w:t>
      </w:r>
      <w:r>
        <w:t xml:space="preserve"> Similar to the Australian experience, the serotype-1 IPD increase of 2009 in New Zealand affected mainly school-aged children and young adults with the majority occurring in Pacific and Maori persons.</w:t>
      </w:r>
      <w:r>
        <w:rPr>
          <w:vertAlign w:val="superscript"/>
        </w:rPr>
        <w:t>35</w:t>
      </w:r>
      <w:r>
        <w:t xml:space="preserve"> The Australian outback showed similarities to those reported elsewhere, such as low case-fatality ratios and a high proportion of pneumonia presentations with complications such as empyema.</w:t>
      </w:r>
      <w:r>
        <w:rPr>
          <w:vertAlign w:val="superscript"/>
        </w:rPr>
        <w:t xml:space="preserve">19 </w:t>
      </w:r>
    </w:p>
    <w:p w14:paraId="7EEB962C" w14:textId="77777777" w:rsidR="00D623BA" w:rsidRDefault="00D623BA" w:rsidP="006B1CD8">
      <w:r>
        <w:t>The striking differences in the serotype-1 IPD rates in children aged &lt; 2 years across the three jurisdictions is most likely a reflection of the differing conjugate vaccine usage at the respective times at which cases peaked in each jurisdiction. Western Australia did not have a program which used a serotype-1 containing conjugate vaccine for infants when the outbreak commenced, whilst the NT was using the 10vPCV which covers serotype-1</w:t>
      </w:r>
      <w:r w:rsidRPr="003B3354">
        <w:rPr>
          <w:rStyle w:val="Emphasis"/>
          <w:b w:val="0"/>
        </w:rPr>
        <w:t xml:space="preserve"> </w:t>
      </w:r>
      <w:r>
        <w:t>as does</w:t>
      </w:r>
      <w:r w:rsidRPr="003B3354">
        <w:rPr>
          <w:rStyle w:val="Emphasis"/>
          <w:b w:val="0"/>
        </w:rPr>
        <w:t xml:space="preserve"> </w:t>
      </w:r>
      <w:r>
        <w:t>the 13vPCV that was included on the NIP by the time cases started occurring in Qld. It is likely the conjugate vaccine programs in place provided direct protection to those aged &lt; 2 years as evidenced in immunogenicity and vaccine effectiveness studies for both vaccines.</w:t>
      </w:r>
      <w:r>
        <w:rPr>
          <w:vertAlign w:val="superscript"/>
        </w:rPr>
        <w:t>10–</w:t>
      </w:r>
      <w:proofErr w:type="gramStart"/>
      <w:r>
        <w:rPr>
          <w:vertAlign w:val="superscript"/>
        </w:rPr>
        <w:t>13</w:t>
      </w:r>
      <w:proofErr w:type="gramEnd"/>
      <w:r>
        <w:rPr>
          <w:vertAlign w:val="superscript"/>
        </w:rPr>
        <w:t xml:space="preserve"> </w:t>
      </w:r>
    </w:p>
    <w:p w14:paraId="2EED0328" w14:textId="77777777" w:rsidR="00D623BA" w:rsidRDefault="00D623BA" w:rsidP="006B1CD8">
      <w:r>
        <w:t>The NT reported higher rates of serotype-1 IPD in older Indigenous children, as reflected in the rates across the two to 14 year age groups when compared to WA and Qld. The NT also reported a higher number of cases and a higher proportion vaccinated prior to disease onset for these age groups. Even though the 23vPPV vaccine was not in use for NT children at the time of the outbreak, it was recommended as part of earlier NT vaccination schedules. Central Australian Indigenous children were recommended 23vPPV at 2-5 years prior to June 2001 and all NT Indigenous children received 23vPPV at 18 months from June 2001 to October 2009.</w:t>
      </w:r>
      <w:r>
        <w:rPr>
          <w:vertAlign w:val="superscript"/>
        </w:rPr>
        <w:t>2,3</w:t>
      </w:r>
      <w:r>
        <w:t xml:space="preserve"> These earlier 23vPPV strategies, implemented at a time when no other pneumococcal vaccine covering serotype-1 was available to combat the alarming IPD rates in the children of Central Australia,</w:t>
      </w:r>
      <w:r>
        <w:rPr>
          <w:vertAlign w:val="superscript"/>
        </w:rPr>
        <w:t>2,4</w:t>
      </w:r>
      <w:r>
        <w:t xml:space="preserve"> did not appear to provide protection against serotype-1 IPD during the study period, a finding consistent with other studies exploring 23vPPV use in children.</w:t>
      </w:r>
      <w:r>
        <w:rPr>
          <w:vertAlign w:val="superscript"/>
        </w:rPr>
        <w:t>6</w:t>
      </w:r>
      <w:r>
        <w:t xml:space="preserve"> It should be noted however, across the three jurisdictions, that over half of the 23vPPV vaccinated children received the vaccine more than five years prior to disease onset, a timeframe when 23vPPV protection is generally assumed to wane.</w:t>
      </w:r>
      <w:r>
        <w:rPr>
          <w:vertAlign w:val="superscript"/>
        </w:rPr>
        <w:t>36.37</w:t>
      </w:r>
      <w:r>
        <w:t xml:space="preserve"> </w:t>
      </w:r>
    </w:p>
    <w:p w14:paraId="559EE208" w14:textId="77777777" w:rsidR="00D623BA" w:rsidRDefault="00D623BA" w:rsidP="006B1CD8">
      <w:r>
        <w:t>The disease rates for those aged 15 years and over were mostly similar across the 3 jurisdictions. This may indicate that the NT policy of routinely offering 23vPPV to all Indigenous persons at 15 years of age provided some protection for younger adults, and a higher vaccination coverage overall suppressed the severity of the outbreak in the NT adult population. It may well be that a higher proportion of the adult population was vaccinated in NT than in WA and Qld; however, accurate 23vPPV coverage estimates are not available. According to vaccination coverage estimates for Indigenous persons in the NT, 34% aged 15–49 years and 42% aged 49 years and over had received a 23vPPV within the previous 5 years in 2011.</w:t>
      </w:r>
      <w:r>
        <w:rPr>
          <w:vertAlign w:val="superscript"/>
        </w:rPr>
        <w:t>38</w:t>
      </w:r>
      <w:r>
        <w:t xml:space="preserve"> This is noticeably higher than the estimates from the Australian Aboriginal and Torres Strait Islander Health Survey, 2012–2013, for pneumococcal vaccination in the preceding 5 years of 8% in WA, 11% in North Qld and 19% in the NT.</w:t>
      </w:r>
      <w:r>
        <w:rPr>
          <w:vertAlign w:val="superscript"/>
        </w:rPr>
        <w:t>39</w:t>
      </w:r>
      <w:r>
        <w:t xml:space="preserve"> This lack of reliable 23vPPV coverage estimates for the outbreak regions has precluded an assessment of 23vPPV effectiveness for this outbreak. </w:t>
      </w:r>
    </w:p>
    <w:p w14:paraId="4B523834" w14:textId="77777777" w:rsidR="00D623BA" w:rsidRDefault="00D623BA" w:rsidP="006B1CD8">
      <w:r>
        <w:t>While Australia has comprehensive reporting of childhood vaccination coverage,</w:t>
      </w:r>
      <w:r>
        <w:rPr>
          <w:vertAlign w:val="superscript"/>
        </w:rPr>
        <w:t>40</w:t>
      </w:r>
      <w:r>
        <w:t xml:space="preserve"> reliable data specific to 23vPPV uptake in older age groups is lacking. With the recent transition of the Australian Childhood Immunisation Register to the Australian Immunisation Register, Australia now has the capability to record all childhood and adult vaccinations.</w:t>
      </w:r>
      <w:r>
        <w:rPr>
          <w:vertAlign w:val="superscript"/>
        </w:rPr>
        <w:t>41</w:t>
      </w:r>
      <w:r>
        <w:t xml:space="preserve"> This should improve assessment of adult vaccination coverage in the future. </w:t>
      </w:r>
    </w:p>
    <w:p w14:paraId="2C4300ED" w14:textId="7D2DAA8C" w:rsidR="00D623BA" w:rsidRDefault="00D623BA" w:rsidP="006B1CD8">
      <w:r>
        <w:t xml:space="preserve">The established network of EIPDSWG members enabled the early detection of </w:t>
      </w:r>
      <w:r w:rsidR="0091263D">
        <w:t>t</w:t>
      </w:r>
      <w:r>
        <w:t xml:space="preserve">his cross-jurisdictional outbreak. Ongoing communications within this group were helpful in monitoring and considering appropriate outbreak management strategies and in facilitating molecular typing of isolates. Although IPD outbreaks are uncommon, pre-established guidelines may have assisted in the outbreak management. We would recommend the inclusion of IPD in the Australian </w:t>
      </w:r>
      <w:r w:rsidRPr="003B3354">
        <w:rPr>
          <w:rStyle w:val="Emphasis"/>
          <w:b w:val="0"/>
        </w:rPr>
        <w:t>Series of National Guidelines</w:t>
      </w:r>
      <w:r>
        <w:t xml:space="preserve"> for public health management to hasten the availability and use of </w:t>
      </w:r>
      <w:r>
        <w:lastRenderedPageBreak/>
        <w:t xml:space="preserve">suitable vaccine strategies that could be implemented consistently nationwide and potentially decrease the duration and intensity of future outbreaks. </w:t>
      </w:r>
    </w:p>
    <w:p w14:paraId="21875C5E" w14:textId="77777777" w:rsidR="00D623BA" w:rsidRPr="006B1CD8" w:rsidRDefault="00D623BA" w:rsidP="006B1CD8">
      <w:pPr>
        <w:pStyle w:val="Heading1"/>
      </w:pPr>
      <w:r w:rsidRPr="006B1CD8">
        <w:t xml:space="preserve">Conclusion </w:t>
      </w:r>
    </w:p>
    <w:p w14:paraId="60EF3493" w14:textId="77777777" w:rsidR="00D623BA" w:rsidRDefault="00D623BA" w:rsidP="006B1CD8">
      <w:r>
        <w:t>The serotype-1 IPD outbreak in 2010–2013 primarily affected the Indigenous population in Australia. Real-time inter-jurisdictional collaboration was useful in monitoring natural progression of the outbreak and in guiding interventions. Serotype-1 containing pneumococcal conjugate vaccines 10vPCV and 13vPCV were protective against serotype-1 IPD in children in this setting while the benefit of 23vPPV was less clear. Having specific outbreak vaccine recommendations and the capacity to apply them, along with early surveillance and the jurisdictional communication that occurred, would assist management of such outbreaks in the future.</w:t>
      </w:r>
    </w:p>
    <w:p w14:paraId="53C0CE9B" w14:textId="77777777" w:rsidR="00D623BA" w:rsidRPr="006B1CD8" w:rsidRDefault="00D623BA" w:rsidP="006B1CD8">
      <w:pPr>
        <w:pStyle w:val="Heading1"/>
      </w:pPr>
      <w:r w:rsidRPr="006B1CD8">
        <w:t xml:space="preserve">Author details </w:t>
      </w:r>
    </w:p>
    <w:p w14:paraId="26C2FD08" w14:textId="77777777" w:rsidR="006A55F2" w:rsidRDefault="00D623BA" w:rsidP="006B1CD8">
      <w:pPr>
        <w:rPr>
          <w:vertAlign w:val="superscript"/>
        </w:rPr>
      </w:pPr>
      <w:r>
        <w:t>Ms Heather M Cook</w:t>
      </w:r>
      <w:r>
        <w:rPr>
          <w:vertAlign w:val="superscript"/>
        </w:rPr>
        <w:t xml:space="preserve">1,2 </w:t>
      </w:r>
    </w:p>
    <w:p w14:paraId="2171E4E3" w14:textId="77777777" w:rsidR="006A55F2" w:rsidRDefault="00D623BA" w:rsidP="006B1CD8">
      <w:pPr>
        <w:rPr>
          <w:vertAlign w:val="superscript"/>
        </w:rPr>
      </w:pPr>
      <w:r>
        <w:t>Ms Carolien M Giele</w:t>
      </w:r>
      <w:r>
        <w:rPr>
          <w:vertAlign w:val="superscript"/>
        </w:rPr>
        <w:t xml:space="preserve">1,3 </w:t>
      </w:r>
    </w:p>
    <w:p w14:paraId="2966AF29" w14:textId="77777777" w:rsidR="006A55F2" w:rsidRDefault="00D623BA" w:rsidP="006B1CD8">
      <w:pPr>
        <w:rPr>
          <w:vertAlign w:val="superscript"/>
        </w:rPr>
      </w:pPr>
      <w:r>
        <w:t>Dr Sanjay H Jayasinghe</w:t>
      </w:r>
      <w:r>
        <w:rPr>
          <w:vertAlign w:val="superscript"/>
        </w:rPr>
        <w:t xml:space="preserve">1,4,5 </w:t>
      </w:r>
    </w:p>
    <w:p w14:paraId="635A7170" w14:textId="77777777" w:rsidR="006A55F2" w:rsidRDefault="00D623BA" w:rsidP="006B1CD8">
      <w:pPr>
        <w:rPr>
          <w:vertAlign w:val="superscript"/>
        </w:rPr>
      </w:pPr>
      <w:r>
        <w:t>Ms Angela Wakefield</w:t>
      </w:r>
      <w:r>
        <w:rPr>
          <w:vertAlign w:val="superscript"/>
        </w:rPr>
        <w:t xml:space="preserve">1,6 </w:t>
      </w:r>
    </w:p>
    <w:p w14:paraId="1FBEC2B6" w14:textId="77777777" w:rsidR="00D623BA" w:rsidRDefault="00D623BA" w:rsidP="006B1CD8">
      <w:r>
        <w:t>Dr Vicki L Krause</w:t>
      </w:r>
      <w:r>
        <w:rPr>
          <w:vertAlign w:val="superscript"/>
        </w:rPr>
        <w:t xml:space="preserve">1,2 </w:t>
      </w:r>
    </w:p>
    <w:p w14:paraId="74407E9B" w14:textId="77777777" w:rsidR="00D623BA" w:rsidRPr="006B1CD8" w:rsidRDefault="00D623BA" w:rsidP="006B1CD8">
      <w:pPr>
        <w:pStyle w:val="ListParagraph"/>
        <w:numPr>
          <w:ilvl w:val="0"/>
          <w:numId w:val="9"/>
        </w:numPr>
        <w:rPr>
          <w:rFonts w:eastAsia="Times New Roman"/>
        </w:rPr>
      </w:pPr>
      <w:r w:rsidRPr="006B1CD8">
        <w:rPr>
          <w:rFonts w:eastAsia="Times New Roman"/>
        </w:rPr>
        <w:t xml:space="preserve">Enhanced Invasive Pneumococcal Disease Surveillance Working Group </w:t>
      </w:r>
    </w:p>
    <w:p w14:paraId="6945ECE1" w14:textId="77777777" w:rsidR="00D623BA" w:rsidRPr="006B1CD8" w:rsidRDefault="00D623BA" w:rsidP="006B1CD8">
      <w:pPr>
        <w:pStyle w:val="ListParagraph"/>
        <w:numPr>
          <w:ilvl w:val="0"/>
          <w:numId w:val="9"/>
        </w:numPr>
        <w:rPr>
          <w:rFonts w:eastAsia="Times New Roman"/>
        </w:rPr>
      </w:pPr>
      <w:r w:rsidRPr="006B1CD8">
        <w:rPr>
          <w:rFonts w:eastAsia="Times New Roman"/>
        </w:rPr>
        <w:t xml:space="preserve">Centre for Disease Control, Top End Health Services, Northern Territory, Australia </w:t>
      </w:r>
    </w:p>
    <w:p w14:paraId="3A9D5538" w14:textId="77777777" w:rsidR="00D623BA" w:rsidRPr="006B1CD8" w:rsidRDefault="00D623BA" w:rsidP="006B1CD8">
      <w:pPr>
        <w:pStyle w:val="ListParagraph"/>
        <w:numPr>
          <w:ilvl w:val="0"/>
          <w:numId w:val="9"/>
        </w:numPr>
        <w:rPr>
          <w:rFonts w:eastAsia="Times New Roman"/>
        </w:rPr>
      </w:pPr>
      <w:r w:rsidRPr="006B1CD8">
        <w:rPr>
          <w:rFonts w:eastAsia="Times New Roman"/>
        </w:rPr>
        <w:t xml:space="preserve">Communicable Diseases Control, Health Department of Western Australia, Australia </w:t>
      </w:r>
    </w:p>
    <w:p w14:paraId="40DB2B3F" w14:textId="77777777" w:rsidR="00D623BA" w:rsidRPr="006B1CD8" w:rsidRDefault="00D623BA" w:rsidP="006B1CD8">
      <w:pPr>
        <w:pStyle w:val="ListParagraph"/>
        <w:numPr>
          <w:ilvl w:val="0"/>
          <w:numId w:val="9"/>
        </w:numPr>
        <w:rPr>
          <w:rFonts w:eastAsia="Times New Roman"/>
        </w:rPr>
      </w:pPr>
      <w:r w:rsidRPr="006B1CD8">
        <w:rPr>
          <w:rFonts w:eastAsia="Times New Roman"/>
        </w:rPr>
        <w:t xml:space="preserve">National Centre for Immunisation Research and Surveillance (NCIRS) </w:t>
      </w:r>
    </w:p>
    <w:p w14:paraId="3316EAED" w14:textId="77777777" w:rsidR="00D623BA" w:rsidRPr="006B1CD8" w:rsidRDefault="00D623BA" w:rsidP="006B1CD8">
      <w:pPr>
        <w:pStyle w:val="ListParagraph"/>
        <w:numPr>
          <w:ilvl w:val="0"/>
          <w:numId w:val="9"/>
        </w:numPr>
        <w:rPr>
          <w:rFonts w:eastAsia="Times New Roman"/>
        </w:rPr>
      </w:pPr>
      <w:r w:rsidRPr="006B1CD8">
        <w:rPr>
          <w:rFonts w:eastAsia="Times New Roman"/>
        </w:rPr>
        <w:t xml:space="preserve">Discipline of Child and Adolescent Health, Faculty of Medicine and Health, University of Sydney, Australia </w:t>
      </w:r>
    </w:p>
    <w:p w14:paraId="113F542D" w14:textId="77777777" w:rsidR="00D623BA" w:rsidRPr="006B1CD8" w:rsidRDefault="00D623BA" w:rsidP="006B1CD8">
      <w:pPr>
        <w:pStyle w:val="ListParagraph"/>
        <w:numPr>
          <w:ilvl w:val="0"/>
          <w:numId w:val="9"/>
        </w:numPr>
        <w:rPr>
          <w:rFonts w:eastAsia="Times New Roman"/>
        </w:rPr>
      </w:pPr>
      <w:r w:rsidRPr="006B1CD8">
        <w:rPr>
          <w:rFonts w:eastAsia="Times New Roman"/>
        </w:rPr>
        <w:t xml:space="preserve">Communicable Diseases Branch, Queensland Health, Australia </w:t>
      </w:r>
    </w:p>
    <w:p w14:paraId="458D002A" w14:textId="77777777" w:rsidR="00D623BA" w:rsidRPr="006B1CD8" w:rsidRDefault="00D623BA" w:rsidP="006B1CD8">
      <w:pPr>
        <w:pStyle w:val="Heading1"/>
      </w:pPr>
      <w:r w:rsidRPr="006B1CD8">
        <w:t xml:space="preserve">Corresponding author </w:t>
      </w:r>
    </w:p>
    <w:p w14:paraId="4D4C1F7A" w14:textId="77777777" w:rsidR="00853248" w:rsidRDefault="00D623BA" w:rsidP="00853248">
      <w:pPr>
        <w:pStyle w:val="NoSpacing"/>
      </w:pPr>
      <w:r>
        <w:t xml:space="preserve">Ms Heather Cook </w:t>
      </w:r>
    </w:p>
    <w:p w14:paraId="7C606B73" w14:textId="77777777" w:rsidR="00853248" w:rsidRDefault="00D623BA" w:rsidP="00853248">
      <w:pPr>
        <w:pStyle w:val="NoSpacing"/>
      </w:pPr>
      <w:r>
        <w:t xml:space="preserve">Gold Coast Public Health Unit, Integrated and Ambulatory Care Services, Gold Coast Health, PO Box </w:t>
      </w:r>
      <w:r w:rsidR="00853248">
        <w:t>318, NERANG Qld 4211, Australia</w:t>
      </w:r>
    </w:p>
    <w:p w14:paraId="1A071CB5" w14:textId="77777777" w:rsidR="00853248" w:rsidRDefault="00853248" w:rsidP="00853248">
      <w:pPr>
        <w:pStyle w:val="NoSpacing"/>
      </w:pPr>
      <w:r w:rsidRPr="003D3387">
        <w:rPr>
          <w:b/>
        </w:rPr>
        <w:t>Phone:</w:t>
      </w:r>
      <w:r>
        <w:t xml:space="preserve"> +61 756673200</w:t>
      </w:r>
    </w:p>
    <w:p w14:paraId="1DE4FE08" w14:textId="77777777" w:rsidR="00853248" w:rsidRDefault="00D623BA" w:rsidP="00853248">
      <w:pPr>
        <w:pStyle w:val="NoSpacing"/>
      </w:pPr>
      <w:r w:rsidRPr="003D3387">
        <w:rPr>
          <w:b/>
        </w:rPr>
        <w:t>Email:</w:t>
      </w:r>
      <w:r>
        <w:t xml:space="preserve"> </w:t>
      </w:r>
      <w:r w:rsidR="00853248" w:rsidRPr="00D040F9">
        <w:t>Heather.Cook2@health.qld.gov.au</w:t>
      </w:r>
    </w:p>
    <w:p w14:paraId="74F24E2C" w14:textId="77777777" w:rsidR="00D623BA" w:rsidRDefault="00D623BA" w:rsidP="00853248">
      <w:pPr>
        <w:pStyle w:val="NoSpacing"/>
      </w:pPr>
      <w:r w:rsidRPr="003D3387">
        <w:rPr>
          <w:b/>
        </w:rPr>
        <w:t xml:space="preserve">Ph: </w:t>
      </w:r>
      <w:r>
        <w:t xml:space="preserve">+61 756673200 </w:t>
      </w:r>
    </w:p>
    <w:p w14:paraId="0EADE2F3" w14:textId="77777777" w:rsidR="006A55F2" w:rsidRDefault="006A55F2">
      <w:pPr>
        <w:rPr>
          <w:rFonts w:asciiTheme="majorHAnsi" w:eastAsiaTheme="majorEastAsia" w:hAnsiTheme="majorHAnsi" w:cstheme="majorBidi"/>
          <w:b/>
          <w:bCs/>
          <w:sz w:val="32"/>
          <w:szCs w:val="28"/>
        </w:rPr>
      </w:pPr>
      <w:r>
        <w:br w:type="page"/>
      </w:r>
    </w:p>
    <w:p w14:paraId="3FE84C95" w14:textId="77777777" w:rsidR="00D623BA" w:rsidRPr="006B1CD8" w:rsidRDefault="00D623BA" w:rsidP="006B1CD8">
      <w:pPr>
        <w:pStyle w:val="Heading1"/>
      </w:pPr>
      <w:r w:rsidRPr="006B1CD8">
        <w:lastRenderedPageBreak/>
        <w:t xml:space="preserve">References </w:t>
      </w:r>
    </w:p>
    <w:p w14:paraId="4DCED4D5"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Australian Government Department of Health. Pneumococcal disease (invasive) Public dataset. [Online.] Canberra: Australian Government Department of Health; 2019. [Accessed on 24 June 2019.] Available from: http://www9.health.gov.au/cda/source/pub_pneum.cfm. </w:t>
      </w:r>
    </w:p>
    <w:p w14:paraId="12C7CE04"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Krause VL, Reid SJ, Merianos A. Invasive pneumocccal disease in the Northern Territory of Australia, 1994–1998. </w:t>
      </w:r>
      <w:r w:rsidRPr="009F4A15">
        <w:rPr>
          <w:rStyle w:val="Emphasis"/>
          <w:rFonts w:eastAsia="Times New Roman"/>
          <w:b w:val="0"/>
        </w:rPr>
        <w:t>Med J Aust</w:t>
      </w:r>
      <w:r w:rsidRPr="009F4A15">
        <w:rPr>
          <w:rFonts w:eastAsia="Times New Roman"/>
        </w:rPr>
        <w:t xml:space="preserve">. 2000;173(S2):S27–31. </w:t>
      </w:r>
    </w:p>
    <w:p w14:paraId="163732BE"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National Centre for Immunisation Research and Surveillance (NCIRS). History of immunisation in Australia. [Internet.] Sydney: NCIRS; 2019. [Accessed on 24 June 2019.] Available from: http://ncirs.org.au/health-professionals/history-immunisation-australia. </w:t>
      </w:r>
    </w:p>
    <w:p w14:paraId="5EA25AD8"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Torzillo PJ, Hanna JN, Morey F, Gratten M, Dixon J, Erlich J. Invasive pneumococcal disease in central Australia. </w:t>
      </w:r>
      <w:r w:rsidRPr="009F4A15">
        <w:rPr>
          <w:rStyle w:val="Emphasis"/>
          <w:rFonts w:eastAsia="Times New Roman"/>
          <w:b w:val="0"/>
        </w:rPr>
        <w:t>Med J Aust</w:t>
      </w:r>
      <w:r w:rsidRPr="009F4A15">
        <w:rPr>
          <w:rFonts w:eastAsia="Times New Roman"/>
        </w:rPr>
        <w:t xml:space="preserve">. 1989;162(4):182–6. </w:t>
      </w:r>
    </w:p>
    <w:p w14:paraId="1583F6AD"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Roche PW, Krause VL, Bartlett M, Coleman D, Cook H, Davis C et al. Invasive pneumococcal disease in Australia, 2004. </w:t>
      </w:r>
      <w:r w:rsidRPr="009F4A15">
        <w:rPr>
          <w:rStyle w:val="Emphasis"/>
          <w:rFonts w:eastAsia="Times New Roman"/>
          <w:b w:val="0"/>
        </w:rPr>
        <w:t>Commun Dis Intell Q Rep</w:t>
      </w:r>
      <w:r w:rsidRPr="009F4A15">
        <w:rPr>
          <w:rFonts w:eastAsia="Times New Roman"/>
        </w:rPr>
        <w:t xml:space="preserve">. 2006;30(1):80–92. </w:t>
      </w:r>
    </w:p>
    <w:p w14:paraId="029AF509"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Jayasinghe S, Chiu C, Menzies R, Lehmann D, Cook H, Giele C et al. Evaluation of impact of 23 valent pneumococcal polysaccharide vaccine following 7 valent pneumococcal conjugate vaccine in Australian Indigenous children. </w:t>
      </w:r>
      <w:r w:rsidRPr="009F4A15">
        <w:rPr>
          <w:rStyle w:val="Emphasis"/>
          <w:rFonts w:eastAsia="Times New Roman"/>
          <w:b w:val="0"/>
        </w:rPr>
        <w:t>Vaccine</w:t>
      </w:r>
      <w:r w:rsidRPr="009F4A15">
        <w:rPr>
          <w:rFonts w:eastAsia="Times New Roman"/>
        </w:rPr>
        <w:t xml:space="preserve">. 2015;33(48):6666–74. </w:t>
      </w:r>
    </w:p>
    <w:p w14:paraId="0DB717DD"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Brueggemann AB, Peto TEA, Crook DW, Butler JC, Kristinsson KG, Spratt BG. Temporal and geographic stability of the serogroup-specific invasive disease potential of </w:t>
      </w:r>
      <w:r w:rsidRPr="009F4A15">
        <w:rPr>
          <w:rStyle w:val="Emphasis"/>
          <w:rFonts w:eastAsia="Times New Roman"/>
          <w:b w:val="0"/>
        </w:rPr>
        <w:t>Streptococcus pneumoniae</w:t>
      </w:r>
      <w:r w:rsidRPr="009F4A15">
        <w:rPr>
          <w:rFonts w:eastAsia="Times New Roman"/>
        </w:rPr>
        <w:t xml:space="preserve"> in children. </w:t>
      </w:r>
      <w:r w:rsidRPr="009F4A15">
        <w:rPr>
          <w:rStyle w:val="Emphasis"/>
          <w:rFonts w:eastAsia="Times New Roman"/>
          <w:b w:val="0"/>
        </w:rPr>
        <w:t>J Infect Dis</w:t>
      </w:r>
      <w:r w:rsidRPr="009F4A15">
        <w:rPr>
          <w:rFonts w:eastAsia="Times New Roman"/>
        </w:rPr>
        <w:t xml:space="preserve">. 2004;190(7):1203–11. </w:t>
      </w:r>
    </w:p>
    <w:p w14:paraId="441B389A"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Balsells E, Dagan R, Yildirim I, Gounder PP, Steens A, Muñoz-Almagro C et al. The relative invasive disease potential of </w:t>
      </w:r>
      <w:r w:rsidRPr="009F4A15">
        <w:rPr>
          <w:rStyle w:val="Emphasis"/>
          <w:rFonts w:eastAsia="Times New Roman"/>
          <w:b w:val="0"/>
        </w:rPr>
        <w:t>Streptococcus pneumoniae</w:t>
      </w:r>
      <w:r w:rsidRPr="009F4A15">
        <w:rPr>
          <w:rFonts w:eastAsia="Times New Roman"/>
        </w:rPr>
        <w:t xml:space="preserve"> among children after PCV introduction: a systematic review and meta-analysis. </w:t>
      </w:r>
      <w:r w:rsidRPr="009F4A15">
        <w:rPr>
          <w:rStyle w:val="Emphasis"/>
          <w:rFonts w:eastAsia="Times New Roman"/>
          <w:b w:val="0"/>
        </w:rPr>
        <w:t>J Infect</w:t>
      </w:r>
      <w:r w:rsidRPr="009F4A15">
        <w:rPr>
          <w:rFonts w:eastAsia="Times New Roman"/>
        </w:rPr>
        <w:t xml:space="preserve">. 2018;77(5):368–78. </w:t>
      </w:r>
    </w:p>
    <w:p w14:paraId="63574914"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Hausdorff WP, Feikin DR, Klugman KP. Epidemiological differences among pneumococcal serotypes. </w:t>
      </w:r>
      <w:r w:rsidRPr="009F4A15">
        <w:rPr>
          <w:rStyle w:val="Emphasis"/>
          <w:rFonts w:eastAsia="Times New Roman"/>
          <w:b w:val="0"/>
        </w:rPr>
        <w:t>Lancet Infect Dis</w:t>
      </w:r>
      <w:r w:rsidRPr="009F4A15">
        <w:rPr>
          <w:rFonts w:eastAsia="Times New Roman"/>
        </w:rPr>
        <w:t xml:space="preserve">. 2005;5(2):83–93. </w:t>
      </w:r>
    </w:p>
    <w:p w14:paraId="269B7C01"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Yeh SH, Gurtman A, Hurley DC, Block SL, Schwartz RH, Patterson S et al. Immunogenicity and safety of 13-valent pneumococcal conjugate vaccine in infants and toddlers. </w:t>
      </w:r>
      <w:r w:rsidRPr="009F4A15">
        <w:rPr>
          <w:rStyle w:val="Emphasis"/>
          <w:rFonts w:eastAsia="Times New Roman"/>
          <w:b w:val="0"/>
        </w:rPr>
        <w:t>Pediatrics</w:t>
      </w:r>
      <w:r w:rsidRPr="009F4A15">
        <w:rPr>
          <w:rFonts w:eastAsia="Times New Roman"/>
        </w:rPr>
        <w:t xml:space="preserve">. 2010;126(3):e493–505. </w:t>
      </w:r>
    </w:p>
    <w:p w14:paraId="35F0EFE1"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Vesikari T, Wysocki J, Chevallier B, Karvonen A, Czajka H, Arsène JP et al. Immunogenicity of the 10-valent pneumococcal non-typeable </w:t>
      </w:r>
      <w:r w:rsidRPr="009F4A15">
        <w:rPr>
          <w:rStyle w:val="Emphasis"/>
          <w:rFonts w:eastAsia="Times New Roman"/>
          <w:b w:val="0"/>
        </w:rPr>
        <w:t>Haemophilus influenzae</w:t>
      </w:r>
      <w:r w:rsidRPr="009F4A15">
        <w:rPr>
          <w:rFonts w:eastAsia="Times New Roman"/>
        </w:rPr>
        <w:t xml:space="preserve"> protein D conjugate vaccine (PHiD-CV) compared to the licensed 7vCRM vaccine. </w:t>
      </w:r>
      <w:r w:rsidRPr="009F4A15">
        <w:rPr>
          <w:rStyle w:val="Emphasis"/>
          <w:rFonts w:eastAsia="Times New Roman"/>
          <w:b w:val="0"/>
        </w:rPr>
        <w:t>Pediatr Infect Dis J</w:t>
      </w:r>
      <w:r w:rsidRPr="009F4A15">
        <w:rPr>
          <w:rFonts w:eastAsia="Times New Roman"/>
        </w:rPr>
        <w:t xml:space="preserve">. 2009;28(4 Suppl):S66–76. </w:t>
      </w:r>
    </w:p>
    <w:p w14:paraId="772F6972"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Andrews NJ, Waight PA, Burbidge P, Pearce E, Roalfe L, Zancolli M et al. Serotype-specific effectiveness and correlates of protection for the 13-valent pneumococcal conjugate vaccine: a postlicensure indirect cohort study. </w:t>
      </w:r>
      <w:r w:rsidRPr="009F4A15">
        <w:rPr>
          <w:rStyle w:val="Emphasis"/>
          <w:rFonts w:eastAsia="Times New Roman"/>
          <w:b w:val="0"/>
        </w:rPr>
        <w:t>Lancet Infect Dis</w:t>
      </w:r>
      <w:r w:rsidRPr="009F4A15">
        <w:rPr>
          <w:rFonts w:eastAsia="Times New Roman"/>
        </w:rPr>
        <w:t xml:space="preserve">. 2014;14(9):839–46. </w:t>
      </w:r>
    </w:p>
    <w:p w14:paraId="70ED2B07"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Hammitt LL, Etyang AO, Morpeth SC, Ojal J, Mutuku A, Mturi N et al. Effect of ten-valent pneumococcal conjugate vaccine on invasive pneumococcal disease and nasopharyngeal carriage in Kenya: a longitudinal surveillance study. </w:t>
      </w:r>
      <w:r w:rsidRPr="009F4A15">
        <w:rPr>
          <w:rStyle w:val="Emphasis"/>
          <w:rFonts w:eastAsia="Times New Roman"/>
          <w:b w:val="0"/>
        </w:rPr>
        <w:t>Lancet</w:t>
      </w:r>
      <w:r w:rsidRPr="009F4A15">
        <w:rPr>
          <w:rFonts w:eastAsia="Times New Roman"/>
        </w:rPr>
        <w:t xml:space="preserve">. 2019;393(10186):2146–54. </w:t>
      </w:r>
    </w:p>
    <w:p w14:paraId="5598AC0B"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Toms C, de Kluyver R, Enhanced Invasive Pneumococcal Disease Surveillance Working Group. Invasive pneumococcal disease in Australia, 2011 and 2012. </w:t>
      </w:r>
      <w:r w:rsidRPr="009F4A15">
        <w:rPr>
          <w:rStyle w:val="Emphasis"/>
          <w:rFonts w:eastAsia="Times New Roman"/>
          <w:b w:val="0"/>
        </w:rPr>
        <w:t>Commun Dis Intell Q Rep</w:t>
      </w:r>
      <w:r w:rsidRPr="009F4A15">
        <w:rPr>
          <w:rFonts w:eastAsia="Times New Roman"/>
        </w:rPr>
        <w:t xml:space="preserve">. 2016;40(2):E267–84. </w:t>
      </w:r>
    </w:p>
    <w:p w14:paraId="5D0D0F9D"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Australian Bureau of Statistics. 3101.0 - Australian Demographic Statistics, Dec 2014. [Internet.] Canberra: Australian Government, Australian Bureau of Statistics, 2015. [Accessed on 10 November 2015.] Available from: http://www.abs.gov.au/AUSSTATS/abs@.nsf/DetailsPage/3101.0Dec%202014. </w:t>
      </w:r>
    </w:p>
    <w:p w14:paraId="591CF045"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Queensland Health Statistics Unit. Queensland population estimates. [Internet.] Brisbane: Queensland Government Department of Health. Available from: https://qheps.health.qld.gov.au/hsu/infobank/infobank-demography#estimated. </w:t>
      </w:r>
    </w:p>
    <w:p w14:paraId="463A7908"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Staples M, Graham RMA, Jennison AV, Ariotti L, Hicks V, Cook H et al. Molecular characterization of an Australian serotype 1 </w:t>
      </w:r>
      <w:r w:rsidRPr="009F4A15">
        <w:rPr>
          <w:rStyle w:val="Emphasis"/>
          <w:rFonts w:eastAsia="Times New Roman"/>
          <w:b w:val="0"/>
        </w:rPr>
        <w:t>Streptococcus pneumoniae</w:t>
      </w:r>
      <w:r w:rsidRPr="009F4A15">
        <w:rPr>
          <w:rFonts w:eastAsia="Times New Roman"/>
        </w:rPr>
        <w:t xml:space="preserve"> outbreak. </w:t>
      </w:r>
      <w:r w:rsidRPr="009F4A15">
        <w:rPr>
          <w:rStyle w:val="Emphasis"/>
          <w:rFonts w:eastAsia="Times New Roman"/>
          <w:b w:val="0"/>
        </w:rPr>
        <w:t>Epidemiol Infect</w:t>
      </w:r>
      <w:r w:rsidRPr="009F4A15">
        <w:rPr>
          <w:rFonts w:eastAsia="Times New Roman"/>
        </w:rPr>
        <w:t xml:space="preserve">. 2015;143(2):325–33. </w:t>
      </w:r>
    </w:p>
    <w:p w14:paraId="4C420C4F" w14:textId="77777777" w:rsidR="00D623BA" w:rsidRPr="009F4A15" w:rsidRDefault="00D623BA" w:rsidP="009F4A15">
      <w:pPr>
        <w:pStyle w:val="ListParagraph"/>
        <w:numPr>
          <w:ilvl w:val="0"/>
          <w:numId w:val="10"/>
        </w:numPr>
        <w:rPr>
          <w:rFonts w:eastAsia="Times New Roman"/>
        </w:rPr>
      </w:pPr>
      <w:r w:rsidRPr="009F4A15">
        <w:rPr>
          <w:rFonts w:eastAsia="Times New Roman"/>
        </w:rPr>
        <w:lastRenderedPageBreak/>
        <w:t xml:space="preserve">Australian Technical Advisory Group on Immunisation (ATAGI). Australian Immunisation Handbook. [Online.] Canberra: Australian Government Department of Health; 2018. [Accessed on 24 June 2019.] Available from: https://immunisationhandbook.health.gov.au/. </w:t>
      </w:r>
    </w:p>
    <w:p w14:paraId="1CDF1BD3"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DeMaria Jr A, Browne K, Berk SL;Sherwood EJ, McCabe WR. An outbreak of type 1 pneumococcal pneumonia in a men’s shelter. </w:t>
      </w:r>
      <w:r w:rsidRPr="009F4A15">
        <w:rPr>
          <w:rStyle w:val="Emphasis"/>
          <w:rFonts w:eastAsia="Times New Roman"/>
          <w:b w:val="0"/>
        </w:rPr>
        <w:t>JAMA</w:t>
      </w:r>
      <w:r w:rsidRPr="009F4A15">
        <w:rPr>
          <w:rFonts w:eastAsia="Times New Roman"/>
        </w:rPr>
        <w:t xml:space="preserve">. 1980;244(13):1446–9. </w:t>
      </w:r>
    </w:p>
    <w:p w14:paraId="363B416C"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Mercat A, Nguyen J, Dautzenberg B. An outbreak of pneumococcal pneumonia in two men’s shelters. </w:t>
      </w:r>
      <w:r w:rsidRPr="009F4A15">
        <w:rPr>
          <w:rStyle w:val="Emphasis"/>
          <w:rFonts w:eastAsia="Times New Roman"/>
          <w:b w:val="0"/>
        </w:rPr>
        <w:t>Chest</w:t>
      </w:r>
      <w:r w:rsidRPr="009F4A15">
        <w:rPr>
          <w:rFonts w:eastAsia="Times New Roman"/>
        </w:rPr>
        <w:t xml:space="preserve">. 1991;99(1):147–51. </w:t>
      </w:r>
    </w:p>
    <w:p w14:paraId="1A49A8EC"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Dagan R, Gradstein S, Belmaker I, Porat N, Siton Y, Weber G et al. An outbreak of </w:t>
      </w:r>
      <w:r w:rsidRPr="009F4A15">
        <w:rPr>
          <w:rStyle w:val="Emphasis"/>
          <w:rFonts w:eastAsia="Times New Roman"/>
          <w:b w:val="0"/>
        </w:rPr>
        <w:t>Streptococcus pneumoniae</w:t>
      </w:r>
      <w:r w:rsidRPr="009F4A15">
        <w:rPr>
          <w:rFonts w:eastAsia="Times New Roman"/>
        </w:rPr>
        <w:t xml:space="preserve"> serotype 1 in a closed community in southern Israel. </w:t>
      </w:r>
      <w:r w:rsidRPr="009F4A15">
        <w:rPr>
          <w:rStyle w:val="Emphasis"/>
          <w:rFonts w:eastAsia="Times New Roman"/>
          <w:b w:val="0"/>
        </w:rPr>
        <w:t>Clin Infect Dis</w:t>
      </w:r>
      <w:r w:rsidRPr="009F4A15">
        <w:rPr>
          <w:rFonts w:eastAsia="Times New Roman"/>
        </w:rPr>
        <w:t xml:space="preserve">. 2000;30(2):319–21. </w:t>
      </w:r>
    </w:p>
    <w:p w14:paraId="16E233AA"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Proulx JF, Déry S, Jetté LP, Ismaël J, Libman M, De Wals P. Pneumonia epidemic caused by a virulent strain of </w:t>
      </w:r>
      <w:r w:rsidRPr="009F4A15">
        <w:rPr>
          <w:rStyle w:val="Emphasis"/>
          <w:rFonts w:eastAsia="Times New Roman"/>
          <w:b w:val="0"/>
        </w:rPr>
        <w:t>Streptococcus pneumoniae</w:t>
      </w:r>
      <w:r w:rsidRPr="009F4A15">
        <w:rPr>
          <w:rFonts w:eastAsia="Times New Roman"/>
        </w:rPr>
        <w:t xml:space="preserve"> serotype 1 in Nunavik, Quebec. </w:t>
      </w:r>
      <w:r w:rsidRPr="009F4A15">
        <w:rPr>
          <w:rStyle w:val="Emphasis"/>
          <w:rFonts w:eastAsia="Times New Roman"/>
          <w:b w:val="0"/>
        </w:rPr>
        <w:t>Can Commun Dis Rep</w:t>
      </w:r>
      <w:r w:rsidRPr="009F4A15">
        <w:rPr>
          <w:rFonts w:eastAsia="Times New Roman"/>
        </w:rPr>
        <w:t xml:space="preserve">. 2002;28(16):129–31. </w:t>
      </w:r>
    </w:p>
    <w:p w14:paraId="7EE4B0A2"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Le Hello S, Watson M, Levy M, Marcon S, Brown M, Yvon JF et al. Invasive serotype 1 </w:t>
      </w:r>
      <w:r w:rsidRPr="009F4A15">
        <w:rPr>
          <w:rStyle w:val="Emphasis"/>
          <w:rFonts w:eastAsia="Times New Roman"/>
          <w:b w:val="0"/>
        </w:rPr>
        <w:t>Streptococcus pneumoniae</w:t>
      </w:r>
      <w:r w:rsidRPr="009F4A15">
        <w:rPr>
          <w:rFonts w:eastAsia="Times New Roman"/>
        </w:rPr>
        <w:t xml:space="preserve"> outbreaks in the South Pacific from 2000 to 2007. </w:t>
      </w:r>
      <w:r w:rsidRPr="009F4A15">
        <w:rPr>
          <w:rStyle w:val="Emphasis"/>
          <w:rFonts w:eastAsia="Times New Roman"/>
          <w:b w:val="0"/>
        </w:rPr>
        <w:t>J Clin Microbiol</w:t>
      </w:r>
      <w:r w:rsidRPr="009F4A15">
        <w:rPr>
          <w:rFonts w:eastAsia="Times New Roman"/>
        </w:rPr>
        <w:t xml:space="preserve">. 2010; 48(8):2968-71. </w:t>
      </w:r>
    </w:p>
    <w:p w14:paraId="265939AE"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Grau I, Ardanuy C, Calatayud L, Rolo D, Domenech A, Liñares J et al. Invasive pneumococcal disease in healthy adults: increase of empyema associated with the clonal-type Sweden(1)-ST306. </w:t>
      </w:r>
      <w:r w:rsidRPr="009F4A15">
        <w:rPr>
          <w:rStyle w:val="Emphasis"/>
          <w:rFonts w:eastAsia="Times New Roman"/>
          <w:b w:val="0"/>
        </w:rPr>
        <w:t>PLoS One</w:t>
      </w:r>
      <w:r w:rsidRPr="009F4A15">
        <w:rPr>
          <w:rFonts w:eastAsia="Times New Roman"/>
        </w:rPr>
        <w:t xml:space="preserve">. 2012;7(8):e42595. </w:t>
      </w:r>
    </w:p>
    <w:p w14:paraId="48068162" w14:textId="77777777" w:rsidR="00D623BA" w:rsidRPr="009F4A15" w:rsidRDefault="00D623BA" w:rsidP="009F4A15">
      <w:pPr>
        <w:pStyle w:val="ListParagraph"/>
        <w:numPr>
          <w:ilvl w:val="0"/>
          <w:numId w:val="10"/>
        </w:numPr>
        <w:rPr>
          <w:rFonts w:eastAsia="Times New Roman"/>
        </w:rPr>
      </w:pPr>
      <w:r w:rsidRPr="009F4A15">
        <w:rPr>
          <w:rFonts w:eastAsia="Times New Roman"/>
        </w:rPr>
        <w:t>Van Mens SP, Van Deursen AMM, Meijvis SCA, Vlaminckx BJM, Sanders EAM, De Melker HE et al. Increased incidence of serotype-1 invasive pneumococcal disease in young female adults in the Netherlands.</w:t>
      </w:r>
      <w:r w:rsidRPr="009F4A15">
        <w:rPr>
          <w:rStyle w:val="Emphasis"/>
          <w:rFonts w:eastAsia="Times New Roman"/>
          <w:b w:val="0"/>
        </w:rPr>
        <w:t xml:space="preserve"> Epidemiol Infect</w:t>
      </w:r>
      <w:r w:rsidRPr="009F4A15">
        <w:rPr>
          <w:rFonts w:eastAsia="Times New Roman"/>
        </w:rPr>
        <w:t xml:space="preserve">. 2014;142(9):1996–9. </w:t>
      </w:r>
    </w:p>
    <w:p w14:paraId="3C9E56C8"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Kwambana-Adams BA, Asiedu-Bekoe F, Sarkodie B, Afreh OK, Kuma GK, Owusu-Okyere G et al. An outbreak of pneumococcal meningitis among older children (≥5 years) and adults after the implementation of an infant vaccination programme with the 13-valent pneumococcal conjugate vaccine in Ghana. </w:t>
      </w:r>
      <w:r w:rsidRPr="009F4A15">
        <w:rPr>
          <w:rStyle w:val="Emphasis"/>
          <w:rFonts w:eastAsia="Times New Roman"/>
          <w:b w:val="0"/>
        </w:rPr>
        <w:t>BMC Infect Dis</w:t>
      </w:r>
      <w:r w:rsidRPr="009F4A15">
        <w:rPr>
          <w:rFonts w:eastAsia="Times New Roman"/>
        </w:rPr>
        <w:t xml:space="preserve">. 2016;16(1):575. </w:t>
      </w:r>
    </w:p>
    <w:p w14:paraId="217409C1"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LeMeur JB, Lefebvre B, Proulx JF, De Wals P. Limited impact of pneumococcal vaccines on invasive pneumococcal disease in Nunavik (Quebec). </w:t>
      </w:r>
      <w:r w:rsidRPr="009F4A15">
        <w:rPr>
          <w:rStyle w:val="Emphasis"/>
          <w:rFonts w:eastAsia="Times New Roman"/>
          <w:b w:val="0"/>
        </w:rPr>
        <w:t>Can J Public Health</w:t>
      </w:r>
      <w:r w:rsidRPr="009F4A15">
        <w:rPr>
          <w:rFonts w:eastAsia="Times New Roman"/>
        </w:rPr>
        <w:t xml:space="preserve">. 2019;110(1):36–43. </w:t>
      </w:r>
    </w:p>
    <w:p w14:paraId="7BA6F572"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Gratten M, Morey F, Dixon J, Manning K, Torzillo P, Matters R et al. An outbreak of serotype 1 </w:t>
      </w:r>
      <w:r w:rsidRPr="009F4A15">
        <w:rPr>
          <w:rStyle w:val="Emphasis"/>
          <w:rFonts w:eastAsia="Times New Roman"/>
          <w:b w:val="0"/>
        </w:rPr>
        <w:t>Streptococcus pneumoniae</w:t>
      </w:r>
      <w:r w:rsidRPr="009F4A15">
        <w:rPr>
          <w:rFonts w:eastAsia="Times New Roman"/>
        </w:rPr>
        <w:t xml:space="preserve"> infection in central Australia. </w:t>
      </w:r>
      <w:r w:rsidRPr="009F4A15">
        <w:rPr>
          <w:rStyle w:val="Emphasis"/>
          <w:rFonts w:eastAsia="Times New Roman"/>
          <w:b w:val="0"/>
        </w:rPr>
        <w:t>Med J Aust</w:t>
      </w:r>
      <w:r w:rsidRPr="009F4A15">
        <w:rPr>
          <w:rFonts w:eastAsia="Times New Roman"/>
        </w:rPr>
        <w:t xml:space="preserve">. 1993;158(5):340–2. </w:t>
      </w:r>
    </w:p>
    <w:p w14:paraId="4F23096E"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Lim E, Heffernan H. Invasive pneumococcal disease in New Zealand, 2011. Porirua: Institute of Environmental Science and Research Ltd; 2012. [Accessed on 26 June 2019.] Available from: https://surv.esr.cri.nz/PDF_surveillance/IPD/2011/2011AnnualIPDRpt.pdf. </w:t>
      </w:r>
    </w:p>
    <w:p w14:paraId="0E2D93E9"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Bailie RS, Wayte KJ. Housing and health in Indigenous communities: key issues for housing and health improvement in remote Aboriginal and Torres Strait Islander communities. </w:t>
      </w:r>
      <w:r w:rsidRPr="009F4A15">
        <w:rPr>
          <w:rStyle w:val="Emphasis"/>
          <w:rFonts w:eastAsia="Times New Roman"/>
          <w:b w:val="0"/>
        </w:rPr>
        <w:t>Aust J Rural Health</w:t>
      </w:r>
      <w:r w:rsidRPr="009F4A15">
        <w:rPr>
          <w:rFonts w:eastAsia="Times New Roman"/>
        </w:rPr>
        <w:t xml:space="preserve">. 2006;14(5):171–83. </w:t>
      </w:r>
    </w:p>
    <w:p w14:paraId="0590080C"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Lai JY, Cook H, Yip TW, Berthelsen J, Gourley S, Krause V et al. Surveillance of pneumococcal serotype 1 carriage during an outbreak of serotype 1 invasive pneumococcal disease in central Australia 2010–2012. </w:t>
      </w:r>
      <w:r w:rsidRPr="009F4A15">
        <w:rPr>
          <w:rStyle w:val="Emphasis"/>
          <w:rFonts w:eastAsia="Times New Roman"/>
          <w:b w:val="0"/>
        </w:rPr>
        <w:t>BMC Infect Dis</w:t>
      </w:r>
      <w:r w:rsidRPr="009F4A15">
        <w:rPr>
          <w:rFonts w:eastAsia="Times New Roman"/>
        </w:rPr>
        <w:t xml:space="preserve">. 2013:13:409. </w:t>
      </w:r>
    </w:p>
    <w:p w14:paraId="019162E5"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Bright A, Dups J. Infectious and congenital syphilis notifications associated with an ongoing outbreak in northern Australia. </w:t>
      </w:r>
      <w:r w:rsidRPr="009F4A15">
        <w:rPr>
          <w:rStyle w:val="Emphasis"/>
          <w:rFonts w:eastAsia="Times New Roman"/>
          <w:b w:val="0"/>
        </w:rPr>
        <w:t>Commun Dis Intell Q Rep</w:t>
      </w:r>
      <w:r w:rsidRPr="009F4A15">
        <w:rPr>
          <w:rFonts w:eastAsia="Times New Roman"/>
        </w:rPr>
        <w:t xml:space="preserve">. 2016;40(1):E7–10. </w:t>
      </w:r>
    </w:p>
    <w:p w14:paraId="418B96F3"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Australian Government Department of Health. Meningococcal W disease: Information for health professionals. [Online.] Canberra: Australian Government Department of Health; 2017. [Accessed on 17 October 2018.] Available from: http://www.health.gov.au/internet/main/publishing.nsf/Content/ohp-meningococcal-W-info-hp.htm. </w:t>
      </w:r>
    </w:p>
    <w:p w14:paraId="232AC51E"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Greenwood-Smith B, Markey P, Burke J. Mumps outbreak in the Northern Territory 2015–2016. </w:t>
      </w:r>
      <w:r w:rsidRPr="009F4A15">
        <w:rPr>
          <w:rStyle w:val="Emphasis"/>
          <w:rFonts w:eastAsia="Times New Roman"/>
          <w:b w:val="0"/>
        </w:rPr>
        <w:t>NT Dis Control Bull</w:t>
      </w:r>
      <w:r w:rsidRPr="009F4A15">
        <w:rPr>
          <w:rFonts w:eastAsia="Times New Roman"/>
        </w:rPr>
        <w:t xml:space="preserve">. 2016;23(4):9-14. </w:t>
      </w:r>
    </w:p>
    <w:p w14:paraId="3AD8D0DD" w14:textId="77777777" w:rsidR="00D623BA" w:rsidRPr="009F4A15" w:rsidRDefault="00D623BA" w:rsidP="009F4A15">
      <w:pPr>
        <w:pStyle w:val="ListParagraph"/>
        <w:numPr>
          <w:ilvl w:val="0"/>
          <w:numId w:val="10"/>
        </w:numPr>
        <w:rPr>
          <w:rFonts w:eastAsia="Times New Roman"/>
        </w:rPr>
      </w:pPr>
      <w:r w:rsidRPr="009F4A15">
        <w:rPr>
          <w:rFonts w:eastAsia="Times New Roman"/>
        </w:rPr>
        <w:lastRenderedPageBreak/>
        <w:t xml:space="preserve">Heffernan H, Morgan J, Woodhouse R. Invasive pneumococcal disease in New Zealand, 2010. Porirua: Institute of Environmental Science and Research Ltd; 2011. [Accessed on 26 June 2019.] Available from: https://surv.esr.cri.nz/PDF_surveillance/IPD/2010/2010AnnualIPDRpt.pdf. </w:t>
      </w:r>
    </w:p>
    <w:p w14:paraId="2AD17445"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World Health Organisation (WHO). Additional summaries of information related to WHO position papers on pneumococcus: Duration of protection and revaccination. Geneva: WHO. [Accessed on 26 June 2019.] Available from: https://www.who.int/immunization/pp_pneumo_additional_summaries/en/. </w:t>
      </w:r>
    </w:p>
    <w:p w14:paraId="40664792"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Moberley S, Holden J, Tatham DP, Andrews RM. Vaccines for preventing pneumococcal infection in adults. </w:t>
      </w:r>
      <w:r w:rsidRPr="009F4A15">
        <w:rPr>
          <w:rStyle w:val="Emphasis"/>
          <w:rFonts w:eastAsia="Times New Roman"/>
          <w:b w:val="0"/>
        </w:rPr>
        <w:t>Cochrane Database Syst Rev</w:t>
      </w:r>
      <w:r w:rsidR="00B53D37">
        <w:rPr>
          <w:rFonts w:eastAsia="Times New Roman"/>
        </w:rPr>
        <w:t xml:space="preserve">. 2013;2013(1):CD000422. doi: </w:t>
      </w:r>
      <w:r w:rsidRPr="009F4A15">
        <w:rPr>
          <w:rFonts w:eastAsia="Times New Roman"/>
        </w:rPr>
        <w:t xml:space="preserve">https://doi.org/10.1002/14651858.CD000422.pub3. </w:t>
      </w:r>
    </w:p>
    <w:p w14:paraId="2ED470F9"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Cook H, Markey P, O’Hare S, Smith HV, Tindall H, Yip TW et al. A lengthy widespread outbreak of serotype-1 invasive pneumococcal disease shows protection with the 10-valent conjugate vaccine and increased pneumonia complications. [Conference presentation.] Proceedings of the 8th International Symposium on Pneumococci and Pneumococcal Diseases, 2012 March 11-15, Iguaçu Falls, Brazil. </w:t>
      </w:r>
    </w:p>
    <w:p w14:paraId="26FEDE7E"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Australian Bureau of Statistics. 4727.0.55.002 – Australian Aboriginal and Torres Strait Islander Health Survey: Users’ Guide, 2012–13. [Internet.] Canberra: Australian Government, Australian Bureau of Statistics; 2014. [Accessed on 26 July 2018.] Available from: http://www.abs.gov.au/ausstats/abs@.nsf/Lookup/C6F3BD401EF28FD9CA257CAC000D874E. </w:t>
      </w:r>
    </w:p>
    <w:p w14:paraId="1AAA600B" w14:textId="77777777" w:rsidR="00D623BA" w:rsidRPr="009F4A15" w:rsidRDefault="00D623BA" w:rsidP="009F4A15">
      <w:pPr>
        <w:pStyle w:val="ListParagraph"/>
        <w:numPr>
          <w:ilvl w:val="0"/>
          <w:numId w:val="10"/>
        </w:numPr>
        <w:rPr>
          <w:rFonts w:eastAsia="Times New Roman"/>
        </w:rPr>
      </w:pPr>
      <w:r w:rsidRPr="009F4A15">
        <w:rPr>
          <w:rFonts w:eastAsia="Times New Roman"/>
        </w:rPr>
        <w:t xml:space="preserve">Hull BP, Hendry AJ, Dey A, Beard FH, Brotherton JM, McIntyre PB. Immunisation coverage annual report, 2014. </w:t>
      </w:r>
      <w:r w:rsidRPr="009F4A15">
        <w:rPr>
          <w:rStyle w:val="Emphasis"/>
          <w:rFonts w:eastAsia="Times New Roman"/>
          <w:b w:val="0"/>
        </w:rPr>
        <w:t>Commun Dis Intell Q Rep</w:t>
      </w:r>
      <w:r w:rsidRPr="009F4A15">
        <w:rPr>
          <w:rFonts w:eastAsia="Times New Roman"/>
        </w:rPr>
        <w:t xml:space="preserve">. 2017;41(1):E68–90. </w:t>
      </w:r>
    </w:p>
    <w:p w14:paraId="1533386D" w14:textId="77777777" w:rsidR="00D623BA" w:rsidRPr="009F4A15" w:rsidRDefault="00D623BA" w:rsidP="009F4A15">
      <w:pPr>
        <w:pStyle w:val="ListParagraph"/>
        <w:numPr>
          <w:ilvl w:val="0"/>
          <w:numId w:val="10"/>
        </w:numPr>
        <w:rPr>
          <w:rFonts w:eastAsia="Times New Roman"/>
        </w:rPr>
      </w:pPr>
      <w:r w:rsidRPr="009F4A15">
        <w:rPr>
          <w:rFonts w:eastAsia="Times New Roman"/>
        </w:rPr>
        <w:t>Australian Government Services Australia. Australian Immunisation Register. [Online.] Canberra: Australian Government Services Australia; 2018. [Accessed on 26 June 2019.] Available from: https://www.servicesaustralia.gov.au/individuals/services/medicare/australian-immunisation-register.</w:t>
      </w:r>
    </w:p>
    <w:p w14:paraId="69086A70"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02E8376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1A2802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21A2251" w14:textId="77777777" w:rsidR="000A5F42" w:rsidRPr="000606CC" w:rsidRDefault="000A5F42" w:rsidP="000A5F42">
      <w:pPr>
        <w:pStyle w:val="NoSpacing"/>
        <w:rPr>
          <w:rStyle w:val="URI"/>
          <w:rFonts w:cstheme="minorHAnsi"/>
          <w:sz w:val="20"/>
          <w:szCs w:val="18"/>
        </w:rPr>
      </w:pPr>
    </w:p>
    <w:p w14:paraId="6FA37456"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6CB2EB45" w14:textId="77777777" w:rsidR="000A5F42" w:rsidRPr="000606CC" w:rsidRDefault="000A5F42" w:rsidP="000A5F42">
      <w:pPr>
        <w:pStyle w:val="NoSpacing"/>
        <w:rPr>
          <w:rStyle w:val="Strong"/>
          <w:rFonts w:cstheme="minorHAnsi"/>
          <w:sz w:val="20"/>
          <w:szCs w:val="18"/>
        </w:rPr>
      </w:pPr>
    </w:p>
    <w:p w14:paraId="26F8A2C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2B89E87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4A6EE5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312A81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2DC8744C" w14:textId="77777777" w:rsidR="000A5F42" w:rsidRPr="000606CC" w:rsidRDefault="000A5F42" w:rsidP="000A5F42">
      <w:pPr>
        <w:pStyle w:val="NoSpacing"/>
        <w:rPr>
          <w:rStyle w:val="Strong"/>
          <w:rFonts w:cstheme="minorHAnsi"/>
          <w:sz w:val="20"/>
          <w:szCs w:val="18"/>
        </w:rPr>
      </w:pPr>
    </w:p>
    <w:p w14:paraId="7E224293" w14:textId="3714D52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360FFBC" w14:textId="77777777" w:rsidR="000A5F42" w:rsidRPr="000606CC" w:rsidRDefault="000A5F42" w:rsidP="000A5F42">
      <w:pPr>
        <w:pStyle w:val="NoSpacing"/>
        <w:rPr>
          <w:rStyle w:val="Strong"/>
          <w:rFonts w:cstheme="minorHAnsi"/>
          <w:sz w:val="20"/>
          <w:szCs w:val="18"/>
        </w:rPr>
      </w:pPr>
    </w:p>
    <w:p w14:paraId="3B3F8C5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FF8A70D" w14:textId="77777777" w:rsidR="000A5F42" w:rsidRPr="000606CC" w:rsidRDefault="000A5F42" w:rsidP="000A5F42">
      <w:pPr>
        <w:pStyle w:val="NoSpacing"/>
        <w:rPr>
          <w:rStyle w:val="Strong"/>
          <w:rFonts w:cstheme="minorHAnsi"/>
          <w:sz w:val="20"/>
          <w:szCs w:val="18"/>
        </w:rPr>
      </w:pPr>
    </w:p>
    <w:p w14:paraId="512D5A57" w14:textId="601D075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3EF936C" w14:textId="77777777" w:rsidR="000A5F42" w:rsidRPr="000606CC" w:rsidRDefault="000A5F42" w:rsidP="000A5F42">
      <w:pPr>
        <w:pStyle w:val="NoSpacing"/>
        <w:rPr>
          <w:rStyle w:val="Strong"/>
          <w:rFonts w:cstheme="minorHAnsi"/>
          <w:sz w:val="20"/>
          <w:szCs w:val="18"/>
        </w:rPr>
      </w:pPr>
    </w:p>
    <w:p w14:paraId="28F76B94" w14:textId="757E382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6E6E256" w14:textId="607468B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5285C15A" w14:textId="77777777" w:rsidR="000A5F42" w:rsidRPr="000606CC" w:rsidRDefault="000A5F42" w:rsidP="000A5F42">
      <w:pPr>
        <w:pStyle w:val="NoSpacing"/>
        <w:pBdr>
          <w:bottom w:val="single" w:sz="6" w:space="1" w:color="auto"/>
        </w:pBdr>
        <w:rPr>
          <w:rStyle w:val="Strong"/>
          <w:rFonts w:cstheme="minorHAnsi"/>
          <w:sz w:val="12"/>
          <w:szCs w:val="18"/>
        </w:rPr>
      </w:pPr>
    </w:p>
    <w:p w14:paraId="705777CD" w14:textId="77777777" w:rsidR="000A5F42" w:rsidRPr="000606CC" w:rsidRDefault="000A5F42" w:rsidP="000A5F42">
      <w:pPr>
        <w:pStyle w:val="NoSpacing"/>
        <w:rPr>
          <w:rFonts w:cstheme="minorHAnsi"/>
          <w:sz w:val="20"/>
          <w:szCs w:val="18"/>
        </w:rPr>
      </w:pPr>
    </w:p>
    <w:p w14:paraId="669BF911"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08AEFC49" w14:textId="77777777" w:rsidR="000A5F42" w:rsidRPr="000606CC" w:rsidRDefault="000A5F42" w:rsidP="000A5F42">
      <w:pPr>
        <w:pStyle w:val="NoSpacing"/>
        <w:rPr>
          <w:rFonts w:cstheme="minorHAnsi"/>
          <w:sz w:val="20"/>
          <w:szCs w:val="18"/>
        </w:rPr>
      </w:pPr>
    </w:p>
    <w:p w14:paraId="3C1140B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7CEC1E7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0959BCB6" w14:textId="2E571CBA"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2A940CC" w14:textId="77777777" w:rsidR="000A5F42" w:rsidRPr="000606CC" w:rsidRDefault="000A5F42" w:rsidP="000A5F42">
      <w:pPr>
        <w:pStyle w:val="NoSpacing"/>
        <w:rPr>
          <w:rFonts w:cstheme="minorHAnsi"/>
          <w:sz w:val="20"/>
          <w:szCs w:val="18"/>
        </w:rPr>
      </w:pPr>
    </w:p>
    <w:p w14:paraId="4227B22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7EAF038" w14:textId="2912C3A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B0E4A9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E50702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EEC48B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9AE4A3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E618FDF" w14:textId="77777777" w:rsidR="000A5F42" w:rsidRPr="000606CC" w:rsidRDefault="000A5F42" w:rsidP="000A5F42">
      <w:pPr>
        <w:pStyle w:val="NoSpacing"/>
        <w:rPr>
          <w:rStyle w:val="Strong"/>
          <w:rFonts w:cstheme="minorHAnsi"/>
          <w:sz w:val="20"/>
          <w:szCs w:val="18"/>
        </w:rPr>
      </w:pPr>
    </w:p>
    <w:p w14:paraId="3FD935D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AF2DB5D" w14:textId="77777777" w:rsidR="000A5F42" w:rsidRPr="000606CC" w:rsidRDefault="000A5F42" w:rsidP="000A5F42">
      <w:pPr>
        <w:pStyle w:val="NoSpacing"/>
        <w:rPr>
          <w:rStyle w:val="Strong"/>
          <w:rFonts w:cstheme="minorHAnsi"/>
          <w:sz w:val="20"/>
          <w:szCs w:val="18"/>
        </w:rPr>
      </w:pPr>
    </w:p>
    <w:p w14:paraId="21D62DFE" w14:textId="64B57F0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0AF2D62" w14:textId="77777777" w:rsidR="000A5F42" w:rsidRPr="000606CC" w:rsidRDefault="000A5F42" w:rsidP="000A5F42">
      <w:pPr>
        <w:pStyle w:val="NoSpacing"/>
        <w:rPr>
          <w:rStyle w:val="URI"/>
          <w:rFonts w:cstheme="minorHAnsi"/>
          <w:sz w:val="20"/>
          <w:szCs w:val="18"/>
        </w:rPr>
      </w:pPr>
    </w:p>
    <w:p w14:paraId="4B6CE6B6" w14:textId="5504A35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2BDBB35A"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A4FE" w14:textId="77777777" w:rsidR="00BE1ADE" w:rsidRDefault="00BE1ADE" w:rsidP="00E54DBA">
      <w:r>
        <w:separator/>
      </w:r>
    </w:p>
    <w:p w14:paraId="718D86F4" w14:textId="77777777" w:rsidR="00BE1ADE" w:rsidRDefault="00BE1ADE"/>
    <w:p w14:paraId="5D7F20F2" w14:textId="77777777" w:rsidR="00BE1ADE" w:rsidRDefault="00BE1ADE" w:rsidP="008714B0"/>
  </w:endnote>
  <w:endnote w:type="continuationSeparator" w:id="0">
    <w:p w14:paraId="6B8B5217" w14:textId="77777777" w:rsidR="00BE1ADE" w:rsidRDefault="00BE1ADE" w:rsidP="00E54DBA">
      <w:r>
        <w:continuationSeparator/>
      </w:r>
    </w:p>
    <w:p w14:paraId="5AD93510" w14:textId="77777777" w:rsidR="00BE1ADE" w:rsidRDefault="00BE1ADE"/>
    <w:p w14:paraId="59D598A1" w14:textId="77777777" w:rsidR="00BE1ADE" w:rsidRDefault="00BE1AD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9DFD" w14:textId="064BCB0C" w:rsidR="00BE1ADE" w:rsidRPr="0042435E" w:rsidRDefault="00BE1AD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1263D">
      <w:rPr>
        <w:noProof/>
        <w:sz w:val="18"/>
      </w:rPr>
      <w:t>14</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1263D">
      <w:rPr>
        <w:noProof/>
        <w:sz w:val="18"/>
      </w:rPr>
      <w:t>18</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3B3354">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5D6DAA">
      <w:rPr>
        <w:sz w:val="18"/>
      </w:rPr>
      <w:t>https://doi.org/10.33321/cdi.2020.44.66</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5D6DAA">
      <w:rPr>
        <w:sz w:val="18"/>
      </w:rPr>
      <w:t>15/09/2020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CA2F" w14:textId="2DC47E01" w:rsidR="00BE1ADE" w:rsidRPr="00BB5378" w:rsidRDefault="00BE1ADE"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1263D">
      <w:rPr>
        <w:noProof/>
        <w:sz w:val="18"/>
      </w:rPr>
      <w:t>12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1263D">
      <w:rPr>
        <w:noProof/>
        <w:sz w:val="18"/>
      </w:rPr>
      <w:t>18</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3B3354">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5D6DAA">
      <w:rPr>
        <w:sz w:val="18"/>
      </w:rPr>
      <w:t>https://doi.org/10.33321/cdi.2020.44.66</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5D6DAA">
      <w:rPr>
        <w:sz w:val="18"/>
      </w:rPr>
      <w:t>15/09/2020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34A1" w14:textId="77777777" w:rsidR="00BE1ADE" w:rsidRDefault="00BE1ADE" w:rsidP="00E54DBA">
      <w:r>
        <w:separator/>
      </w:r>
    </w:p>
  </w:footnote>
  <w:footnote w:type="continuationSeparator" w:id="0">
    <w:p w14:paraId="69D9135C" w14:textId="77777777" w:rsidR="00BE1ADE" w:rsidRDefault="00BE1ADE" w:rsidP="00E54DBA">
      <w:r>
        <w:continuationSeparator/>
      </w:r>
    </w:p>
  </w:footnote>
  <w:footnote w:type="continuationNotice" w:id="1">
    <w:p w14:paraId="75166ADE" w14:textId="77777777" w:rsidR="00BE1ADE" w:rsidRPr="00224EFF" w:rsidRDefault="00BE1ADE"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3803" w14:textId="77777777" w:rsidR="00BE1ADE" w:rsidRPr="00A153B6" w:rsidRDefault="00630FF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E1ADE">
          <w:t>Short Report</w:t>
        </w:r>
      </w:sdtContent>
    </w:sdt>
    <w:r w:rsidR="00BE1ADE">
      <w:ptab w:relativeTo="margin" w:alignment="right" w:leader="none"/>
    </w:r>
    <w:r w:rsidR="00BE1ADE"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17AA" w14:textId="77777777" w:rsidR="00BE1ADE" w:rsidRPr="000A5F42" w:rsidRDefault="00BE1ADE" w:rsidP="000A5F42">
    <w:pPr>
      <w:pStyle w:val="Header"/>
      <w:jc w:val="center"/>
      <w:rPr>
        <w:b/>
      </w:rPr>
    </w:pPr>
    <w:r w:rsidRPr="00E810C5">
      <w:rPr>
        <w:rFonts w:cs="Myriad Pro"/>
        <w:noProof/>
        <w:color w:val="211D1E"/>
        <w:sz w:val="16"/>
      </w:rPr>
      <w:drawing>
        <wp:inline distT="0" distB="0" distL="0" distR="0" wp14:anchorId="2748EBD0" wp14:editId="338B56C4">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62F8"/>
    <w:multiLevelType w:val="multilevel"/>
    <w:tmpl w:val="0C208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81CD3"/>
    <w:multiLevelType w:val="multilevel"/>
    <w:tmpl w:val="0B283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F45E48"/>
    <w:multiLevelType w:val="hybridMultilevel"/>
    <w:tmpl w:val="6FDE0A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493B14"/>
    <w:multiLevelType w:val="hybridMultilevel"/>
    <w:tmpl w:val="419EA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0250022">
    <w:abstractNumId w:val="3"/>
  </w:num>
  <w:num w:numId="2" w16cid:durableId="1875344213">
    <w:abstractNumId w:val="4"/>
  </w:num>
  <w:num w:numId="3" w16cid:durableId="469565499">
    <w:abstractNumId w:val="5"/>
  </w:num>
  <w:num w:numId="4" w16cid:durableId="1736539786">
    <w:abstractNumId w:val="2"/>
  </w:num>
  <w:num w:numId="5" w16cid:durableId="428042389">
    <w:abstractNumId w:val="7"/>
  </w:num>
  <w:num w:numId="6" w16cid:durableId="120803957">
    <w:abstractNumId w:val="8"/>
  </w:num>
  <w:num w:numId="7" w16cid:durableId="559483920">
    <w:abstractNumId w:val="0"/>
  </w:num>
  <w:num w:numId="8" w16cid:durableId="28578237">
    <w:abstractNumId w:val="1"/>
  </w:num>
  <w:num w:numId="9" w16cid:durableId="1578782430">
    <w:abstractNumId w:val="9"/>
  </w:num>
  <w:num w:numId="10" w16cid:durableId="752236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66"/>
    <w:rsid w:val="00000B5B"/>
    <w:rsid w:val="00001611"/>
    <w:rsid w:val="000017C2"/>
    <w:rsid w:val="000104A8"/>
    <w:rsid w:val="000118C5"/>
    <w:rsid w:val="0001246E"/>
    <w:rsid w:val="000124B1"/>
    <w:rsid w:val="00015C5D"/>
    <w:rsid w:val="00016FE6"/>
    <w:rsid w:val="00023600"/>
    <w:rsid w:val="000237BB"/>
    <w:rsid w:val="00031064"/>
    <w:rsid w:val="00031692"/>
    <w:rsid w:val="00032531"/>
    <w:rsid w:val="000471BF"/>
    <w:rsid w:val="00047B68"/>
    <w:rsid w:val="00050023"/>
    <w:rsid w:val="00052600"/>
    <w:rsid w:val="0005643C"/>
    <w:rsid w:val="0006042D"/>
    <w:rsid w:val="0006264A"/>
    <w:rsid w:val="00065293"/>
    <w:rsid w:val="00073D77"/>
    <w:rsid w:val="00080112"/>
    <w:rsid w:val="00080578"/>
    <w:rsid w:val="00081655"/>
    <w:rsid w:val="000864E0"/>
    <w:rsid w:val="000952F7"/>
    <w:rsid w:val="000969B3"/>
    <w:rsid w:val="000A5F42"/>
    <w:rsid w:val="000A6743"/>
    <w:rsid w:val="000A769B"/>
    <w:rsid w:val="000B10AE"/>
    <w:rsid w:val="000B3D22"/>
    <w:rsid w:val="000B4D5D"/>
    <w:rsid w:val="000C07CC"/>
    <w:rsid w:val="000C4317"/>
    <w:rsid w:val="000C7FAC"/>
    <w:rsid w:val="000D4B4D"/>
    <w:rsid w:val="00102879"/>
    <w:rsid w:val="00106C1B"/>
    <w:rsid w:val="00113D58"/>
    <w:rsid w:val="001200CB"/>
    <w:rsid w:val="0012592C"/>
    <w:rsid w:val="001378A3"/>
    <w:rsid w:val="00155582"/>
    <w:rsid w:val="00161590"/>
    <w:rsid w:val="00171CC0"/>
    <w:rsid w:val="00174825"/>
    <w:rsid w:val="00175494"/>
    <w:rsid w:val="00175629"/>
    <w:rsid w:val="00182A23"/>
    <w:rsid w:val="001830EC"/>
    <w:rsid w:val="00183534"/>
    <w:rsid w:val="001973D2"/>
    <w:rsid w:val="001A2126"/>
    <w:rsid w:val="001A4A96"/>
    <w:rsid w:val="001A5D05"/>
    <w:rsid w:val="001A796C"/>
    <w:rsid w:val="001B2614"/>
    <w:rsid w:val="001B37B8"/>
    <w:rsid w:val="001B552F"/>
    <w:rsid w:val="001C0893"/>
    <w:rsid w:val="001C1303"/>
    <w:rsid w:val="001C387A"/>
    <w:rsid w:val="001C70B2"/>
    <w:rsid w:val="001D37C7"/>
    <w:rsid w:val="001D6888"/>
    <w:rsid w:val="001F00F4"/>
    <w:rsid w:val="00206DA2"/>
    <w:rsid w:val="00212C1A"/>
    <w:rsid w:val="00222740"/>
    <w:rsid w:val="00224EFF"/>
    <w:rsid w:val="002276DC"/>
    <w:rsid w:val="00227E00"/>
    <w:rsid w:val="002307CB"/>
    <w:rsid w:val="00231046"/>
    <w:rsid w:val="002330A0"/>
    <w:rsid w:val="002349FB"/>
    <w:rsid w:val="00234F21"/>
    <w:rsid w:val="00240D2B"/>
    <w:rsid w:val="00242659"/>
    <w:rsid w:val="002428F7"/>
    <w:rsid w:val="0024315F"/>
    <w:rsid w:val="00252C9A"/>
    <w:rsid w:val="00255454"/>
    <w:rsid w:val="00256309"/>
    <w:rsid w:val="00257484"/>
    <w:rsid w:val="00260636"/>
    <w:rsid w:val="00266E76"/>
    <w:rsid w:val="00272103"/>
    <w:rsid w:val="002728E8"/>
    <w:rsid w:val="00275C78"/>
    <w:rsid w:val="00280594"/>
    <w:rsid w:val="00281EE3"/>
    <w:rsid w:val="00282463"/>
    <w:rsid w:val="00284E4A"/>
    <w:rsid w:val="002A3799"/>
    <w:rsid w:val="002A3BCC"/>
    <w:rsid w:val="002A4516"/>
    <w:rsid w:val="002A569F"/>
    <w:rsid w:val="002A7066"/>
    <w:rsid w:val="002B001E"/>
    <w:rsid w:val="002B09B7"/>
    <w:rsid w:val="002B6156"/>
    <w:rsid w:val="002B75A9"/>
    <w:rsid w:val="002C21B0"/>
    <w:rsid w:val="002D566C"/>
    <w:rsid w:val="002D6816"/>
    <w:rsid w:val="002E2FB3"/>
    <w:rsid w:val="002F327B"/>
    <w:rsid w:val="002F442C"/>
    <w:rsid w:val="00301626"/>
    <w:rsid w:val="003059EC"/>
    <w:rsid w:val="003153E8"/>
    <w:rsid w:val="00316CCD"/>
    <w:rsid w:val="00321BB2"/>
    <w:rsid w:val="00324F7E"/>
    <w:rsid w:val="003323BC"/>
    <w:rsid w:val="00334843"/>
    <w:rsid w:val="00340B85"/>
    <w:rsid w:val="00346D42"/>
    <w:rsid w:val="00346E11"/>
    <w:rsid w:val="003601C0"/>
    <w:rsid w:val="0036274F"/>
    <w:rsid w:val="003635F5"/>
    <w:rsid w:val="003641FB"/>
    <w:rsid w:val="00367558"/>
    <w:rsid w:val="00372A88"/>
    <w:rsid w:val="00381A0F"/>
    <w:rsid w:val="00397CDD"/>
    <w:rsid w:val="003A1B3A"/>
    <w:rsid w:val="003A378C"/>
    <w:rsid w:val="003A40F5"/>
    <w:rsid w:val="003A51E9"/>
    <w:rsid w:val="003A5F79"/>
    <w:rsid w:val="003B3354"/>
    <w:rsid w:val="003B5B8C"/>
    <w:rsid w:val="003C6E8D"/>
    <w:rsid w:val="003D3387"/>
    <w:rsid w:val="003D79B1"/>
    <w:rsid w:val="003E74EE"/>
    <w:rsid w:val="003F0552"/>
    <w:rsid w:val="003F3BC2"/>
    <w:rsid w:val="003F71A5"/>
    <w:rsid w:val="00401ED1"/>
    <w:rsid w:val="0040224C"/>
    <w:rsid w:val="004024D2"/>
    <w:rsid w:val="00413EE1"/>
    <w:rsid w:val="004164BB"/>
    <w:rsid w:val="00420BC2"/>
    <w:rsid w:val="00421ECE"/>
    <w:rsid w:val="00422FEB"/>
    <w:rsid w:val="0042435E"/>
    <w:rsid w:val="00426FB9"/>
    <w:rsid w:val="004315F5"/>
    <w:rsid w:val="00433456"/>
    <w:rsid w:val="00433DFA"/>
    <w:rsid w:val="00434720"/>
    <w:rsid w:val="00435D67"/>
    <w:rsid w:val="00436AE0"/>
    <w:rsid w:val="00463DFD"/>
    <w:rsid w:val="00464A58"/>
    <w:rsid w:val="004668B2"/>
    <w:rsid w:val="00473D2D"/>
    <w:rsid w:val="00481855"/>
    <w:rsid w:val="00483710"/>
    <w:rsid w:val="00486279"/>
    <w:rsid w:val="004918BD"/>
    <w:rsid w:val="004944D7"/>
    <w:rsid w:val="004A2125"/>
    <w:rsid w:val="004A38F6"/>
    <w:rsid w:val="004B4EB6"/>
    <w:rsid w:val="004C083C"/>
    <w:rsid w:val="004C524A"/>
    <w:rsid w:val="004C67C6"/>
    <w:rsid w:val="004D0F05"/>
    <w:rsid w:val="004D29DE"/>
    <w:rsid w:val="0050020E"/>
    <w:rsid w:val="005016B6"/>
    <w:rsid w:val="00506D79"/>
    <w:rsid w:val="00510EAC"/>
    <w:rsid w:val="005124FF"/>
    <w:rsid w:val="00532272"/>
    <w:rsid w:val="00542A57"/>
    <w:rsid w:val="00553AAF"/>
    <w:rsid w:val="00555E00"/>
    <w:rsid w:val="005603F7"/>
    <w:rsid w:val="00565974"/>
    <w:rsid w:val="005732C0"/>
    <w:rsid w:val="0057336D"/>
    <w:rsid w:val="0057370F"/>
    <w:rsid w:val="0057395D"/>
    <w:rsid w:val="0057489A"/>
    <w:rsid w:val="00574ACF"/>
    <w:rsid w:val="005752D3"/>
    <w:rsid w:val="00581588"/>
    <w:rsid w:val="00583E9C"/>
    <w:rsid w:val="0058540B"/>
    <w:rsid w:val="00587C87"/>
    <w:rsid w:val="00590B80"/>
    <w:rsid w:val="005A781A"/>
    <w:rsid w:val="005B24F1"/>
    <w:rsid w:val="005B3134"/>
    <w:rsid w:val="005B4E61"/>
    <w:rsid w:val="005B595A"/>
    <w:rsid w:val="005B66C2"/>
    <w:rsid w:val="005C1128"/>
    <w:rsid w:val="005D1551"/>
    <w:rsid w:val="005D2465"/>
    <w:rsid w:val="005D3A9A"/>
    <w:rsid w:val="005D612D"/>
    <w:rsid w:val="005D6DAA"/>
    <w:rsid w:val="005E33DD"/>
    <w:rsid w:val="005E4229"/>
    <w:rsid w:val="005E540E"/>
    <w:rsid w:val="005E55FB"/>
    <w:rsid w:val="005E78CE"/>
    <w:rsid w:val="005F16BB"/>
    <w:rsid w:val="005F7A07"/>
    <w:rsid w:val="00607115"/>
    <w:rsid w:val="00607F8D"/>
    <w:rsid w:val="006110D2"/>
    <w:rsid w:val="006140D7"/>
    <w:rsid w:val="00620768"/>
    <w:rsid w:val="0062594B"/>
    <w:rsid w:val="00630FFF"/>
    <w:rsid w:val="00631406"/>
    <w:rsid w:val="006324FF"/>
    <w:rsid w:val="006351D6"/>
    <w:rsid w:val="00636E0D"/>
    <w:rsid w:val="0064142F"/>
    <w:rsid w:val="00643A3D"/>
    <w:rsid w:val="00643CB4"/>
    <w:rsid w:val="00656427"/>
    <w:rsid w:val="00660255"/>
    <w:rsid w:val="006650AC"/>
    <w:rsid w:val="006856E0"/>
    <w:rsid w:val="00685F48"/>
    <w:rsid w:val="006971F3"/>
    <w:rsid w:val="006A55F2"/>
    <w:rsid w:val="006B1C27"/>
    <w:rsid w:val="006B1CD8"/>
    <w:rsid w:val="006B4ADC"/>
    <w:rsid w:val="006C74A3"/>
    <w:rsid w:val="006D1349"/>
    <w:rsid w:val="006D1381"/>
    <w:rsid w:val="006D31BC"/>
    <w:rsid w:val="006E3F12"/>
    <w:rsid w:val="006E566D"/>
    <w:rsid w:val="006E7943"/>
    <w:rsid w:val="006F24EA"/>
    <w:rsid w:val="006F3E06"/>
    <w:rsid w:val="0070015D"/>
    <w:rsid w:val="00704CA9"/>
    <w:rsid w:val="00705444"/>
    <w:rsid w:val="0071048D"/>
    <w:rsid w:val="00710F86"/>
    <w:rsid w:val="007111A8"/>
    <w:rsid w:val="00731BC3"/>
    <w:rsid w:val="00741192"/>
    <w:rsid w:val="00743A33"/>
    <w:rsid w:val="00746080"/>
    <w:rsid w:val="0075144A"/>
    <w:rsid w:val="00754198"/>
    <w:rsid w:val="0076044F"/>
    <w:rsid w:val="0076638E"/>
    <w:rsid w:val="00786155"/>
    <w:rsid w:val="00786329"/>
    <w:rsid w:val="00790325"/>
    <w:rsid w:val="0079138D"/>
    <w:rsid w:val="00792C7D"/>
    <w:rsid w:val="00794A4D"/>
    <w:rsid w:val="007A5234"/>
    <w:rsid w:val="007B07A4"/>
    <w:rsid w:val="007B7854"/>
    <w:rsid w:val="007C4E89"/>
    <w:rsid w:val="007C56A1"/>
    <w:rsid w:val="007C6454"/>
    <w:rsid w:val="007E01E0"/>
    <w:rsid w:val="007F0B93"/>
    <w:rsid w:val="007F2ECA"/>
    <w:rsid w:val="00803B7C"/>
    <w:rsid w:val="00803BF3"/>
    <w:rsid w:val="0080636F"/>
    <w:rsid w:val="0081070D"/>
    <w:rsid w:val="00811708"/>
    <w:rsid w:val="00816B4F"/>
    <w:rsid w:val="00816B90"/>
    <w:rsid w:val="00816E9C"/>
    <w:rsid w:val="00817799"/>
    <w:rsid w:val="00822F5F"/>
    <w:rsid w:val="008249FF"/>
    <w:rsid w:val="00824FD3"/>
    <w:rsid w:val="00826589"/>
    <w:rsid w:val="00834BCC"/>
    <w:rsid w:val="00850D54"/>
    <w:rsid w:val="00853248"/>
    <w:rsid w:val="00854CD9"/>
    <w:rsid w:val="00861A76"/>
    <w:rsid w:val="008714B0"/>
    <w:rsid w:val="00876331"/>
    <w:rsid w:val="00880726"/>
    <w:rsid w:val="00887CE0"/>
    <w:rsid w:val="008A3544"/>
    <w:rsid w:val="008B48B8"/>
    <w:rsid w:val="008B5348"/>
    <w:rsid w:val="008B58F8"/>
    <w:rsid w:val="008B72F7"/>
    <w:rsid w:val="008C0712"/>
    <w:rsid w:val="008C3EF5"/>
    <w:rsid w:val="008C4520"/>
    <w:rsid w:val="008C5CA1"/>
    <w:rsid w:val="008C5F09"/>
    <w:rsid w:val="008D470F"/>
    <w:rsid w:val="008E1F8F"/>
    <w:rsid w:val="008E4768"/>
    <w:rsid w:val="008E761E"/>
    <w:rsid w:val="008F477A"/>
    <w:rsid w:val="008F77B3"/>
    <w:rsid w:val="009008F5"/>
    <w:rsid w:val="00904CC1"/>
    <w:rsid w:val="009066AF"/>
    <w:rsid w:val="00912050"/>
    <w:rsid w:val="0091263D"/>
    <w:rsid w:val="00912E48"/>
    <w:rsid w:val="00917F68"/>
    <w:rsid w:val="009230B3"/>
    <w:rsid w:val="0092746F"/>
    <w:rsid w:val="00935DC9"/>
    <w:rsid w:val="00937A08"/>
    <w:rsid w:val="0094349A"/>
    <w:rsid w:val="009446C0"/>
    <w:rsid w:val="0096082E"/>
    <w:rsid w:val="00961347"/>
    <w:rsid w:val="00967410"/>
    <w:rsid w:val="00967D73"/>
    <w:rsid w:val="00974A06"/>
    <w:rsid w:val="00974A49"/>
    <w:rsid w:val="009753A4"/>
    <w:rsid w:val="0098119A"/>
    <w:rsid w:val="00984163"/>
    <w:rsid w:val="00984AAF"/>
    <w:rsid w:val="00991B09"/>
    <w:rsid w:val="0099233A"/>
    <w:rsid w:val="00993CB2"/>
    <w:rsid w:val="00996D23"/>
    <w:rsid w:val="009A5166"/>
    <w:rsid w:val="009A76F8"/>
    <w:rsid w:val="009B2B83"/>
    <w:rsid w:val="009C49F8"/>
    <w:rsid w:val="009D77CC"/>
    <w:rsid w:val="009E2423"/>
    <w:rsid w:val="009E55D7"/>
    <w:rsid w:val="009F37A6"/>
    <w:rsid w:val="009F4150"/>
    <w:rsid w:val="009F4A15"/>
    <w:rsid w:val="009F5665"/>
    <w:rsid w:val="009F5DAD"/>
    <w:rsid w:val="00A01BCA"/>
    <w:rsid w:val="00A01BFD"/>
    <w:rsid w:val="00A10458"/>
    <w:rsid w:val="00A153B6"/>
    <w:rsid w:val="00A164D5"/>
    <w:rsid w:val="00A273C3"/>
    <w:rsid w:val="00A30C37"/>
    <w:rsid w:val="00A36C65"/>
    <w:rsid w:val="00A41BBE"/>
    <w:rsid w:val="00A45BDD"/>
    <w:rsid w:val="00A46A0A"/>
    <w:rsid w:val="00A52B29"/>
    <w:rsid w:val="00A553F8"/>
    <w:rsid w:val="00A6708F"/>
    <w:rsid w:val="00A71BF6"/>
    <w:rsid w:val="00A86F9A"/>
    <w:rsid w:val="00AA35E6"/>
    <w:rsid w:val="00AA50B6"/>
    <w:rsid w:val="00AB3472"/>
    <w:rsid w:val="00AB47D2"/>
    <w:rsid w:val="00AB5B90"/>
    <w:rsid w:val="00AC305F"/>
    <w:rsid w:val="00AD0762"/>
    <w:rsid w:val="00AD692F"/>
    <w:rsid w:val="00AE0559"/>
    <w:rsid w:val="00AE4452"/>
    <w:rsid w:val="00AE7C38"/>
    <w:rsid w:val="00AF0F9C"/>
    <w:rsid w:val="00B01F99"/>
    <w:rsid w:val="00B02B37"/>
    <w:rsid w:val="00B044AE"/>
    <w:rsid w:val="00B05276"/>
    <w:rsid w:val="00B132DB"/>
    <w:rsid w:val="00B155BF"/>
    <w:rsid w:val="00B31427"/>
    <w:rsid w:val="00B32263"/>
    <w:rsid w:val="00B33861"/>
    <w:rsid w:val="00B403CD"/>
    <w:rsid w:val="00B40DE2"/>
    <w:rsid w:val="00B414E0"/>
    <w:rsid w:val="00B50210"/>
    <w:rsid w:val="00B51735"/>
    <w:rsid w:val="00B53955"/>
    <w:rsid w:val="00B53D37"/>
    <w:rsid w:val="00B6408A"/>
    <w:rsid w:val="00B714B8"/>
    <w:rsid w:val="00B72EAB"/>
    <w:rsid w:val="00B82C2C"/>
    <w:rsid w:val="00B8720B"/>
    <w:rsid w:val="00B876EF"/>
    <w:rsid w:val="00B91DC3"/>
    <w:rsid w:val="00BA2427"/>
    <w:rsid w:val="00BA4697"/>
    <w:rsid w:val="00BA77DF"/>
    <w:rsid w:val="00BB5378"/>
    <w:rsid w:val="00BC0BD3"/>
    <w:rsid w:val="00BC4754"/>
    <w:rsid w:val="00BD0107"/>
    <w:rsid w:val="00BE0C33"/>
    <w:rsid w:val="00BE1ADE"/>
    <w:rsid w:val="00BE262C"/>
    <w:rsid w:val="00BE4C8E"/>
    <w:rsid w:val="00BE6C3D"/>
    <w:rsid w:val="00C05C66"/>
    <w:rsid w:val="00C07606"/>
    <w:rsid w:val="00C10FE2"/>
    <w:rsid w:val="00C12542"/>
    <w:rsid w:val="00C17BA6"/>
    <w:rsid w:val="00C24725"/>
    <w:rsid w:val="00C24FAB"/>
    <w:rsid w:val="00C30538"/>
    <w:rsid w:val="00C30BA9"/>
    <w:rsid w:val="00C3541E"/>
    <w:rsid w:val="00C35F86"/>
    <w:rsid w:val="00C36A8F"/>
    <w:rsid w:val="00C37586"/>
    <w:rsid w:val="00C4168C"/>
    <w:rsid w:val="00C42834"/>
    <w:rsid w:val="00C42FFA"/>
    <w:rsid w:val="00C507D8"/>
    <w:rsid w:val="00C54A55"/>
    <w:rsid w:val="00C62EAC"/>
    <w:rsid w:val="00C63F9F"/>
    <w:rsid w:val="00C7723C"/>
    <w:rsid w:val="00C8318E"/>
    <w:rsid w:val="00C838F5"/>
    <w:rsid w:val="00C858AF"/>
    <w:rsid w:val="00C91112"/>
    <w:rsid w:val="00C91C7F"/>
    <w:rsid w:val="00C92688"/>
    <w:rsid w:val="00CA1AF4"/>
    <w:rsid w:val="00CA6068"/>
    <w:rsid w:val="00CB15E1"/>
    <w:rsid w:val="00CB262E"/>
    <w:rsid w:val="00CB3D46"/>
    <w:rsid w:val="00CC6979"/>
    <w:rsid w:val="00CD1A87"/>
    <w:rsid w:val="00CD21B3"/>
    <w:rsid w:val="00CD35F3"/>
    <w:rsid w:val="00CD5C93"/>
    <w:rsid w:val="00CE342B"/>
    <w:rsid w:val="00CE4399"/>
    <w:rsid w:val="00CF02C3"/>
    <w:rsid w:val="00CF320C"/>
    <w:rsid w:val="00CF3A4B"/>
    <w:rsid w:val="00CF4001"/>
    <w:rsid w:val="00D040F9"/>
    <w:rsid w:val="00D05837"/>
    <w:rsid w:val="00D07A2F"/>
    <w:rsid w:val="00D114B9"/>
    <w:rsid w:val="00D12D8A"/>
    <w:rsid w:val="00D13852"/>
    <w:rsid w:val="00D13E0C"/>
    <w:rsid w:val="00D20766"/>
    <w:rsid w:val="00D25896"/>
    <w:rsid w:val="00D373A1"/>
    <w:rsid w:val="00D37C0F"/>
    <w:rsid w:val="00D45661"/>
    <w:rsid w:val="00D45943"/>
    <w:rsid w:val="00D47D22"/>
    <w:rsid w:val="00D51865"/>
    <w:rsid w:val="00D51D0C"/>
    <w:rsid w:val="00D52F81"/>
    <w:rsid w:val="00D623BA"/>
    <w:rsid w:val="00D74140"/>
    <w:rsid w:val="00DA3980"/>
    <w:rsid w:val="00DA6E56"/>
    <w:rsid w:val="00DB7067"/>
    <w:rsid w:val="00DC3E95"/>
    <w:rsid w:val="00DC6705"/>
    <w:rsid w:val="00DC73E4"/>
    <w:rsid w:val="00DD2DE8"/>
    <w:rsid w:val="00DE38B4"/>
    <w:rsid w:val="00DE5D02"/>
    <w:rsid w:val="00E005A9"/>
    <w:rsid w:val="00E04672"/>
    <w:rsid w:val="00E07A9A"/>
    <w:rsid w:val="00E1166E"/>
    <w:rsid w:val="00E12401"/>
    <w:rsid w:val="00E13479"/>
    <w:rsid w:val="00E143CE"/>
    <w:rsid w:val="00E1629E"/>
    <w:rsid w:val="00E17FB2"/>
    <w:rsid w:val="00E24DC0"/>
    <w:rsid w:val="00E2519C"/>
    <w:rsid w:val="00E25F2A"/>
    <w:rsid w:val="00E2627E"/>
    <w:rsid w:val="00E26866"/>
    <w:rsid w:val="00E30056"/>
    <w:rsid w:val="00E41455"/>
    <w:rsid w:val="00E42AD2"/>
    <w:rsid w:val="00E448DD"/>
    <w:rsid w:val="00E50856"/>
    <w:rsid w:val="00E52381"/>
    <w:rsid w:val="00E538CC"/>
    <w:rsid w:val="00E54DBA"/>
    <w:rsid w:val="00E63D7C"/>
    <w:rsid w:val="00E640D5"/>
    <w:rsid w:val="00E66E2E"/>
    <w:rsid w:val="00E67691"/>
    <w:rsid w:val="00E92237"/>
    <w:rsid w:val="00E951EF"/>
    <w:rsid w:val="00E95901"/>
    <w:rsid w:val="00EA2DAA"/>
    <w:rsid w:val="00EA3D54"/>
    <w:rsid w:val="00EA56D9"/>
    <w:rsid w:val="00EA5B76"/>
    <w:rsid w:val="00EA5CE3"/>
    <w:rsid w:val="00EB51C1"/>
    <w:rsid w:val="00EB5AE1"/>
    <w:rsid w:val="00EB5E0B"/>
    <w:rsid w:val="00EC2171"/>
    <w:rsid w:val="00EC428A"/>
    <w:rsid w:val="00EC56DC"/>
    <w:rsid w:val="00EC6517"/>
    <w:rsid w:val="00ED442D"/>
    <w:rsid w:val="00ED70C2"/>
    <w:rsid w:val="00EE18FF"/>
    <w:rsid w:val="00EE489F"/>
    <w:rsid w:val="00EE7229"/>
    <w:rsid w:val="00EF2EA6"/>
    <w:rsid w:val="00EF7587"/>
    <w:rsid w:val="00F03055"/>
    <w:rsid w:val="00F0647F"/>
    <w:rsid w:val="00F07EAB"/>
    <w:rsid w:val="00F1003F"/>
    <w:rsid w:val="00F10CE3"/>
    <w:rsid w:val="00F12617"/>
    <w:rsid w:val="00F14F3B"/>
    <w:rsid w:val="00F16362"/>
    <w:rsid w:val="00F207C7"/>
    <w:rsid w:val="00F271B4"/>
    <w:rsid w:val="00F36B6D"/>
    <w:rsid w:val="00F37797"/>
    <w:rsid w:val="00F43FA3"/>
    <w:rsid w:val="00F477C1"/>
    <w:rsid w:val="00F55648"/>
    <w:rsid w:val="00F70046"/>
    <w:rsid w:val="00F748C2"/>
    <w:rsid w:val="00F76C5C"/>
    <w:rsid w:val="00F81EF3"/>
    <w:rsid w:val="00F84496"/>
    <w:rsid w:val="00F855C9"/>
    <w:rsid w:val="00F85DCB"/>
    <w:rsid w:val="00F86F9C"/>
    <w:rsid w:val="00F90D76"/>
    <w:rsid w:val="00F96FBB"/>
    <w:rsid w:val="00FA0A22"/>
    <w:rsid w:val="00FA28C5"/>
    <w:rsid w:val="00FA4192"/>
    <w:rsid w:val="00FC002E"/>
    <w:rsid w:val="00FC1D6B"/>
    <w:rsid w:val="00FC4C23"/>
    <w:rsid w:val="00FC642E"/>
    <w:rsid w:val="00FE2AE4"/>
    <w:rsid w:val="00FE5628"/>
    <w:rsid w:val="00FE689F"/>
    <w:rsid w:val="00FE7809"/>
    <w:rsid w:val="00FF408B"/>
    <w:rsid w:val="00FF46FA"/>
    <w:rsid w:val="00FF4B44"/>
    <w:rsid w:val="00FF6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3024A5"/>
  <w15:docId w15:val="{E27F34D5-9695-4D8E-A13E-0B7F8083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BE1ADE"/>
    <w:rPr>
      <w:sz w:val="16"/>
      <w:szCs w:val="16"/>
    </w:rPr>
  </w:style>
  <w:style w:type="paragraph" w:styleId="CommentText">
    <w:name w:val="annotation text"/>
    <w:basedOn w:val="Normal"/>
    <w:link w:val="CommentTextChar"/>
    <w:uiPriority w:val="99"/>
    <w:semiHidden/>
    <w:unhideWhenUsed/>
    <w:rsid w:val="00BE1ADE"/>
    <w:pPr>
      <w:spacing w:line="240" w:lineRule="auto"/>
    </w:pPr>
    <w:rPr>
      <w:sz w:val="20"/>
      <w:szCs w:val="20"/>
    </w:rPr>
  </w:style>
  <w:style w:type="character" w:customStyle="1" w:styleId="CommentTextChar">
    <w:name w:val="Comment Text Char"/>
    <w:basedOn w:val="DefaultParagraphFont"/>
    <w:link w:val="CommentText"/>
    <w:uiPriority w:val="99"/>
    <w:semiHidden/>
    <w:rsid w:val="00BE1ADE"/>
    <w:rPr>
      <w:sz w:val="20"/>
      <w:szCs w:val="20"/>
    </w:rPr>
  </w:style>
  <w:style w:type="paragraph" w:styleId="CommentSubject">
    <w:name w:val="annotation subject"/>
    <w:basedOn w:val="CommentText"/>
    <w:next w:val="CommentText"/>
    <w:link w:val="CommentSubjectChar"/>
    <w:uiPriority w:val="99"/>
    <w:semiHidden/>
    <w:unhideWhenUsed/>
    <w:rsid w:val="00BE1ADE"/>
    <w:rPr>
      <w:b/>
      <w:bCs/>
    </w:rPr>
  </w:style>
  <w:style w:type="character" w:customStyle="1" w:styleId="CommentSubjectChar">
    <w:name w:val="Comment Subject Char"/>
    <w:basedOn w:val="CommentTextChar"/>
    <w:link w:val="CommentSubject"/>
    <w:uiPriority w:val="99"/>
    <w:semiHidden/>
    <w:rsid w:val="00BE1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health.gov.au/cdna" TargetMode="External"/><Relationship Id="rId10" Type="http://schemas.openxmlformats.org/officeDocument/2006/relationships/footer" Target="foot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081DD9-89B5-4808-8C0D-2E8344F0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5899</Words>
  <Characters>33894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Communicable Diseases Intelligence 2020 - An outbreak of serotype-1 sequence type 306 invasive pneumococcal disease in an Australian Indigenous population</vt:lpstr>
    </vt:vector>
  </TitlesOfParts>
  <Company>Australian Government, Department of Health</Company>
  <LinksUpToDate>false</LinksUpToDate>
  <CharactersWithSpaces>39714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An outbreak of serotype-1 sequence type 306 invasive pneumococcal disease in an Australian Indigenous population</dc:title>
  <dc:subject>This article describes the epidemiology of an outbreak that occurred primarily in remote locations of Northern and Central Australia in 2010 to 2013. The study includes 245 cases of which 75.5 percent were identified as Indigenous. The article recommends the development of national public health management guidelines that include suitable vaccine strategies to manage similar outbreaks in the future.</dc:subject>
  <dc:creator>Heather M Cook;Carolien M Giele;Sanjay H Jayasinghe;Angela Wakefield;Vicki L Krause for the Enhanced Invasive Pneumococcal Disease Surveillance Working Group</dc:creator>
  <cp:keywords>outbreak; serotype-1; invasive pneumococcal disease; Australian Indigenous; pneumococcal vaccine; Streptococcus pneumoniae</cp:keywords>
  <dc:description>© Commonwealth of Australia CC BY-NC-ND ISSN: 2209-6051 (Online)</dc:description>
  <cp:lastPrinted>2018-05-10T02:19:00Z</cp:lastPrinted>
  <dcterms:created xsi:type="dcterms:W3CDTF">2024-08-29T02:47:00Z</dcterms:created>
  <dcterms:modified xsi:type="dcterms:W3CDTF">2024-08-29T02:47:00Z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15/09/2020</vt:lpwstr>
  </property>
  <property fmtid="{D5CDD505-2E9C-101B-9397-08002B2CF9AE}" pid="5" name="DOI">
    <vt:lpwstr>https://doi.org/10.33321/cdi.2020.44.66</vt:lpwstr>
  </property>
</Properties>
</file>