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2478F" w14:textId="77777777" w:rsidR="00186703" w:rsidRDefault="00186703" w:rsidP="00145700">
      <w:pPr>
        <w:pStyle w:val="Title"/>
        <w:rPr>
          <w:rFonts w:eastAsia="Times New Roman"/>
          <w:sz w:val="48"/>
          <w:szCs w:val="48"/>
        </w:rPr>
      </w:pPr>
      <w:r>
        <w:rPr>
          <w:rFonts w:eastAsia="Times New Roman"/>
        </w:rPr>
        <w:t>High COVID-19 attack rate among attendees of wedding events in Bali, Indonesia, March 2020</w:t>
      </w:r>
    </w:p>
    <w:p w14:paraId="066033B0" w14:textId="77777777" w:rsidR="00186703" w:rsidRDefault="00186703" w:rsidP="00145700">
      <w:r>
        <w:t>Bhavi Ravindran, Freya Hogarth, Kirsten Williamson, Rose Wright, Martyn Kirk, Craig Dalton</w:t>
      </w:r>
    </w:p>
    <w:p w14:paraId="33AB8848" w14:textId="77777777" w:rsidR="00186703" w:rsidRPr="00145700" w:rsidRDefault="00186703" w:rsidP="00145700">
      <w:pPr>
        <w:pStyle w:val="Heading1"/>
      </w:pPr>
      <w:r w:rsidRPr="00145700">
        <w:t>Abstract</w:t>
      </w:r>
    </w:p>
    <w:p w14:paraId="5698057A" w14:textId="77777777" w:rsidR="00186703" w:rsidRPr="00145700" w:rsidRDefault="00186703" w:rsidP="00145700">
      <w:pPr>
        <w:pStyle w:val="Heading2"/>
      </w:pPr>
      <w:r w:rsidRPr="00145700">
        <w:t>Background</w:t>
      </w:r>
    </w:p>
    <w:p w14:paraId="2116F290" w14:textId="77777777" w:rsidR="00186703" w:rsidRDefault="00186703" w:rsidP="00145700">
      <w:r>
        <w:t>Large gatherings are associated with the spread of coronavirus 2019 disease (COVID-19); however, transmission dynamics are not well understood. We investigated a cluster of COVID-19 cases in returning Australian residents who attended wedding events in Bali, Indonesia, during 15– 21 March 2020. Attendees participated in various social events and were in close proximity, providing multiple opportunities for transmission.</w:t>
      </w:r>
    </w:p>
    <w:p w14:paraId="08643E9B" w14:textId="77777777" w:rsidR="00186703" w:rsidRPr="00145700" w:rsidRDefault="00186703" w:rsidP="00145700">
      <w:pPr>
        <w:pStyle w:val="Heading2"/>
      </w:pPr>
      <w:r w:rsidRPr="00145700">
        <w:t>Methods</w:t>
      </w:r>
    </w:p>
    <w:p w14:paraId="08C26DF2" w14:textId="77777777" w:rsidR="00186703" w:rsidRDefault="00186703" w:rsidP="00145700">
      <w:r>
        <w:t>We conducted a retrospective cohort study of the 41 attendees, of whom 17 participated in a structured interview that included history of illness, risk exposures and event attendance. We obtained data for the remaining 24 participants through corroborative histories and public health unit case investigations.</w:t>
      </w:r>
    </w:p>
    <w:p w14:paraId="260081C8" w14:textId="77777777" w:rsidR="00186703" w:rsidRPr="00145700" w:rsidRDefault="00186703" w:rsidP="00145700">
      <w:pPr>
        <w:pStyle w:val="Heading2"/>
      </w:pPr>
      <w:r w:rsidRPr="00145700">
        <w:t>Results</w:t>
      </w:r>
    </w:p>
    <w:p w14:paraId="7C7F9737" w14:textId="77777777" w:rsidR="00186703" w:rsidRDefault="00186703" w:rsidP="00145700">
      <w:r>
        <w:t>COVID-19 was identified in 56% of attendees (23/41), with illness onset between 21 March and 2 April 2020. One secondary case was identified in a household contact of an attendee. The median age of cases was 31 years (range 3–64). One case was hospitalised and did not require critical care. There were no deaths. No cases occurred among six attendees who left prior to the actual wedding day. Guests attended multiple events and participated in high-risk transmission behaviours such as shaking hands, kissing, dancing, sharing drinks and sharing shisha (water pipes). Attack rates ranged from 64% to 87% for different exposures. We could not identify a single risk exposure that accounted for all cases; it is therefore likely there were multiple episodes of transmission.</w:t>
      </w:r>
    </w:p>
    <w:p w14:paraId="45D916B6" w14:textId="77777777" w:rsidR="00186703" w:rsidRPr="00145700" w:rsidRDefault="00186703" w:rsidP="00145700">
      <w:pPr>
        <w:pStyle w:val="Heading2"/>
      </w:pPr>
      <w:r w:rsidRPr="00145700">
        <w:t>Conclusion</w:t>
      </w:r>
    </w:p>
    <w:p w14:paraId="3449162A" w14:textId="77777777" w:rsidR="00186703" w:rsidRDefault="00186703" w:rsidP="00145700">
      <w:r>
        <w:t>Our investigation identified a high attack rate of COVID-19 among a cohort of wedding event attendees. Attendees engaged in close physical contact, shared drinks and shisha, and were in close proximity during the wedding events, which may have contributed to the high attack rate. This outbreak highlights the significant role social events can play in transmission of COVID-19 and underscores why it is important to limit gatherings and close physical contact to control the spread of the virus.</w:t>
      </w:r>
    </w:p>
    <w:p w14:paraId="72E41F1F" w14:textId="77777777" w:rsidR="00186703" w:rsidRDefault="00186703" w:rsidP="00145700">
      <w:r>
        <w:t>Keywords: Smoking, shisha, SARS virus, risk factors, Indonesia, coronavirus disease 2019 (COVID-19</w:t>
      </w:r>
      <w:r w:rsidR="00F96098">
        <w:t>),</w:t>
      </w:r>
      <w:r>
        <w:t xml:space="preserve"> Australia, public health, severe acute respiratory syndrome coronavirus 2 (SARS-CoV-2), outbreak</w:t>
      </w:r>
    </w:p>
    <w:p w14:paraId="348AEE9C" w14:textId="77777777" w:rsidR="00186703" w:rsidRPr="00145700" w:rsidRDefault="00186703" w:rsidP="00145700">
      <w:pPr>
        <w:pStyle w:val="Heading1"/>
      </w:pPr>
      <w:r w:rsidRPr="00145700">
        <w:t>Introduction</w:t>
      </w:r>
    </w:p>
    <w:p w14:paraId="50F0A45F" w14:textId="77777777" w:rsidR="00186703" w:rsidRDefault="00186703" w:rsidP="00145700">
      <w:r>
        <w:t>Severe acute respiratory syndrome coronavirus 2 (SARS-CoV-2), first identified in Wuhan, China in December 2019, has resulted in a pandemic of the associated disease, coronavirus disease 2019 (COVID-19).</w:t>
      </w:r>
      <w:r>
        <w:rPr>
          <w:vertAlign w:val="superscript"/>
        </w:rPr>
        <w:t>1</w:t>
      </w:r>
      <w:r>
        <w:t xml:space="preserve"> Accumulating evidence suggests that large social events such as weddings,</w:t>
      </w:r>
      <w:r>
        <w:rPr>
          <w:vertAlign w:val="superscript"/>
        </w:rPr>
        <w:t>2</w:t>
      </w:r>
      <w:r>
        <w:t xml:space="preserve"> church services,</w:t>
      </w:r>
      <w:r>
        <w:rPr>
          <w:vertAlign w:val="superscript"/>
        </w:rPr>
        <w:t>3</w:t>
      </w:r>
      <w:r>
        <w:t xml:space="preserve"> and choir practices</w:t>
      </w:r>
      <w:r>
        <w:rPr>
          <w:vertAlign w:val="superscript"/>
        </w:rPr>
        <w:t>4</w:t>
      </w:r>
      <w:r>
        <w:t xml:space="preserve"> are implicated in the spread of SARS-CoV-2; however, public health agencies are still learning about transmission dynamics and epidemiological features.</w:t>
      </w:r>
    </w:p>
    <w:p w14:paraId="3ADEB837" w14:textId="77777777" w:rsidR="00186703" w:rsidRDefault="00186703" w:rsidP="00145700">
      <w:r>
        <w:lastRenderedPageBreak/>
        <w:t>On 24 March 2020, we were notified of a confirmed COVID-19 case in an Australian resident who had recently attended a wedding in Bali, Indonesia. Investigations by health departments in other Australian states and territories identified a cluster of cases amongst attendees of the same wedding. Early case interviews revealed that attendees stayed in close proximity and socialised together before and after the wedding day, thus providing multiple opportunities for SARS-CoV-2 transmission.</w:t>
      </w:r>
    </w:p>
    <w:p w14:paraId="0D4DD872" w14:textId="77777777" w:rsidR="00186703" w:rsidRDefault="00186703" w:rsidP="00145700">
      <w:r>
        <w:t>We conducted a retrospective cohort study of the 41 attendees of the wedding events. The report examines the risk factors associated with transmission at the wedding events.</w:t>
      </w:r>
    </w:p>
    <w:p w14:paraId="7E75454F" w14:textId="77777777" w:rsidR="00186703" w:rsidRPr="00145700" w:rsidRDefault="00186703" w:rsidP="00145700">
      <w:pPr>
        <w:pStyle w:val="Heading2"/>
      </w:pPr>
      <w:r w:rsidRPr="00145700">
        <w:t>Methods</w:t>
      </w:r>
    </w:p>
    <w:p w14:paraId="73F0D4DE" w14:textId="77777777" w:rsidR="00186703" w:rsidRPr="00145700" w:rsidRDefault="00186703" w:rsidP="00145700">
      <w:pPr>
        <w:pStyle w:val="Heading3"/>
      </w:pPr>
      <w:r w:rsidRPr="00145700">
        <w:t>Study design</w:t>
      </w:r>
    </w:p>
    <w:p w14:paraId="79233B83" w14:textId="77777777" w:rsidR="00186703" w:rsidRDefault="00186703" w:rsidP="00145700">
      <w:r>
        <w:t>We conducted a retrospective cohort study of attendees who participated in at least one event that was (a) associated with the wedding and (b) took place during 15– 21 March in Bali. All attendees were non-residents of Bali, Indonesia, and travelled only to attend the wedding events.</w:t>
      </w:r>
    </w:p>
    <w:p w14:paraId="57AEFBF6" w14:textId="77777777" w:rsidR="00186703" w:rsidRDefault="00186703" w:rsidP="00145700">
      <w:r>
        <w:t xml:space="preserve">Semi-structured, hypothesis-generating interviews were conducted via telephone with a subset of four attendees. A structured questionnaire was designed using the </w:t>
      </w:r>
      <w:r w:rsidRPr="00A500B9">
        <w:rPr>
          <w:rStyle w:val="Emphasis"/>
          <w:b w:val="0"/>
        </w:rPr>
        <w:t>OzFoodNet</w:t>
      </w:r>
      <w:r>
        <w:t xml:space="preserve"> salmonella and NSW Health COVID-19 case questionnaires,</w:t>
      </w:r>
      <w:r>
        <w:rPr>
          <w:vertAlign w:val="superscript"/>
        </w:rPr>
        <w:t>5,6</w:t>
      </w:r>
      <w:r>
        <w:t xml:space="preserve"> informed by the initial public health case investigation and aforementioned hypothesis-generating interviews. Questions encompassed: demographic information; history and duration of illness; event attendance; potential risk activities; and protective behaviours, such as handwashing.</w:t>
      </w:r>
    </w:p>
    <w:p w14:paraId="6F04F171" w14:textId="77777777" w:rsidR="00186703" w:rsidRDefault="00186703" w:rsidP="00145700">
      <w:r>
        <w:t xml:space="preserve">Respondents either were interviewed via telephone or completed an online questionnaire. Study data was collected and managed using </w:t>
      </w:r>
      <w:proofErr w:type="spellStart"/>
      <w:r>
        <w:t>REDCap</w:t>
      </w:r>
      <w:proofErr w:type="spellEnd"/>
      <w:r>
        <w:t xml:space="preserve"> electronic data capture tools hosted at Hunter New England Health.</w:t>
      </w:r>
      <w:r>
        <w:rPr>
          <w:vertAlign w:val="superscript"/>
        </w:rPr>
        <w:t>7</w:t>
      </w:r>
      <w:r>
        <w:t xml:space="preserve"> Information on attendees who were unable to be interviewed was obtained from initial case investigations; from contact tracing interviews; and from attendees whom we were able to contact, through corroborative histories. Public health units actively monitored all close contacts for symptoms of COVID-19, and they were tested if they became symptomatic.</w:t>
      </w:r>
    </w:p>
    <w:p w14:paraId="2BAF7D87" w14:textId="77777777" w:rsidR="00186703" w:rsidRPr="00F317CB" w:rsidRDefault="00186703" w:rsidP="00F317CB">
      <w:pPr>
        <w:pStyle w:val="Heading3"/>
      </w:pPr>
      <w:r w:rsidRPr="00F317CB">
        <w:t>Case definition</w:t>
      </w:r>
    </w:p>
    <w:p w14:paraId="066F7917" w14:textId="77777777" w:rsidR="00186703" w:rsidRDefault="00186703" w:rsidP="00F317CB">
      <w:r>
        <w:t>We defined a primary case as any person who attended the wedding events in Bali Indonesia during 15– 21 March 2020 and who tested positive to a SARS-CoV-2 real-time reverse transcription-polymerase chain reaction (RT-PCR) assay within 14 days of 21 March 2020 (the upper limit of one incubation period for COVID-19).</w:t>
      </w:r>
      <w:r>
        <w:rPr>
          <w:vertAlign w:val="superscript"/>
        </w:rPr>
        <w:t>8</w:t>
      </w:r>
      <w:r>
        <w:t xml:space="preserve"> A secondary case was defined as any person who tested positive on SARS-CoV-2 RT PCR assay after the 14 day period and who was a close contact of a COVID-19 case from the wedding events. A close contact was defined as face-to-face contact for greater than 15 minutes cumulative in the period extending from 48 hours before onset of symptoms in a confirmed case; or sharing of a closed space with a confirmed case for a prolonged period of time in the period extending from 48 hours before onset of symptoms in a confirmed case.</w:t>
      </w:r>
      <w:r>
        <w:rPr>
          <w:vertAlign w:val="superscript"/>
        </w:rPr>
        <w:t>9</w:t>
      </w:r>
      <w:r>
        <w:t xml:space="preserve"> </w:t>
      </w:r>
    </w:p>
    <w:p w14:paraId="7D85210C" w14:textId="77777777" w:rsidR="00186703" w:rsidRPr="00F317CB" w:rsidRDefault="00186703" w:rsidP="00F317CB">
      <w:pPr>
        <w:pStyle w:val="Heading3"/>
      </w:pPr>
      <w:r w:rsidRPr="00F317CB">
        <w:t>Data analysis</w:t>
      </w:r>
    </w:p>
    <w:p w14:paraId="7751C450" w14:textId="77777777" w:rsidR="00186703" w:rsidRDefault="00186703" w:rsidP="00F317CB">
      <w:r>
        <w:t>We conducted data analysis using Stata version 13 (</w:t>
      </w:r>
      <w:proofErr w:type="spellStart"/>
      <w:r>
        <w:t>Statacorp</w:t>
      </w:r>
      <w:proofErr w:type="spellEnd"/>
      <w:r>
        <w:t>., USA). We calculated proportions and attack rates (AR). We performed univariate analysis to calculate relative risks (RR), risk difference (RD) and associated 95% confidence intervals (CI) to examine associations between event attendance or activities and subsequent SARS-CoV-2 infection.</w:t>
      </w:r>
    </w:p>
    <w:p w14:paraId="16E5341D" w14:textId="77777777" w:rsidR="00186703" w:rsidRPr="00F317CB" w:rsidRDefault="00186703" w:rsidP="00F317CB">
      <w:pPr>
        <w:pStyle w:val="Heading3"/>
      </w:pPr>
      <w:r w:rsidRPr="00F317CB">
        <w:t>Ethical considerations</w:t>
      </w:r>
    </w:p>
    <w:p w14:paraId="720D0A88" w14:textId="77777777" w:rsidR="00186703" w:rsidRDefault="00186703" w:rsidP="00F317CB">
      <w:r>
        <w:t xml:space="preserve">The investigation was undertaken as part of the public health emergency response under the </w:t>
      </w:r>
      <w:r w:rsidRPr="00A500B9">
        <w:rPr>
          <w:rStyle w:val="Emphasis"/>
          <w:b w:val="0"/>
        </w:rPr>
        <w:t>NSW Public Health Act 2010</w:t>
      </w:r>
      <w:r w:rsidR="00C0171F">
        <w:t>;</w:t>
      </w:r>
      <w:r>
        <w:rPr>
          <w:vertAlign w:val="superscript"/>
        </w:rPr>
        <w:t>10</w:t>
      </w:r>
      <w:r>
        <w:t xml:space="preserve"> therefore, ethics approval was not required. Informed consent was obtained from all participants prior to interviews. Permission was granted from relevant jurisdictions for use of case data collected by public health </w:t>
      </w:r>
      <w:r>
        <w:lastRenderedPageBreak/>
        <w:t>units. The Australian National University Human Research Ethics Committee (Protocol 2017/909) has a standing approval for outbreak investigations involving staff and students.</w:t>
      </w:r>
    </w:p>
    <w:p w14:paraId="795A06FA" w14:textId="77777777" w:rsidR="00186703" w:rsidRPr="00F317CB" w:rsidRDefault="00186703" w:rsidP="00F317CB">
      <w:pPr>
        <w:pStyle w:val="Heading3"/>
      </w:pPr>
      <w:r w:rsidRPr="00F317CB">
        <w:t>Results</w:t>
      </w:r>
    </w:p>
    <w:p w14:paraId="0DCAA387" w14:textId="77777777" w:rsidR="00186703" w:rsidRDefault="00186703" w:rsidP="00F317CB">
      <w:r>
        <w:t>A total of 41 people attended wedding events from 15 to 21 March 2020, with guest attendance varying for each of the seven events. Among the attendees, 56% (23/41) met the primary outbreak case definition. There was one secondary case in a household contact of a primary case, after that case had returned to Australia. None of the six guests who left Bali the day prior to the wedding day contracted COVID-19. All attendees who returned to Australia after 15 March 2020 were required to u</w:t>
      </w:r>
      <w:r w:rsidR="00C0171F">
        <w:t>ndertake 14 days of quarantine.</w:t>
      </w:r>
      <w:r>
        <w:rPr>
          <w:vertAlign w:val="superscript"/>
        </w:rPr>
        <w:t>11</w:t>
      </w:r>
      <w:r>
        <w:t xml:space="preserve"> </w:t>
      </w:r>
    </w:p>
    <w:p w14:paraId="31F02B84" w14:textId="77777777" w:rsidR="00186703" w:rsidRDefault="00186703" w:rsidP="00F317CB">
      <w:r>
        <w:t>The majority of attendees (78%, 32/41) were aged 20–39 years; 75% of cases (18/24) were in this age group. The median age of cases was 31 years (range 3–64 years), which was similar to non-cases at 30 years (range 3–71 years). There was no difference in attack rates between males and females.</w:t>
      </w:r>
    </w:p>
    <w:p w14:paraId="65C226A4" w14:textId="77777777" w:rsidR="00186703" w:rsidRDefault="00186703" w:rsidP="00F317CB">
      <w:r>
        <w:t>Demographic and limited exposure information was available for 41 attendees. Seventeen attendees (11 cases and 6 non-cases) participated in the study interview (14 attendees) or online questionnaire (3 attendees). Varying symptom data were available for the 12 of the remaining 13 cases, from public health unit case investigation forms. Of the cases, 83% (19/23) reported cough, 80% (16/20) chills/rigors, 77% (10/13) loss of taste, 70% (10/13) loss of smell, 70% (16/23) headache, and 52% (12/23) fatigue (Table 1).</w:t>
      </w:r>
    </w:p>
    <w:p w14:paraId="64514A8D" w14:textId="77777777" w:rsidR="00186703" w:rsidRDefault="00186703" w:rsidP="00F317CB">
      <w:pPr>
        <w:pStyle w:val="CDIFigures"/>
      </w:pPr>
      <w:r>
        <w:t xml:space="preserve">Table 1: Symptom profile of 23 confirmed </w:t>
      </w:r>
      <w:proofErr w:type="spellStart"/>
      <w:r>
        <w:t>cases</w:t>
      </w:r>
      <w:r w:rsidRPr="00C0171F">
        <w:rPr>
          <w:vertAlign w:val="superscript"/>
        </w:rPr>
        <w:t>a</w:t>
      </w:r>
      <w:proofErr w:type="spellEnd"/>
      <w:r>
        <w:t xml:space="preserve"> of COVID-19 among attendees of the wedding event, Bali, 15–21 March 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shows the symptom profile of 23 confirmed cases of COVID-19 among attendees of a wedding, Bali, 15–21 March 2020 with frequency and percentages. The symptoms include cough, chills/rigors, loss of taste, headache, loss of smell, fatigue, fever, arthralgia or myalgia, sore throat, rhinorrhoea, shortness of breath, diarrhoea, chest pain, vomiting, and diagnosed with pneumonia. &#10;"/>
      </w:tblPr>
      <w:tblGrid>
        <w:gridCol w:w="6237"/>
        <w:gridCol w:w="2127"/>
        <w:gridCol w:w="1848"/>
      </w:tblGrid>
      <w:tr w:rsidR="00047701" w:rsidRPr="00047701" w14:paraId="1B57CE98" w14:textId="77777777" w:rsidTr="00047701">
        <w:trPr>
          <w:cnfStyle w:val="100000000000" w:firstRow="1" w:lastRow="0" w:firstColumn="0" w:lastColumn="0" w:oddVBand="0" w:evenVBand="0" w:oddHBand="0" w:evenHBand="0" w:firstRowFirstColumn="0" w:firstRowLastColumn="0" w:lastRowFirstColumn="0" w:lastRowLastColumn="0"/>
          <w:tblHeader/>
        </w:trPr>
        <w:tc>
          <w:tcPr>
            <w:tcW w:w="6237" w:type="dxa"/>
            <w:hideMark/>
          </w:tcPr>
          <w:p w14:paraId="1DA5EF6C" w14:textId="77777777" w:rsidR="00186703" w:rsidRPr="00047701" w:rsidRDefault="00186703">
            <w:pPr>
              <w:pStyle w:val="NormalWeb"/>
              <w:rPr>
                <w:color w:val="FFFFFF" w:themeColor="background1"/>
              </w:rPr>
            </w:pPr>
            <w:r w:rsidRPr="00047701">
              <w:rPr>
                <w:color w:val="FFFFFF" w:themeColor="background1"/>
              </w:rPr>
              <w:t>Symptom</w:t>
            </w:r>
          </w:p>
        </w:tc>
        <w:tc>
          <w:tcPr>
            <w:tcW w:w="2127" w:type="dxa"/>
            <w:hideMark/>
          </w:tcPr>
          <w:p w14:paraId="01DEC0CE" w14:textId="77777777" w:rsidR="00186703" w:rsidRPr="00047701" w:rsidRDefault="00186703" w:rsidP="00047701">
            <w:pPr>
              <w:pStyle w:val="NormalWeb"/>
              <w:jc w:val="center"/>
              <w:rPr>
                <w:color w:val="FFFFFF" w:themeColor="background1"/>
              </w:rPr>
            </w:pPr>
            <w:r w:rsidRPr="00047701">
              <w:rPr>
                <w:color w:val="FFFFFF" w:themeColor="background1"/>
              </w:rPr>
              <w:t>Frequency</w:t>
            </w:r>
          </w:p>
        </w:tc>
        <w:tc>
          <w:tcPr>
            <w:tcW w:w="1848" w:type="dxa"/>
            <w:hideMark/>
          </w:tcPr>
          <w:p w14:paraId="599745A6" w14:textId="77777777" w:rsidR="00186703" w:rsidRPr="00047701" w:rsidRDefault="00186703" w:rsidP="00047701">
            <w:pPr>
              <w:pStyle w:val="NormalWeb"/>
              <w:jc w:val="center"/>
              <w:rPr>
                <w:color w:val="FFFFFF" w:themeColor="background1"/>
              </w:rPr>
            </w:pPr>
            <w:r w:rsidRPr="00047701">
              <w:rPr>
                <w:color w:val="FFFFFF" w:themeColor="background1"/>
              </w:rPr>
              <w:t>Percent (%)</w:t>
            </w:r>
          </w:p>
        </w:tc>
      </w:tr>
      <w:tr w:rsidR="00186703" w14:paraId="5A47EC20" w14:textId="77777777" w:rsidTr="00047701">
        <w:tc>
          <w:tcPr>
            <w:tcW w:w="6237" w:type="dxa"/>
            <w:hideMark/>
          </w:tcPr>
          <w:p w14:paraId="129D6D2C" w14:textId="77777777" w:rsidR="00186703" w:rsidRDefault="00186703">
            <w:pPr>
              <w:pStyle w:val="NormalWeb"/>
            </w:pPr>
            <w:r>
              <w:t>Cough</w:t>
            </w:r>
          </w:p>
        </w:tc>
        <w:tc>
          <w:tcPr>
            <w:tcW w:w="2127" w:type="dxa"/>
            <w:hideMark/>
          </w:tcPr>
          <w:p w14:paraId="3C71DD31" w14:textId="77777777" w:rsidR="00186703" w:rsidRDefault="00186703" w:rsidP="00047701">
            <w:pPr>
              <w:pStyle w:val="NormalWeb"/>
              <w:jc w:val="center"/>
            </w:pPr>
            <w:r>
              <w:t>19/23</w:t>
            </w:r>
          </w:p>
        </w:tc>
        <w:tc>
          <w:tcPr>
            <w:tcW w:w="1848" w:type="dxa"/>
            <w:hideMark/>
          </w:tcPr>
          <w:p w14:paraId="773F8115" w14:textId="77777777" w:rsidR="00186703" w:rsidRDefault="00186703" w:rsidP="00047701">
            <w:pPr>
              <w:pStyle w:val="NormalWeb"/>
              <w:jc w:val="center"/>
            </w:pPr>
            <w:r>
              <w:t>83</w:t>
            </w:r>
          </w:p>
        </w:tc>
      </w:tr>
      <w:tr w:rsidR="00186703" w14:paraId="330368CA"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143A7E3D" w14:textId="77777777" w:rsidR="00186703" w:rsidRDefault="00186703">
            <w:pPr>
              <w:pStyle w:val="NormalWeb"/>
            </w:pPr>
            <w:r>
              <w:t>Chills/rigors</w:t>
            </w:r>
          </w:p>
        </w:tc>
        <w:tc>
          <w:tcPr>
            <w:tcW w:w="2127" w:type="dxa"/>
            <w:hideMark/>
          </w:tcPr>
          <w:p w14:paraId="2309B23E" w14:textId="77777777" w:rsidR="00186703" w:rsidRDefault="00186703" w:rsidP="00047701">
            <w:pPr>
              <w:pStyle w:val="NormalWeb"/>
              <w:jc w:val="center"/>
            </w:pPr>
            <w:r>
              <w:t>16/20</w:t>
            </w:r>
          </w:p>
        </w:tc>
        <w:tc>
          <w:tcPr>
            <w:tcW w:w="1848" w:type="dxa"/>
            <w:hideMark/>
          </w:tcPr>
          <w:p w14:paraId="4607C452" w14:textId="77777777" w:rsidR="00186703" w:rsidRDefault="00186703" w:rsidP="00047701">
            <w:pPr>
              <w:pStyle w:val="NormalWeb"/>
              <w:jc w:val="center"/>
            </w:pPr>
            <w:r>
              <w:t>80</w:t>
            </w:r>
          </w:p>
        </w:tc>
      </w:tr>
      <w:tr w:rsidR="00186703" w14:paraId="68D147A3" w14:textId="77777777" w:rsidTr="00047701">
        <w:tc>
          <w:tcPr>
            <w:tcW w:w="6237" w:type="dxa"/>
            <w:hideMark/>
          </w:tcPr>
          <w:p w14:paraId="24D7CF8C" w14:textId="77777777" w:rsidR="00186703" w:rsidRDefault="00186703">
            <w:pPr>
              <w:pStyle w:val="NormalWeb"/>
            </w:pPr>
            <w:r>
              <w:t>Loss of taste</w:t>
            </w:r>
          </w:p>
        </w:tc>
        <w:tc>
          <w:tcPr>
            <w:tcW w:w="2127" w:type="dxa"/>
            <w:hideMark/>
          </w:tcPr>
          <w:p w14:paraId="0641F040" w14:textId="77777777" w:rsidR="00186703" w:rsidRDefault="00186703" w:rsidP="00047701">
            <w:pPr>
              <w:pStyle w:val="NormalWeb"/>
              <w:jc w:val="center"/>
            </w:pPr>
            <w:r>
              <w:t>10/13</w:t>
            </w:r>
          </w:p>
        </w:tc>
        <w:tc>
          <w:tcPr>
            <w:tcW w:w="1848" w:type="dxa"/>
            <w:hideMark/>
          </w:tcPr>
          <w:p w14:paraId="2AAA782E" w14:textId="77777777" w:rsidR="00186703" w:rsidRDefault="00186703" w:rsidP="00047701">
            <w:pPr>
              <w:pStyle w:val="NormalWeb"/>
              <w:jc w:val="center"/>
            </w:pPr>
            <w:r>
              <w:t>77</w:t>
            </w:r>
          </w:p>
        </w:tc>
      </w:tr>
      <w:tr w:rsidR="00186703" w14:paraId="16274862"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3FB62AA1" w14:textId="77777777" w:rsidR="00186703" w:rsidRDefault="00186703">
            <w:pPr>
              <w:pStyle w:val="NormalWeb"/>
            </w:pPr>
            <w:r>
              <w:t>Headache</w:t>
            </w:r>
          </w:p>
        </w:tc>
        <w:tc>
          <w:tcPr>
            <w:tcW w:w="2127" w:type="dxa"/>
            <w:hideMark/>
          </w:tcPr>
          <w:p w14:paraId="4A8E4A57" w14:textId="77777777" w:rsidR="00186703" w:rsidRDefault="00186703" w:rsidP="00047701">
            <w:pPr>
              <w:pStyle w:val="NormalWeb"/>
              <w:jc w:val="center"/>
            </w:pPr>
            <w:r>
              <w:t>16/23</w:t>
            </w:r>
          </w:p>
        </w:tc>
        <w:tc>
          <w:tcPr>
            <w:tcW w:w="1848" w:type="dxa"/>
            <w:hideMark/>
          </w:tcPr>
          <w:p w14:paraId="4FC6BC01" w14:textId="77777777" w:rsidR="00186703" w:rsidRDefault="00186703" w:rsidP="00047701">
            <w:pPr>
              <w:pStyle w:val="NormalWeb"/>
              <w:jc w:val="center"/>
            </w:pPr>
            <w:r>
              <w:t>70</w:t>
            </w:r>
          </w:p>
        </w:tc>
      </w:tr>
      <w:tr w:rsidR="00186703" w14:paraId="348D4913" w14:textId="77777777" w:rsidTr="00047701">
        <w:tc>
          <w:tcPr>
            <w:tcW w:w="6237" w:type="dxa"/>
            <w:hideMark/>
          </w:tcPr>
          <w:p w14:paraId="7C109F28" w14:textId="77777777" w:rsidR="00186703" w:rsidRDefault="00186703">
            <w:pPr>
              <w:pStyle w:val="NormalWeb"/>
            </w:pPr>
            <w:r>
              <w:t>Loss of smell</w:t>
            </w:r>
          </w:p>
        </w:tc>
        <w:tc>
          <w:tcPr>
            <w:tcW w:w="2127" w:type="dxa"/>
            <w:hideMark/>
          </w:tcPr>
          <w:p w14:paraId="24B6AD48" w14:textId="77777777" w:rsidR="00186703" w:rsidRDefault="00186703" w:rsidP="00047701">
            <w:pPr>
              <w:pStyle w:val="NormalWeb"/>
              <w:jc w:val="center"/>
            </w:pPr>
            <w:r>
              <w:t>9/13</w:t>
            </w:r>
          </w:p>
        </w:tc>
        <w:tc>
          <w:tcPr>
            <w:tcW w:w="1848" w:type="dxa"/>
            <w:hideMark/>
          </w:tcPr>
          <w:p w14:paraId="0F225E6E" w14:textId="77777777" w:rsidR="00186703" w:rsidRDefault="00186703" w:rsidP="00047701">
            <w:pPr>
              <w:pStyle w:val="NormalWeb"/>
              <w:jc w:val="center"/>
            </w:pPr>
            <w:r>
              <w:t>70</w:t>
            </w:r>
          </w:p>
        </w:tc>
      </w:tr>
      <w:tr w:rsidR="00186703" w14:paraId="056C4F41"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2B3930B3" w14:textId="77777777" w:rsidR="00186703" w:rsidRDefault="00186703">
            <w:pPr>
              <w:pStyle w:val="NormalWeb"/>
            </w:pPr>
            <w:r>
              <w:t>Fatigue</w:t>
            </w:r>
          </w:p>
        </w:tc>
        <w:tc>
          <w:tcPr>
            <w:tcW w:w="2127" w:type="dxa"/>
            <w:hideMark/>
          </w:tcPr>
          <w:p w14:paraId="4C0E11DA" w14:textId="77777777" w:rsidR="00186703" w:rsidRDefault="00186703" w:rsidP="00047701">
            <w:pPr>
              <w:pStyle w:val="NormalWeb"/>
              <w:jc w:val="center"/>
            </w:pPr>
            <w:r>
              <w:t>14/20</w:t>
            </w:r>
          </w:p>
        </w:tc>
        <w:tc>
          <w:tcPr>
            <w:tcW w:w="1848" w:type="dxa"/>
            <w:hideMark/>
          </w:tcPr>
          <w:p w14:paraId="52CFB555" w14:textId="77777777" w:rsidR="00186703" w:rsidRDefault="00186703" w:rsidP="00047701">
            <w:pPr>
              <w:pStyle w:val="NormalWeb"/>
              <w:jc w:val="center"/>
            </w:pPr>
            <w:r>
              <w:t>70</w:t>
            </w:r>
          </w:p>
        </w:tc>
      </w:tr>
      <w:tr w:rsidR="00186703" w14:paraId="4B13E34B" w14:textId="77777777" w:rsidTr="00047701">
        <w:tc>
          <w:tcPr>
            <w:tcW w:w="6237" w:type="dxa"/>
            <w:hideMark/>
          </w:tcPr>
          <w:p w14:paraId="27292E22" w14:textId="77777777" w:rsidR="00186703" w:rsidRDefault="00186703">
            <w:pPr>
              <w:pStyle w:val="NormalWeb"/>
            </w:pPr>
            <w:r>
              <w:t>Fever</w:t>
            </w:r>
          </w:p>
        </w:tc>
        <w:tc>
          <w:tcPr>
            <w:tcW w:w="2127" w:type="dxa"/>
            <w:hideMark/>
          </w:tcPr>
          <w:p w14:paraId="71DB86B2" w14:textId="77777777" w:rsidR="00186703" w:rsidRDefault="00186703" w:rsidP="00047701">
            <w:pPr>
              <w:pStyle w:val="NormalWeb"/>
              <w:jc w:val="center"/>
            </w:pPr>
            <w:r>
              <w:t>12/23</w:t>
            </w:r>
          </w:p>
        </w:tc>
        <w:tc>
          <w:tcPr>
            <w:tcW w:w="1848" w:type="dxa"/>
            <w:hideMark/>
          </w:tcPr>
          <w:p w14:paraId="0DCB4B49" w14:textId="77777777" w:rsidR="00186703" w:rsidRDefault="00186703" w:rsidP="00047701">
            <w:pPr>
              <w:pStyle w:val="NormalWeb"/>
              <w:jc w:val="center"/>
            </w:pPr>
            <w:r>
              <w:t>52</w:t>
            </w:r>
          </w:p>
        </w:tc>
      </w:tr>
      <w:tr w:rsidR="00186703" w14:paraId="4DC8975B"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5503A1CA" w14:textId="77777777" w:rsidR="00186703" w:rsidRDefault="00186703">
            <w:pPr>
              <w:pStyle w:val="NormalWeb"/>
            </w:pPr>
            <w:r>
              <w:t>Arthralgia or myalgia</w:t>
            </w:r>
          </w:p>
        </w:tc>
        <w:tc>
          <w:tcPr>
            <w:tcW w:w="2127" w:type="dxa"/>
            <w:hideMark/>
          </w:tcPr>
          <w:p w14:paraId="0762B1A8" w14:textId="77777777" w:rsidR="00186703" w:rsidRDefault="00186703" w:rsidP="00047701">
            <w:pPr>
              <w:pStyle w:val="NormalWeb"/>
              <w:jc w:val="center"/>
            </w:pPr>
            <w:r>
              <w:t>10/23</w:t>
            </w:r>
          </w:p>
        </w:tc>
        <w:tc>
          <w:tcPr>
            <w:tcW w:w="1848" w:type="dxa"/>
            <w:hideMark/>
          </w:tcPr>
          <w:p w14:paraId="70462364" w14:textId="77777777" w:rsidR="00186703" w:rsidRDefault="00186703" w:rsidP="00047701">
            <w:pPr>
              <w:pStyle w:val="NormalWeb"/>
              <w:jc w:val="center"/>
            </w:pPr>
            <w:r>
              <w:t>44</w:t>
            </w:r>
          </w:p>
        </w:tc>
      </w:tr>
      <w:tr w:rsidR="00186703" w14:paraId="1D7A9631" w14:textId="77777777" w:rsidTr="00047701">
        <w:tc>
          <w:tcPr>
            <w:tcW w:w="6237" w:type="dxa"/>
            <w:hideMark/>
          </w:tcPr>
          <w:p w14:paraId="23636AC8" w14:textId="77777777" w:rsidR="00186703" w:rsidRDefault="00186703">
            <w:pPr>
              <w:pStyle w:val="NormalWeb"/>
            </w:pPr>
            <w:r>
              <w:t>Sore throat</w:t>
            </w:r>
          </w:p>
        </w:tc>
        <w:tc>
          <w:tcPr>
            <w:tcW w:w="2127" w:type="dxa"/>
            <w:hideMark/>
          </w:tcPr>
          <w:p w14:paraId="380443A3" w14:textId="77777777" w:rsidR="00186703" w:rsidRDefault="00186703" w:rsidP="00047701">
            <w:pPr>
              <w:pStyle w:val="NormalWeb"/>
              <w:jc w:val="center"/>
            </w:pPr>
            <w:r>
              <w:t>9/23</w:t>
            </w:r>
          </w:p>
        </w:tc>
        <w:tc>
          <w:tcPr>
            <w:tcW w:w="1848" w:type="dxa"/>
            <w:hideMark/>
          </w:tcPr>
          <w:p w14:paraId="16A39AE9" w14:textId="77777777" w:rsidR="00186703" w:rsidRDefault="00186703" w:rsidP="00047701">
            <w:pPr>
              <w:pStyle w:val="NormalWeb"/>
              <w:jc w:val="center"/>
            </w:pPr>
            <w:r>
              <w:t>39</w:t>
            </w:r>
          </w:p>
        </w:tc>
      </w:tr>
      <w:tr w:rsidR="00186703" w14:paraId="15A4ACE7"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02E09C76" w14:textId="77777777" w:rsidR="00186703" w:rsidRDefault="00186703">
            <w:pPr>
              <w:pStyle w:val="NormalWeb"/>
            </w:pPr>
            <w:r>
              <w:t>Rhinorrhoea</w:t>
            </w:r>
          </w:p>
        </w:tc>
        <w:tc>
          <w:tcPr>
            <w:tcW w:w="2127" w:type="dxa"/>
            <w:hideMark/>
          </w:tcPr>
          <w:p w14:paraId="7DDF195B" w14:textId="77777777" w:rsidR="00186703" w:rsidRDefault="00186703" w:rsidP="00047701">
            <w:pPr>
              <w:pStyle w:val="NormalWeb"/>
              <w:jc w:val="center"/>
            </w:pPr>
            <w:r>
              <w:t>7/23</w:t>
            </w:r>
          </w:p>
        </w:tc>
        <w:tc>
          <w:tcPr>
            <w:tcW w:w="1848" w:type="dxa"/>
            <w:hideMark/>
          </w:tcPr>
          <w:p w14:paraId="72DCA4A1" w14:textId="77777777" w:rsidR="00186703" w:rsidRDefault="00186703" w:rsidP="00047701">
            <w:pPr>
              <w:pStyle w:val="NormalWeb"/>
              <w:jc w:val="center"/>
            </w:pPr>
            <w:r>
              <w:t>30</w:t>
            </w:r>
          </w:p>
        </w:tc>
      </w:tr>
      <w:tr w:rsidR="00186703" w14:paraId="6913DC07" w14:textId="77777777" w:rsidTr="00047701">
        <w:tc>
          <w:tcPr>
            <w:tcW w:w="6237" w:type="dxa"/>
            <w:hideMark/>
          </w:tcPr>
          <w:p w14:paraId="6989C97F" w14:textId="77777777" w:rsidR="00186703" w:rsidRDefault="00186703">
            <w:pPr>
              <w:pStyle w:val="NormalWeb"/>
            </w:pPr>
            <w:r>
              <w:t>Shortness of breath</w:t>
            </w:r>
          </w:p>
        </w:tc>
        <w:tc>
          <w:tcPr>
            <w:tcW w:w="2127" w:type="dxa"/>
            <w:hideMark/>
          </w:tcPr>
          <w:p w14:paraId="6603F416" w14:textId="77777777" w:rsidR="00186703" w:rsidRDefault="00186703" w:rsidP="00047701">
            <w:pPr>
              <w:pStyle w:val="NormalWeb"/>
              <w:jc w:val="center"/>
            </w:pPr>
            <w:r>
              <w:t>6/23</w:t>
            </w:r>
          </w:p>
        </w:tc>
        <w:tc>
          <w:tcPr>
            <w:tcW w:w="1848" w:type="dxa"/>
            <w:hideMark/>
          </w:tcPr>
          <w:p w14:paraId="40B7DFDC" w14:textId="77777777" w:rsidR="00186703" w:rsidRDefault="00186703" w:rsidP="00047701">
            <w:pPr>
              <w:pStyle w:val="NormalWeb"/>
              <w:jc w:val="center"/>
            </w:pPr>
            <w:r>
              <w:t>26</w:t>
            </w:r>
          </w:p>
        </w:tc>
      </w:tr>
      <w:tr w:rsidR="00186703" w14:paraId="28F111B1"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39ECE1F8" w14:textId="77777777" w:rsidR="00186703" w:rsidRDefault="00186703">
            <w:pPr>
              <w:pStyle w:val="NormalWeb"/>
            </w:pPr>
            <w:r>
              <w:t>Diarrhoea</w:t>
            </w:r>
          </w:p>
        </w:tc>
        <w:tc>
          <w:tcPr>
            <w:tcW w:w="2127" w:type="dxa"/>
            <w:hideMark/>
          </w:tcPr>
          <w:p w14:paraId="4FA5B05F" w14:textId="77777777" w:rsidR="00186703" w:rsidRDefault="00186703" w:rsidP="00047701">
            <w:pPr>
              <w:pStyle w:val="NormalWeb"/>
              <w:jc w:val="center"/>
            </w:pPr>
            <w:r>
              <w:t>6/23</w:t>
            </w:r>
          </w:p>
        </w:tc>
        <w:tc>
          <w:tcPr>
            <w:tcW w:w="1848" w:type="dxa"/>
            <w:hideMark/>
          </w:tcPr>
          <w:p w14:paraId="226C1F14" w14:textId="77777777" w:rsidR="00186703" w:rsidRDefault="00186703" w:rsidP="00047701">
            <w:pPr>
              <w:pStyle w:val="NormalWeb"/>
              <w:jc w:val="center"/>
            </w:pPr>
            <w:r>
              <w:t>26</w:t>
            </w:r>
          </w:p>
        </w:tc>
      </w:tr>
      <w:tr w:rsidR="00186703" w14:paraId="0F062D74" w14:textId="77777777" w:rsidTr="00047701">
        <w:tc>
          <w:tcPr>
            <w:tcW w:w="6237" w:type="dxa"/>
            <w:hideMark/>
          </w:tcPr>
          <w:p w14:paraId="43407B75" w14:textId="77777777" w:rsidR="00186703" w:rsidRDefault="00186703">
            <w:pPr>
              <w:pStyle w:val="NormalWeb"/>
            </w:pPr>
            <w:r>
              <w:t>Chest pain</w:t>
            </w:r>
          </w:p>
        </w:tc>
        <w:tc>
          <w:tcPr>
            <w:tcW w:w="2127" w:type="dxa"/>
            <w:hideMark/>
          </w:tcPr>
          <w:p w14:paraId="1BCD0E46" w14:textId="77777777" w:rsidR="00186703" w:rsidRDefault="00186703" w:rsidP="00047701">
            <w:pPr>
              <w:pStyle w:val="NormalWeb"/>
              <w:jc w:val="center"/>
            </w:pPr>
            <w:r>
              <w:t>4/23</w:t>
            </w:r>
          </w:p>
        </w:tc>
        <w:tc>
          <w:tcPr>
            <w:tcW w:w="1848" w:type="dxa"/>
            <w:hideMark/>
          </w:tcPr>
          <w:p w14:paraId="24A953F2" w14:textId="77777777" w:rsidR="00186703" w:rsidRDefault="00186703" w:rsidP="00047701">
            <w:pPr>
              <w:pStyle w:val="NormalWeb"/>
              <w:jc w:val="center"/>
            </w:pPr>
            <w:r>
              <w:t>17</w:t>
            </w:r>
          </w:p>
        </w:tc>
      </w:tr>
      <w:tr w:rsidR="00186703" w14:paraId="6D5C333F" w14:textId="77777777" w:rsidTr="00047701">
        <w:trPr>
          <w:cnfStyle w:val="000000010000" w:firstRow="0" w:lastRow="0" w:firstColumn="0" w:lastColumn="0" w:oddVBand="0" w:evenVBand="0" w:oddHBand="0" w:evenHBand="1" w:firstRowFirstColumn="0" w:firstRowLastColumn="0" w:lastRowFirstColumn="0" w:lastRowLastColumn="0"/>
        </w:trPr>
        <w:tc>
          <w:tcPr>
            <w:tcW w:w="6237" w:type="dxa"/>
            <w:hideMark/>
          </w:tcPr>
          <w:p w14:paraId="7B0A7A01" w14:textId="77777777" w:rsidR="00186703" w:rsidRDefault="00186703">
            <w:pPr>
              <w:pStyle w:val="NormalWeb"/>
            </w:pPr>
            <w:r>
              <w:t>Vomiting</w:t>
            </w:r>
          </w:p>
        </w:tc>
        <w:tc>
          <w:tcPr>
            <w:tcW w:w="2127" w:type="dxa"/>
            <w:hideMark/>
          </w:tcPr>
          <w:p w14:paraId="5BF76169" w14:textId="77777777" w:rsidR="00186703" w:rsidRDefault="00186703" w:rsidP="00047701">
            <w:pPr>
              <w:pStyle w:val="NormalWeb"/>
              <w:jc w:val="center"/>
            </w:pPr>
            <w:r>
              <w:t>0/23</w:t>
            </w:r>
          </w:p>
        </w:tc>
        <w:tc>
          <w:tcPr>
            <w:tcW w:w="1848" w:type="dxa"/>
            <w:hideMark/>
          </w:tcPr>
          <w:p w14:paraId="3C60EC76" w14:textId="77777777" w:rsidR="00186703" w:rsidRDefault="00186703" w:rsidP="00047701">
            <w:pPr>
              <w:pStyle w:val="NormalWeb"/>
              <w:jc w:val="center"/>
            </w:pPr>
            <w:r>
              <w:t>0</w:t>
            </w:r>
          </w:p>
        </w:tc>
      </w:tr>
      <w:tr w:rsidR="00186703" w14:paraId="574F9E62" w14:textId="77777777" w:rsidTr="00047701">
        <w:tc>
          <w:tcPr>
            <w:tcW w:w="6237" w:type="dxa"/>
            <w:hideMark/>
          </w:tcPr>
          <w:p w14:paraId="0526E390" w14:textId="77777777" w:rsidR="00186703" w:rsidRDefault="00186703">
            <w:pPr>
              <w:pStyle w:val="NormalWeb"/>
            </w:pPr>
            <w:r>
              <w:t>Diagnosed with pneumonia</w:t>
            </w:r>
          </w:p>
        </w:tc>
        <w:tc>
          <w:tcPr>
            <w:tcW w:w="2127" w:type="dxa"/>
            <w:hideMark/>
          </w:tcPr>
          <w:p w14:paraId="3FF4BF8A" w14:textId="77777777" w:rsidR="00186703" w:rsidRDefault="00186703" w:rsidP="00047701">
            <w:pPr>
              <w:pStyle w:val="NormalWeb"/>
              <w:jc w:val="center"/>
            </w:pPr>
            <w:r>
              <w:t>0/23</w:t>
            </w:r>
          </w:p>
        </w:tc>
        <w:tc>
          <w:tcPr>
            <w:tcW w:w="1848" w:type="dxa"/>
            <w:hideMark/>
          </w:tcPr>
          <w:p w14:paraId="2B64DBC3" w14:textId="77777777" w:rsidR="00186703" w:rsidRDefault="00186703" w:rsidP="00047701">
            <w:pPr>
              <w:pStyle w:val="NormalWeb"/>
              <w:jc w:val="center"/>
            </w:pPr>
            <w:r>
              <w:t>0</w:t>
            </w:r>
          </w:p>
        </w:tc>
      </w:tr>
    </w:tbl>
    <w:p w14:paraId="247BE793" w14:textId="77777777" w:rsidR="00D364E8" w:rsidRDefault="00C0171F" w:rsidP="00C0171F">
      <w:pPr>
        <w:pStyle w:val="CDIfootnotes"/>
      </w:pPr>
      <w:r w:rsidRPr="00C0171F">
        <w:t>a</w:t>
      </w:r>
      <w:r w:rsidRPr="00C0171F">
        <w:tab/>
        <w:t>No clinical symptom information was available for one of the 24 cases.</w:t>
      </w:r>
    </w:p>
    <w:p w14:paraId="406FC14D" w14:textId="77777777" w:rsidR="00D364E8" w:rsidRDefault="00D364E8" w:rsidP="00D364E8">
      <w:r>
        <w:br w:type="page"/>
      </w:r>
    </w:p>
    <w:p w14:paraId="1A578B14" w14:textId="77777777" w:rsidR="00186703" w:rsidRDefault="00186703" w:rsidP="00D364E8">
      <w:pPr>
        <w:pStyle w:val="CDIFigures"/>
      </w:pPr>
      <w:r>
        <w:lastRenderedPageBreak/>
        <w:t>Figure 1: Epidemic curve of COVID-19 cases by onset date at wedding events in Bali, Indonesia, 15–21 March, 2020</w:t>
      </w:r>
    </w:p>
    <w:p w14:paraId="2B7F4B85" w14:textId="77777777" w:rsidR="00186703" w:rsidRDefault="00186703">
      <w:pPr>
        <w:rPr>
          <w:rFonts w:eastAsia="Times New Roman"/>
        </w:rPr>
      </w:pPr>
      <w:r>
        <w:rPr>
          <w:rFonts w:eastAsia="Times New Roman"/>
          <w:noProof/>
        </w:rPr>
        <w:drawing>
          <wp:inline distT="0" distB="0" distL="0" distR="0" wp14:anchorId="1935FA5E" wp14:editId="0073ADD2">
            <wp:extent cx="6664246" cy="4089099"/>
            <wp:effectExtent l="0" t="0" r="3810" b="6985"/>
            <wp:docPr id="2" name="Picture 2" descr="Figure 1 shows an epidemic curve of the date of symptom onset of COVID-19 among attendees of wedding events from 15-21 March 2020. Each event is labelled with the date. Primary and secondary cases are shown, with the highest number of cases developing symptoms on 22 March. &#10;Each event is labelled with the date: Dinner A on 15 March, Dinner B on 16 March, Dinner C on 17 March, Welcome Dinner on 18 March, Dinner D on 19 March, Wedding on 20 March, After-Party on 21 March. The curve also shows when primary and secondary cases developed symptoms. Primary cases developed symptoms on the following days: 4 cases on the 21 March, 5 cases on 22 March, 4 cases on 23 March, 4 cases on 24 March, 2 cases on 25 March, 2 cases on 26 March, 1 case on 30 March and 1 case on 2 April. 1 secondary case developed symptoms on 5 Apr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an epidemic curve of the date of symptom onset of COVID-19 among attendees of wedding events from 15-21 March 2020. Each event is labelled with the date. Primary and secondary cases are shown, with the highest number of cases developing symptoms on 22 March. &#10;Each event is labelled with the date: Dinner A on 15 March, Dinner B on 16 March, Dinner C on 17 March, Welcome Dinner on 18 March, Dinner D on 19 March, Wedding on 20 March, After-Party on 21 March. The curve also shows when primary and secondary cases developed symptoms. Primary cases developed symptoms on the following days: 4 cases on the 21 March, 5 cases on 22 March, 4 cases on 23 March, 4 cases on 24 March, 2 cases on 25 March, 2 cases on 26 March, 1 case on 30 March and 1 case on 2 April. 1 secondary case developed symptoms on 5 April.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87" t="1391" r="1379" b="1243"/>
                    <a:stretch>
                      <a:fillRect/>
                    </a:stretch>
                  </pic:blipFill>
                  <pic:spPr bwMode="auto">
                    <a:xfrm>
                      <a:off x="0" y="0"/>
                      <a:ext cx="6673189" cy="4094586"/>
                    </a:xfrm>
                    <a:prstGeom prst="rect">
                      <a:avLst/>
                    </a:prstGeom>
                    <a:ln>
                      <a:noFill/>
                    </a:ln>
                    <a:extLst>
                      <a:ext uri="{53640926-AAD7-44D8-BBD7-CCE9431645EC}">
                        <a14:shadowObscured xmlns:a14="http://schemas.microsoft.com/office/drawing/2010/main"/>
                      </a:ext>
                    </a:extLst>
                  </pic:spPr>
                </pic:pic>
              </a:graphicData>
            </a:graphic>
          </wp:inline>
        </w:drawing>
      </w:r>
    </w:p>
    <w:p w14:paraId="4D80EB35" w14:textId="77777777" w:rsidR="00186703" w:rsidRDefault="00186703" w:rsidP="00B1707E">
      <w:r>
        <w:t>The median time from onset of any symptom to the onset of loss of taste was 4.5 days (range 1–7), and from any symptom onset to the onset of loss of smell was 4 days (range 1–7). The median duration of illness was 10.5 days (range 3–23 days). One case was hospitalised but did not require critical care, and there were no deaths.</w:t>
      </w:r>
    </w:p>
    <w:p w14:paraId="65CC2B71" w14:textId="77777777" w:rsidR="00186703" w:rsidRDefault="00186703" w:rsidP="00B1707E">
      <w:r>
        <w:t>The estimated attack rates at the different wedding events ranged from 61 to 77% (Table 2). The excess risk for COVID-19 among those who attended the wedding day was 66% (95% CI 50–81%). All attendees participated in activities resulting in potential exposure, such as shaking hands, kissing, dancing, sharing drinks and sharing shisha (smoking water pipes), with estimated attack rates ranging from 64 to 87% (Table 2). Attendees sharing shisha at least once over the wedding events were twice as likely to be cases (RR = 2; 95% CI: 0.99–4.75).</w:t>
      </w:r>
    </w:p>
    <w:p w14:paraId="64AB6A10" w14:textId="77777777" w:rsidR="00EA290C" w:rsidRDefault="00EA290C">
      <w:pPr>
        <w:rPr>
          <w:b/>
        </w:rPr>
      </w:pPr>
      <w:r>
        <w:br w:type="page"/>
      </w:r>
    </w:p>
    <w:p w14:paraId="1F10C3C0" w14:textId="77777777" w:rsidR="00186703" w:rsidRDefault="00186703" w:rsidP="00B1707E">
      <w:pPr>
        <w:pStyle w:val="CDIFigures"/>
      </w:pPr>
      <w:r>
        <w:lastRenderedPageBreak/>
        <w:t>Table 2: Estimated attack rates of COVID-19 among attendees at wedding events, Bali, Indonesia, 15–21 March</w:t>
      </w:r>
      <w:r w:rsidR="00491339">
        <w:t> </w:t>
      </w:r>
      <w:r>
        <w:t>2020</w:t>
      </w:r>
      <w:r w:rsidRPr="00491339">
        <w:rPr>
          <w:vertAlign w:val="superscript"/>
        </w:rPr>
        <w:t>a</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cases, non-cases and attack rates of the exposed group; and cases, non-cases and attack rates of the unexposed group; with the relative risk and 95% confidence intervals. Exposure activities include shared shisha, kissed, shared drinks, danced and shook hands. The events attendance details the following: Dinner A, Dinner B, Dinner C, Welcome party, Dinner D, Wedding day and After party. "/>
      </w:tblPr>
      <w:tblGrid>
        <w:gridCol w:w="1980"/>
        <w:gridCol w:w="968"/>
        <w:gridCol w:w="969"/>
        <w:gridCol w:w="969"/>
        <w:gridCol w:w="1140"/>
        <w:gridCol w:w="1140"/>
        <w:gridCol w:w="1140"/>
        <w:gridCol w:w="720"/>
        <w:gridCol w:w="1440"/>
      </w:tblGrid>
      <w:tr w:rsidR="00EA290C" w:rsidRPr="00EA290C" w14:paraId="77D5A5E0" w14:textId="77777777" w:rsidTr="00D40F8F">
        <w:trPr>
          <w:cnfStyle w:val="100000000000" w:firstRow="1" w:lastRow="0" w:firstColumn="0" w:lastColumn="0" w:oddVBand="0" w:evenVBand="0" w:oddHBand="0" w:evenHBand="0" w:firstRowFirstColumn="0" w:firstRowLastColumn="0" w:lastRowFirstColumn="0" w:lastRowLastColumn="0"/>
          <w:tblHeader/>
        </w:trPr>
        <w:tc>
          <w:tcPr>
            <w:tcW w:w="1980" w:type="dxa"/>
            <w:vMerge w:val="restart"/>
            <w:tcBorders>
              <w:bottom w:val="single" w:sz="2" w:space="0" w:color="FFFFFF" w:themeColor="background1"/>
              <w:right w:val="single" w:sz="2" w:space="0" w:color="FFFFFF" w:themeColor="background1"/>
            </w:tcBorders>
            <w:hideMark/>
          </w:tcPr>
          <w:p w14:paraId="613271B8" w14:textId="77777777" w:rsidR="00186703" w:rsidRPr="00EA290C" w:rsidRDefault="00186703">
            <w:pPr>
              <w:pStyle w:val="NormalWeb"/>
              <w:rPr>
                <w:color w:val="FFFFFF" w:themeColor="background1"/>
              </w:rPr>
            </w:pPr>
            <w:r w:rsidRPr="00EA290C">
              <w:rPr>
                <w:color w:val="FFFFFF" w:themeColor="background1"/>
              </w:rPr>
              <w:t>Exposure activity</w:t>
            </w:r>
          </w:p>
        </w:tc>
        <w:tc>
          <w:tcPr>
            <w:tcW w:w="2906" w:type="dxa"/>
            <w:gridSpan w:val="3"/>
            <w:tcBorders>
              <w:left w:val="single" w:sz="2" w:space="0" w:color="FFFFFF" w:themeColor="background1"/>
              <w:bottom w:val="single" w:sz="2" w:space="0" w:color="FFFFFF" w:themeColor="background1"/>
              <w:right w:val="single" w:sz="2" w:space="0" w:color="FFFFFF" w:themeColor="background1"/>
            </w:tcBorders>
            <w:vAlign w:val="center"/>
            <w:hideMark/>
          </w:tcPr>
          <w:p w14:paraId="674178EE" w14:textId="77777777" w:rsidR="00186703" w:rsidRPr="00EA290C" w:rsidRDefault="00186703" w:rsidP="00D40F8F">
            <w:pPr>
              <w:pStyle w:val="NormalWeb"/>
              <w:jc w:val="center"/>
              <w:rPr>
                <w:color w:val="FFFFFF" w:themeColor="background1"/>
              </w:rPr>
            </w:pPr>
            <w:r w:rsidRPr="00EA290C">
              <w:rPr>
                <w:color w:val="FFFFFF" w:themeColor="background1"/>
              </w:rPr>
              <w:t>Exposed</w:t>
            </w:r>
          </w:p>
        </w:tc>
        <w:tc>
          <w:tcPr>
            <w:tcW w:w="3420" w:type="dxa"/>
            <w:gridSpan w:val="3"/>
            <w:tcBorders>
              <w:left w:val="single" w:sz="2" w:space="0" w:color="FFFFFF" w:themeColor="background1"/>
              <w:bottom w:val="single" w:sz="2" w:space="0" w:color="FFFFFF" w:themeColor="background1"/>
              <w:right w:val="single" w:sz="2" w:space="0" w:color="FFFFFF" w:themeColor="background1"/>
            </w:tcBorders>
            <w:vAlign w:val="center"/>
            <w:hideMark/>
          </w:tcPr>
          <w:p w14:paraId="55C9418A" w14:textId="77777777" w:rsidR="00186703" w:rsidRPr="00EA290C" w:rsidRDefault="00186703" w:rsidP="00D40F8F">
            <w:pPr>
              <w:pStyle w:val="NormalWeb"/>
              <w:jc w:val="center"/>
              <w:rPr>
                <w:color w:val="FFFFFF" w:themeColor="background1"/>
              </w:rPr>
            </w:pPr>
            <w:r w:rsidRPr="00EA290C">
              <w:rPr>
                <w:color w:val="FFFFFF" w:themeColor="background1"/>
              </w:rPr>
              <w:t>Unexposed</w:t>
            </w:r>
          </w:p>
        </w:tc>
        <w:tc>
          <w:tcPr>
            <w:tcW w:w="720" w:type="dxa"/>
            <w:vMerge w:val="restart"/>
            <w:tcBorders>
              <w:left w:val="single" w:sz="2" w:space="0" w:color="FFFFFF" w:themeColor="background1"/>
              <w:bottom w:val="single" w:sz="2" w:space="0" w:color="FFFFFF" w:themeColor="background1"/>
              <w:right w:val="single" w:sz="2" w:space="0" w:color="FFFFFF" w:themeColor="background1"/>
            </w:tcBorders>
            <w:vAlign w:val="center"/>
            <w:hideMark/>
          </w:tcPr>
          <w:p w14:paraId="24E4275F" w14:textId="77777777" w:rsidR="00186703" w:rsidRPr="00EA290C" w:rsidRDefault="00186703" w:rsidP="00D40F8F">
            <w:pPr>
              <w:pStyle w:val="NormalWeb"/>
              <w:jc w:val="center"/>
              <w:rPr>
                <w:color w:val="FFFFFF" w:themeColor="background1"/>
              </w:rPr>
            </w:pPr>
            <w:r w:rsidRPr="00EA290C">
              <w:rPr>
                <w:color w:val="FFFFFF" w:themeColor="background1"/>
              </w:rPr>
              <w:t>RR</w:t>
            </w:r>
          </w:p>
        </w:tc>
        <w:tc>
          <w:tcPr>
            <w:tcW w:w="1440" w:type="dxa"/>
            <w:vMerge w:val="restart"/>
            <w:tcBorders>
              <w:left w:val="single" w:sz="2" w:space="0" w:color="FFFFFF" w:themeColor="background1"/>
              <w:bottom w:val="single" w:sz="2" w:space="0" w:color="FFFFFF" w:themeColor="background1"/>
            </w:tcBorders>
            <w:vAlign w:val="center"/>
            <w:hideMark/>
          </w:tcPr>
          <w:p w14:paraId="5FC731FD" w14:textId="77777777" w:rsidR="00186703" w:rsidRPr="00EA290C" w:rsidRDefault="00186703" w:rsidP="00D40F8F">
            <w:pPr>
              <w:pStyle w:val="NormalWeb"/>
              <w:jc w:val="center"/>
              <w:rPr>
                <w:color w:val="FFFFFF" w:themeColor="background1"/>
              </w:rPr>
            </w:pPr>
            <w:r w:rsidRPr="00EA290C">
              <w:rPr>
                <w:color w:val="FFFFFF" w:themeColor="background1"/>
              </w:rPr>
              <w:t>95% CI</w:t>
            </w:r>
          </w:p>
        </w:tc>
      </w:tr>
      <w:tr w:rsidR="00D40F8F" w:rsidRPr="00EA290C" w14:paraId="64983839" w14:textId="77777777" w:rsidTr="00D40F8F">
        <w:trPr>
          <w:cnfStyle w:val="100000000000" w:firstRow="1" w:lastRow="0" w:firstColumn="0" w:lastColumn="0" w:oddVBand="0" w:evenVBand="0" w:oddHBand="0" w:evenHBand="0" w:firstRowFirstColumn="0" w:firstRowLastColumn="0" w:lastRowFirstColumn="0" w:lastRowLastColumn="0"/>
          <w:tblHeader/>
        </w:trPr>
        <w:tc>
          <w:tcPr>
            <w:tcW w:w="1980" w:type="dxa"/>
            <w:vMerge/>
            <w:tcBorders>
              <w:top w:val="single" w:sz="2" w:space="0" w:color="FFFFFF" w:themeColor="background1"/>
              <w:right w:val="single" w:sz="2" w:space="0" w:color="FFFFFF" w:themeColor="background1"/>
            </w:tcBorders>
            <w:hideMark/>
          </w:tcPr>
          <w:p w14:paraId="5A4982F3" w14:textId="77777777" w:rsidR="00186703" w:rsidRPr="00EA290C" w:rsidRDefault="00186703">
            <w:pPr>
              <w:rPr>
                <w:color w:val="FFFFFF" w:themeColor="background1"/>
                <w:sz w:val="24"/>
                <w:szCs w:val="24"/>
              </w:rPr>
            </w:pPr>
          </w:p>
        </w:tc>
        <w:tc>
          <w:tcPr>
            <w:tcW w:w="968" w:type="dxa"/>
            <w:tcBorders>
              <w:top w:val="single" w:sz="2" w:space="0" w:color="FFFFFF" w:themeColor="background1"/>
              <w:left w:val="single" w:sz="2" w:space="0" w:color="FFFFFF" w:themeColor="background1"/>
              <w:right w:val="single" w:sz="2" w:space="0" w:color="FFFFFF" w:themeColor="background1"/>
            </w:tcBorders>
            <w:vAlign w:val="center"/>
            <w:hideMark/>
          </w:tcPr>
          <w:p w14:paraId="513198CA" w14:textId="77777777" w:rsidR="00186703" w:rsidRPr="00EA290C" w:rsidRDefault="00186703" w:rsidP="00D40F8F">
            <w:pPr>
              <w:pStyle w:val="NormalWeb"/>
              <w:jc w:val="center"/>
              <w:rPr>
                <w:color w:val="FFFFFF" w:themeColor="background1"/>
              </w:rPr>
            </w:pPr>
            <w:r w:rsidRPr="00EA290C">
              <w:rPr>
                <w:color w:val="FFFFFF" w:themeColor="background1"/>
              </w:rPr>
              <w:t>Cases</w:t>
            </w:r>
          </w:p>
        </w:tc>
        <w:tc>
          <w:tcPr>
            <w:tcW w:w="969" w:type="dxa"/>
            <w:tcBorders>
              <w:top w:val="single" w:sz="2" w:space="0" w:color="FFFFFF" w:themeColor="background1"/>
              <w:left w:val="single" w:sz="2" w:space="0" w:color="FFFFFF" w:themeColor="background1"/>
              <w:right w:val="single" w:sz="2" w:space="0" w:color="FFFFFF" w:themeColor="background1"/>
            </w:tcBorders>
            <w:vAlign w:val="center"/>
            <w:hideMark/>
          </w:tcPr>
          <w:p w14:paraId="76BF6887" w14:textId="77777777" w:rsidR="00186703" w:rsidRPr="00EA290C" w:rsidRDefault="00186703" w:rsidP="00D40F8F">
            <w:pPr>
              <w:pStyle w:val="NormalWeb"/>
              <w:jc w:val="center"/>
              <w:rPr>
                <w:color w:val="FFFFFF" w:themeColor="background1"/>
              </w:rPr>
            </w:pPr>
            <w:r w:rsidRPr="00EA290C">
              <w:rPr>
                <w:color w:val="FFFFFF" w:themeColor="background1"/>
              </w:rPr>
              <w:t>Total</w:t>
            </w:r>
          </w:p>
        </w:tc>
        <w:tc>
          <w:tcPr>
            <w:tcW w:w="969" w:type="dxa"/>
            <w:tcBorders>
              <w:top w:val="single" w:sz="2" w:space="0" w:color="FFFFFF" w:themeColor="background1"/>
              <w:left w:val="single" w:sz="2" w:space="0" w:color="FFFFFF" w:themeColor="background1"/>
              <w:right w:val="single" w:sz="2" w:space="0" w:color="FFFFFF" w:themeColor="background1"/>
            </w:tcBorders>
            <w:vAlign w:val="center"/>
            <w:hideMark/>
          </w:tcPr>
          <w:p w14:paraId="2819F982" w14:textId="77777777" w:rsidR="00186703" w:rsidRPr="00EA290C" w:rsidRDefault="00186703" w:rsidP="00D40F8F">
            <w:pPr>
              <w:pStyle w:val="NormalWeb"/>
              <w:jc w:val="center"/>
              <w:rPr>
                <w:color w:val="FFFFFF" w:themeColor="background1"/>
              </w:rPr>
            </w:pPr>
            <w:r w:rsidRPr="00EA290C">
              <w:rPr>
                <w:color w:val="FFFFFF" w:themeColor="background1"/>
              </w:rPr>
              <w:t>AR%</w:t>
            </w:r>
          </w:p>
        </w:tc>
        <w:tc>
          <w:tcPr>
            <w:tcW w:w="1140" w:type="dxa"/>
            <w:tcBorders>
              <w:top w:val="single" w:sz="2" w:space="0" w:color="FFFFFF" w:themeColor="background1"/>
              <w:left w:val="single" w:sz="2" w:space="0" w:color="FFFFFF" w:themeColor="background1"/>
              <w:right w:val="single" w:sz="2" w:space="0" w:color="FFFFFF" w:themeColor="background1"/>
            </w:tcBorders>
            <w:vAlign w:val="center"/>
            <w:hideMark/>
          </w:tcPr>
          <w:p w14:paraId="0785AA73" w14:textId="77777777" w:rsidR="00186703" w:rsidRPr="00EA290C" w:rsidRDefault="00186703" w:rsidP="00D40F8F">
            <w:pPr>
              <w:pStyle w:val="NormalWeb"/>
              <w:jc w:val="center"/>
              <w:rPr>
                <w:color w:val="FFFFFF" w:themeColor="background1"/>
              </w:rPr>
            </w:pPr>
            <w:r w:rsidRPr="00EA290C">
              <w:rPr>
                <w:color w:val="FFFFFF" w:themeColor="background1"/>
              </w:rPr>
              <w:t>Cases</w:t>
            </w:r>
          </w:p>
        </w:tc>
        <w:tc>
          <w:tcPr>
            <w:tcW w:w="1140" w:type="dxa"/>
            <w:tcBorders>
              <w:top w:val="single" w:sz="2" w:space="0" w:color="FFFFFF" w:themeColor="background1"/>
              <w:left w:val="single" w:sz="2" w:space="0" w:color="FFFFFF" w:themeColor="background1"/>
              <w:right w:val="single" w:sz="2" w:space="0" w:color="FFFFFF" w:themeColor="background1"/>
            </w:tcBorders>
            <w:vAlign w:val="center"/>
            <w:hideMark/>
          </w:tcPr>
          <w:p w14:paraId="2DE8B66D" w14:textId="77777777" w:rsidR="00186703" w:rsidRPr="00EA290C" w:rsidRDefault="00186703" w:rsidP="00D40F8F">
            <w:pPr>
              <w:pStyle w:val="NormalWeb"/>
              <w:jc w:val="center"/>
              <w:rPr>
                <w:color w:val="FFFFFF" w:themeColor="background1"/>
              </w:rPr>
            </w:pPr>
            <w:r w:rsidRPr="00EA290C">
              <w:rPr>
                <w:color w:val="FFFFFF" w:themeColor="background1"/>
              </w:rPr>
              <w:t>Total</w:t>
            </w:r>
          </w:p>
        </w:tc>
        <w:tc>
          <w:tcPr>
            <w:tcW w:w="1140" w:type="dxa"/>
            <w:tcBorders>
              <w:top w:val="single" w:sz="2" w:space="0" w:color="FFFFFF" w:themeColor="background1"/>
              <w:left w:val="single" w:sz="2" w:space="0" w:color="FFFFFF" w:themeColor="background1"/>
              <w:right w:val="single" w:sz="2" w:space="0" w:color="FFFFFF" w:themeColor="background1"/>
            </w:tcBorders>
            <w:vAlign w:val="center"/>
            <w:hideMark/>
          </w:tcPr>
          <w:p w14:paraId="53AB335C" w14:textId="77777777" w:rsidR="00186703" w:rsidRPr="00EA290C" w:rsidRDefault="00186703" w:rsidP="00D40F8F">
            <w:pPr>
              <w:pStyle w:val="NormalWeb"/>
              <w:jc w:val="center"/>
              <w:rPr>
                <w:color w:val="FFFFFF" w:themeColor="background1"/>
              </w:rPr>
            </w:pPr>
            <w:r w:rsidRPr="00EA290C">
              <w:rPr>
                <w:color w:val="FFFFFF" w:themeColor="background1"/>
              </w:rPr>
              <w:t>AR%</w:t>
            </w:r>
          </w:p>
        </w:tc>
        <w:tc>
          <w:tcPr>
            <w:tcW w:w="720"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69DE405D" w14:textId="77777777" w:rsidR="00186703" w:rsidRPr="00EA290C" w:rsidRDefault="00186703" w:rsidP="00D40F8F">
            <w:pPr>
              <w:jc w:val="center"/>
              <w:rPr>
                <w:color w:val="FFFFFF" w:themeColor="background1"/>
                <w:sz w:val="24"/>
                <w:szCs w:val="24"/>
              </w:rPr>
            </w:pPr>
          </w:p>
        </w:tc>
        <w:tc>
          <w:tcPr>
            <w:tcW w:w="1440" w:type="dxa"/>
            <w:vMerge/>
            <w:tcBorders>
              <w:top w:val="single" w:sz="2" w:space="0" w:color="FFFFFF" w:themeColor="background1"/>
              <w:left w:val="single" w:sz="2" w:space="0" w:color="FFFFFF" w:themeColor="background1"/>
            </w:tcBorders>
            <w:vAlign w:val="center"/>
            <w:hideMark/>
          </w:tcPr>
          <w:p w14:paraId="0E5817DD" w14:textId="77777777" w:rsidR="00186703" w:rsidRPr="00EA290C" w:rsidRDefault="00186703" w:rsidP="00D40F8F">
            <w:pPr>
              <w:jc w:val="center"/>
              <w:rPr>
                <w:color w:val="FFFFFF" w:themeColor="background1"/>
                <w:sz w:val="24"/>
                <w:szCs w:val="24"/>
              </w:rPr>
            </w:pPr>
          </w:p>
        </w:tc>
      </w:tr>
      <w:tr w:rsidR="00EA290C" w14:paraId="7E9B9229" w14:textId="77777777" w:rsidTr="00D40F8F">
        <w:tc>
          <w:tcPr>
            <w:tcW w:w="1980" w:type="dxa"/>
            <w:hideMark/>
          </w:tcPr>
          <w:p w14:paraId="3EB1D2BA" w14:textId="77777777" w:rsidR="00186703" w:rsidRDefault="00186703">
            <w:pPr>
              <w:pStyle w:val="NormalWeb"/>
            </w:pPr>
            <w:r>
              <w:t>Shared shisha</w:t>
            </w:r>
          </w:p>
        </w:tc>
        <w:tc>
          <w:tcPr>
            <w:tcW w:w="968" w:type="dxa"/>
            <w:vAlign w:val="center"/>
            <w:hideMark/>
          </w:tcPr>
          <w:p w14:paraId="46EDF240" w14:textId="77777777" w:rsidR="00186703" w:rsidRDefault="00186703" w:rsidP="00D40F8F">
            <w:pPr>
              <w:pStyle w:val="NormalWeb"/>
              <w:jc w:val="center"/>
            </w:pPr>
            <w:r>
              <w:t>13</w:t>
            </w:r>
          </w:p>
        </w:tc>
        <w:tc>
          <w:tcPr>
            <w:tcW w:w="969" w:type="dxa"/>
            <w:vAlign w:val="center"/>
            <w:hideMark/>
          </w:tcPr>
          <w:p w14:paraId="3173626F" w14:textId="77777777" w:rsidR="00186703" w:rsidRDefault="00186703" w:rsidP="00D40F8F">
            <w:pPr>
              <w:pStyle w:val="NormalWeb"/>
              <w:jc w:val="center"/>
            </w:pPr>
            <w:r>
              <w:t>15</w:t>
            </w:r>
          </w:p>
        </w:tc>
        <w:tc>
          <w:tcPr>
            <w:tcW w:w="969" w:type="dxa"/>
            <w:vAlign w:val="center"/>
            <w:hideMark/>
          </w:tcPr>
          <w:p w14:paraId="3294065B" w14:textId="77777777" w:rsidR="00186703" w:rsidRDefault="00186703" w:rsidP="00D40F8F">
            <w:pPr>
              <w:pStyle w:val="NormalWeb"/>
              <w:jc w:val="center"/>
            </w:pPr>
            <w:r>
              <w:t>87</w:t>
            </w:r>
          </w:p>
        </w:tc>
        <w:tc>
          <w:tcPr>
            <w:tcW w:w="1140" w:type="dxa"/>
            <w:vAlign w:val="center"/>
            <w:hideMark/>
          </w:tcPr>
          <w:p w14:paraId="73C49637" w14:textId="77777777" w:rsidR="00186703" w:rsidRDefault="00186703" w:rsidP="00D40F8F">
            <w:pPr>
              <w:pStyle w:val="NormalWeb"/>
              <w:jc w:val="center"/>
            </w:pPr>
            <w:r>
              <w:t>4</w:t>
            </w:r>
          </w:p>
        </w:tc>
        <w:tc>
          <w:tcPr>
            <w:tcW w:w="1140" w:type="dxa"/>
            <w:vAlign w:val="center"/>
            <w:hideMark/>
          </w:tcPr>
          <w:p w14:paraId="57C3AEEB" w14:textId="77777777" w:rsidR="00186703" w:rsidRDefault="00186703" w:rsidP="00D40F8F">
            <w:pPr>
              <w:pStyle w:val="NormalWeb"/>
              <w:jc w:val="center"/>
            </w:pPr>
            <w:r>
              <w:t>10</w:t>
            </w:r>
          </w:p>
        </w:tc>
        <w:tc>
          <w:tcPr>
            <w:tcW w:w="1140" w:type="dxa"/>
            <w:vAlign w:val="center"/>
            <w:hideMark/>
          </w:tcPr>
          <w:p w14:paraId="091A5FCA" w14:textId="77777777" w:rsidR="00186703" w:rsidRDefault="00186703" w:rsidP="00D40F8F">
            <w:pPr>
              <w:pStyle w:val="NormalWeb"/>
              <w:jc w:val="center"/>
            </w:pPr>
            <w:r>
              <w:t>40</w:t>
            </w:r>
          </w:p>
        </w:tc>
        <w:tc>
          <w:tcPr>
            <w:tcW w:w="720" w:type="dxa"/>
            <w:vAlign w:val="center"/>
            <w:hideMark/>
          </w:tcPr>
          <w:p w14:paraId="53D989DF" w14:textId="77777777" w:rsidR="00186703" w:rsidRDefault="00186703" w:rsidP="00D40F8F">
            <w:pPr>
              <w:pStyle w:val="NormalWeb"/>
              <w:jc w:val="center"/>
            </w:pPr>
            <w:r>
              <w:t>2.2</w:t>
            </w:r>
          </w:p>
        </w:tc>
        <w:tc>
          <w:tcPr>
            <w:tcW w:w="1440" w:type="dxa"/>
            <w:vAlign w:val="center"/>
            <w:hideMark/>
          </w:tcPr>
          <w:p w14:paraId="5B8B0069" w14:textId="77777777" w:rsidR="00186703" w:rsidRDefault="00186703" w:rsidP="00D40F8F">
            <w:pPr>
              <w:pStyle w:val="NormalWeb"/>
              <w:jc w:val="center"/>
            </w:pPr>
            <w:r>
              <w:t>[0.99–4.75]</w:t>
            </w:r>
          </w:p>
        </w:tc>
      </w:tr>
      <w:tr w:rsidR="00D40F8F" w14:paraId="6AC08DDC" w14:textId="77777777" w:rsidTr="00D40F8F">
        <w:trPr>
          <w:cnfStyle w:val="000000010000" w:firstRow="0" w:lastRow="0" w:firstColumn="0" w:lastColumn="0" w:oddVBand="0" w:evenVBand="0" w:oddHBand="0" w:evenHBand="1" w:firstRowFirstColumn="0" w:firstRowLastColumn="0" w:lastRowFirstColumn="0" w:lastRowLastColumn="0"/>
        </w:trPr>
        <w:tc>
          <w:tcPr>
            <w:tcW w:w="1980" w:type="dxa"/>
            <w:hideMark/>
          </w:tcPr>
          <w:p w14:paraId="31431CD1" w14:textId="77777777" w:rsidR="00186703" w:rsidRDefault="00186703">
            <w:pPr>
              <w:pStyle w:val="NormalWeb"/>
            </w:pPr>
            <w:r>
              <w:t>Kissed</w:t>
            </w:r>
          </w:p>
        </w:tc>
        <w:tc>
          <w:tcPr>
            <w:tcW w:w="968" w:type="dxa"/>
            <w:vAlign w:val="center"/>
            <w:hideMark/>
          </w:tcPr>
          <w:p w14:paraId="76B54362" w14:textId="77777777" w:rsidR="00186703" w:rsidRDefault="00186703" w:rsidP="00D40F8F">
            <w:pPr>
              <w:pStyle w:val="NormalWeb"/>
              <w:jc w:val="center"/>
            </w:pPr>
            <w:r>
              <w:t>10</w:t>
            </w:r>
          </w:p>
        </w:tc>
        <w:tc>
          <w:tcPr>
            <w:tcW w:w="969" w:type="dxa"/>
            <w:vAlign w:val="center"/>
            <w:hideMark/>
          </w:tcPr>
          <w:p w14:paraId="22E6EF0E" w14:textId="77777777" w:rsidR="00186703" w:rsidRDefault="00186703" w:rsidP="00D40F8F">
            <w:pPr>
              <w:pStyle w:val="NormalWeb"/>
              <w:jc w:val="center"/>
            </w:pPr>
            <w:r>
              <w:t>13</w:t>
            </w:r>
          </w:p>
        </w:tc>
        <w:tc>
          <w:tcPr>
            <w:tcW w:w="969" w:type="dxa"/>
            <w:vAlign w:val="center"/>
            <w:hideMark/>
          </w:tcPr>
          <w:p w14:paraId="106DA7A8" w14:textId="77777777" w:rsidR="00186703" w:rsidRDefault="00186703" w:rsidP="00D40F8F">
            <w:pPr>
              <w:pStyle w:val="NormalWeb"/>
              <w:jc w:val="center"/>
            </w:pPr>
            <w:r>
              <w:t>77</w:t>
            </w:r>
          </w:p>
        </w:tc>
        <w:tc>
          <w:tcPr>
            <w:tcW w:w="1140" w:type="dxa"/>
            <w:vAlign w:val="center"/>
            <w:hideMark/>
          </w:tcPr>
          <w:p w14:paraId="59C59B04" w14:textId="77777777" w:rsidR="00186703" w:rsidRDefault="00186703" w:rsidP="00D40F8F">
            <w:pPr>
              <w:pStyle w:val="NormalWeb"/>
              <w:jc w:val="center"/>
            </w:pPr>
            <w:r>
              <w:t>0</w:t>
            </w:r>
          </w:p>
        </w:tc>
        <w:tc>
          <w:tcPr>
            <w:tcW w:w="1140" w:type="dxa"/>
            <w:vAlign w:val="center"/>
            <w:hideMark/>
          </w:tcPr>
          <w:p w14:paraId="0CD8D122" w14:textId="77777777" w:rsidR="00186703" w:rsidRDefault="00186703" w:rsidP="00D40F8F">
            <w:pPr>
              <w:pStyle w:val="NormalWeb"/>
              <w:jc w:val="center"/>
            </w:pPr>
            <w:r>
              <w:t>3</w:t>
            </w:r>
          </w:p>
        </w:tc>
        <w:tc>
          <w:tcPr>
            <w:tcW w:w="1140" w:type="dxa"/>
            <w:vAlign w:val="center"/>
            <w:hideMark/>
          </w:tcPr>
          <w:p w14:paraId="74DBAF4F" w14:textId="77777777" w:rsidR="00186703" w:rsidRDefault="00186703" w:rsidP="00D40F8F">
            <w:pPr>
              <w:pStyle w:val="NormalWeb"/>
              <w:jc w:val="center"/>
            </w:pPr>
            <w:r>
              <w:t>0</w:t>
            </w:r>
          </w:p>
        </w:tc>
        <w:tc>
          <w:tcPr>
            <w:tcW w:w="720" w:type="dxa"/>
            <w:vAlign w:val="center"/>
            <w:hideMark/>
          </w:tcPr>
          <w:p w14:paraId="2AE15F1D" w14:textId="77777777" w:rsidR="00186703" w:rsidRDefault="00186703" w:rsidP="00D40F8F">
            <w:pPr>
              <w:pStyle w:val="NormalWeb"/>
              <w:jc w:val="center"/>
            </w:pPr>
            <w:r>
              <w:t>–</w:t>
            </w:r>
          </w:p>
        </w:tc>
        <w:tc>
          <w:tcPr>
            <w:tcW w:w="1440" w:type="dxa"/>
            <w:vAlign w:val="center"/>
            <w:hideMark/>
          </w:tcPr>
          <w:p w14:paraId="230AA74A" w14:textId="77777777" w:rsidR="00186703" w:rsidRDefault="00186703" w:rsidP="00D40F8F">
            <w:pPr>
              <w:pStyle w:val="NormalWeb"/>
              <w:jc w:val="center"/>
            </w:pPr>
            <w:r>
              <w:t>–</w:t>
            </w:r>
          </w:p>
        </w:tc>
      </w:tr>
      <w:tr w:rsidR="00EA290C" w14:paraId="554532BC" w14:textId="77777777" w:rsidTr="00D40F8F">
        <w:tc>
          <w:tcPr>
            <w:tcW w:w="1980" w:type="dxa"/>
            <w:hideMark/>
          </w:tcPr>
          <w:p w14:paraId="780F11CD" w14:textId="77777777" w:rsidR="00186703" w:rsidRDefault="00186703">
            <w:pPr>
              <w:pStyle w:val="NormalWeb"/>
            </w:pPr>
            <w:r>
              <w:t>Shared drinks</w:t>
            </w:r>
          </w:p>
        </w:tc>
        <w:tc>
          <w:tcPr>
            <w:tcW w:w="968" w:type="dxa"/>
            <w:vAlign w:val="center"/>
            <w:hideMark/>
          </w:tcPr>
          <w:p w14:paraId="752AE05A" w14:textId="77777777" w:rsidR="00186703" w:rsidRDefault="00186703" w:rsidP="00D40F8F">
            <w:pPr>
              <w:pStyle w:val="NormalWeb"/>
              <w:jc w:val="center"/>
            </w:pPr>
            <w:r>
              <w:t>9</w:t>
            </w:r>
          </w:p>
        </w:tc>
        <w:tc>
          <w:tcPr>
            <w:tcW w:w="969" w:type="dxa"/>
            <w:vAlign w:val="center"/>
            <w:hideMark/>
          </w:tcPr>
          <w:p w14:paraId="08EDD8B5" w14:textId="77777777" w:rsidR="00186703" w:rsidRDefault="00186703" w:rsidP="00D40F8F">
            <w:pPr>
              <w:pStyle w:val="NormalWeb"/>
              <w:jc w:val="center"/>
            </w:pPr>
            <w:r>
              <w:t>13</w:t>
            </w:r>
          </w:p>
        </w:tc>
        <w:tc>
          <w:tcPr>
            <w:tcW w:w="969" w:type="dxa"/>
            <w:vAlign w:val="center"/>
            <w:hideMark/>
          </w:tcPr>
          <w:p w14:paraId="279F3C8C" w14:textId="77777777" w:rsidR="00186703" w:rsidRDefault="00186703" w:rsidP="00D40F8F">
            <w:pPr>
              <w:pStyle w:val="NormalWeb"/>
              <w:jc w:val="center"/>
            </w:pPr>
            <w:r>
              <w:t>69</w:t>
            </w:r>
          </w:p>
        </w:tc>
        <w:tc>
          <w:tcPr>
            <w:tcW w:w="1140" w:type="dxa"/>
            <w:vAlign w:val="center"/>
            <w:hideMark/>
          </w:tcPr>
          <w:p w14:paraId="22E28175" w14:textId="77777777" w:rsidR="00186703" w:rsidRDefault="00186703" w:rsidP="00D40F8F">
            <w:pPr>
              <w:pStyle w:val="NormalWeb"/>
              <w:jc w:val="center"/>
            </w:pPr>
            <w:r>
              <w:t>1</w:t>
            </w:r>
          </w:p>
        </w:tc>
        <w:tc>
          <w:tcPr>
            <w:tcW w:w="1140" w:type="dxa"/>
            <w:vAlign w:val="center"/>
            <w:hideMark/>
          </w:tcPr>
          <w:p w14:paraId="668D1AA0" w14:textId="77777777" w:rsidR="00186703" w:rsidRDefault="00186703" w:rsidP="00D40F8F">
            <w:pPr>
              <w:pStyle w:val="NormalWeb"/>
              <w:jc w:val="center"/>
            </w:pPr>
            <w:r>
              <w:t>4</w:t>
            </w:r>
          </w:p>
        </w:tc>
        <w:tc>
          <w:tcPr>
            <w:tcW w:w="1140" w:type="dxa"/>
            <w:vAlign w:val="center"/>
            <w:hideMark/>
          </w:tcPr>
          <w:p w14:paraId="4E436402" w14:textId="77777777" w:rsidR="00186703" w:rsidRDefault="00186703" w:rsidP="00D40F8F">
            <w:pPr>
              <w:pStyle w:val="NormalWeb"/>
              <w:jc w:val="center"/>
            </w:pPr>
            <w:r>
              <w:t>25</w:t>
            </w:r>
          </w:p>
        </w:tc>
        <w:tc>
          <w:tcPr>
            <w:tcW w:w="720" w:type="dxa"/>
            <w:vAlign w:val="center"/>
            <w:hideMark/>
          </w:tcPr>
          <w:p w14:paraId="0A60928C" w14:textId="77777777" w:rsidR="00186703" w:rsidRDefault="00186703" w:rsidP="00D40F8F">
            <w:pPr>
              <w:pStyle w:val="NormalWeb"/>
              <w:jc w:val="center"/>
            </w:pPr>
            <w:r>
              <w:t>2.8</w:t>
            </w:r>
          </w:p>
        </w:tc>
        <w:tc>
          <w:tcPr>
            <w:tcW w:w="1440" w:type="dxa"/>
            <w:vAlign w:val="center"/>
            <w:hideMark/>
          </w:tcPr>
          <w:p w14:paraId="35E2B4F7" w14:textId="77777777" w:rsidR="00186703" w:rsidRDefault="00186703" w:rsidP="00D40F8F">
            <w:pPr>
              <w:pStyle w:val="NormalWeb"/>
              <w:jc w:val="center"/>
            </w:pPr>
            <w:r>
              <w:t>[0.49–15.71]</w:t>
            </w:r>
          </w:p>
        </w:tc>
      </w:tr>
      <w:tr w:rsidR="00D40F8F" w14:paraId="44EE9B4D" w14:textId="77777777" w:rsidTr="00D40F8F">
        <w:trPr>
          <w:cnfStyle w:val="000000010000" w:firstRow="0" w:lastRow="0" w:firstColumn="0" w:lastColumn="0" w:oddVBand="0" w:evenVBand="0" w:oddHBand="0" w:evenHBand="1" w:firstRowFirstColumn="0" w:firstRowLastColumn="0" w:lastRowFirstColumn="0" w:lastRowLastColumn="0"/>
        </w:trPr>
        <w:tc>
          <w:tcPr>
            <w:tcW w:w="1980" w:type="dxa"/>
            <w:hideMark/>
          </w:tcPr>
          <w:p w14:paraId="5AB82951" w14:textId="77777777" w:rsidR="00186703" w:rsidRDefault="00186703">
            <w:pPr>
              <w:pStyle w:val="NormalWeb"/>
            </w:pPr>
            <w:r>
              <w:t>Danced</w:t>
            </w:r>
          </w:p>
        </w:tc>
        <w:tc>
          <w:tcPr>
            <w:tcW w:w="968" w:type="dxa"/>
            <w:vAlign w:val="center"/>
            <w:hideMark/>
          </w:tcPr>
          <w:p w14:paraId="6615EC27" w14:textId="77777777" w:rsidR="00186703" w:rsidRDefault="00186703" w:rsidP="00D40F8F">
            <w:pPr>
              <w:pStyle w:val="NormalWeb"/>
              <w:jc w:val="center"/>
            </w:pPr>
            <w:r>
              <w:t>9</w:t>
            </w:r>
          </w:p>
        </w:tc>
        <w:tc>
          <w:tcPr>
            <w:tcW w:w="969" w:type="dxa"/>
            <w:vAlign w:val="center"/>
            <w:hideMark/>
          </w:tcPr>
          <w:p w14:paraId="72118B4D" w14:textId="77777777" w:rsidR="00186703" w:rsidRDefault="00186703" w:rsidP="00D40F8F">
            <w:pPr>
              <w:pStyle w:val="NormalWeb"/>
              <w:jc w:val="center"/>
            </w:pPr>
            <w:r>
              <w:t>14</w:t>
            </w:r>
          </w:p>
        </w:tc>
        <w:tc>
          <w:tcPr>
            <w:tcW w:w="969" w:type="dxa"/>
            <w:vAlign w:val="center"/>
            <w:hideMark/>
          </w:tcPr>
          <w:p w14:paraId="261A01D5" w14:textId="77777777" w:rsidR="00186703" w:rsidRDefault="00186703" w:rsidP="00D40F8F">
            <w:pPr>
              <w:pStyle w:val="NormalWeb"/>
              <w:jc w:val="center"/>
            </w:pPr>
            <w:r>
              <w:t>64</w:t>
            </w:r>
          </w:p>
        </w:tc>
        <w:tc>
          <w:tcPr>
            <w:tcW w:w="1140" w:type="dxa"/>
            <w:vAlign w:val="center"/>
            <w:hideMark/>
          </w:tcPr>
          <w:p w14:paraId="4EC521C5" w14:textId="77777777" w:rsidR="00186703" w:rsidRDefault="00186703" w:rsidP="00D40F8F">
            <w:pPr>
              <w:pStyle w:val="NormalWeb"/>
              <w:jc w:val="center"/>
            </w:pPr>
            <w:r>
              <w:t>1</w:t>
            </w:r>
          </w:p>
        </w:tc>
        <w:tc>
          <w:tcPr>
            <w:tcW w:w="1140" w:type="dxa"/>
            <w:vAlign w:val="center"/>
            <w:hideMark/>
          </w:tcPr>
          <w:p w14:paraId="7BAD50CA" w14:textId="77777777" w:rsidR="00186703" w:rsidRDefault="00186703" w:rsidP="00D40F8F">
            <w:pPr>
              <w:pStyle w:val="NormalWeb"/>
              <w:jc w:val="center"/>
            </w:pPr>
            <w:r>
              <w:t>3</w:t>
            </w:r>
          </w:p>
        </w:tc>
        <w:tc>
          <w:tcPr>
            <w:tcW w:w="1140" w:type="dxa"/>
            <w:vAlign w:val="center"/>
            <w:hideMark/>
          </w:tcPr>
          <w:p w14:paraId="43014780" w14:textId="77777777" w:rsidR="00186703" w:rsidRDefault="00186703" w:rsidP="00D40F8F">
            <w:pPr>
              <w:pStyle w:val="NormalWeb"/>
              <w:jc w:val="center"/>
            </w:pPr>
            <w:r>
              <w:t>33</w:t>
            </w:r>
          </w:p>
        </w:tc>
        <w:tc>
          <w:tcPr>
            <w:tcW w:w="720" w:type="dxa"/>
            <w:vAlign w:val="center"/>
            <w:hideMark/>
          </w:tcPr>
          <w:p w14:paraId="2320C58E" w14:textId="77777777" w:rsidR="00186703" w:rsidRDefault="00186703" w:rsidP="00D40F8F">
            <w:pPr>
              <w:pStyle w:val="NormalWeb"/>
              <w:jc w:val="center"/>
            </w:pPr>
            <w:r>
              <w:t>1.9</w:t>
            </w:r>
          </w:p>
        </w:tc>
        <w:tc>
          <w:tcPr>
            <w:tcW w:w="1440" w:type="dxa"/>
            <w:vAlign w:val="center"/>
            <w:hideMark/>
          </w:tcPr>
          <w:p w14:paraId="3B479A13" w14:textId="77777777" w:rsidR="00186703" w:rsidRDefault="00186703" w:rsidP="00D40F8F">
            <w:pPr>
              <w:pStyle w:val="NormalWeb"/>
              <w:jc w:val="center"/>
            </w:pPr>
            <w:r>
              <w:t>[0.37–10.01]</w:t>
            </w:r>
          </w:p>
        </w:tc>
      </w:tr>
      <w:tr w:rsidR="00EA290C" w14:paraId="03DA970B" w14:textId="77777777" w:rsidTr="00D40F8F">
        <w:tc>
          <w:tcPr>
            <w:tcW w:w="1980" w:type="dxa"/>
            <w:hideMark/>
          </w:tcPr>
          <w:p w14:paraId="10C8AEFE" w14:textId="77777777" w:rsidR="00186703" w:rsidRDefault="00186703">
            <w:pPr>
              <w:pStyle w:val="NormalWeb"/>
            </w:pPr>
            <w:r>
              <w:t>Shook hands</w:t>
            </w:r>
          </w:p>
        </w:tc>
        <w:tc>
          <w:tcPr>
            <w:tcW w:w="968" w:type="dxa"/>
            <w:vAlign w:val="center"/>
            <w:hideMark/>
          </w:tcPr>
          <w:p w14:paraId="7DEE0DD4" w14:textId="77777777" w:rsidR="00186703" w:rsidRDefault="00186703" w:rsidP="00D40F8F">
            <w:pPr>
              <w:pStyle w:val="NormalWeb"/>
              <w:jc w:val="center"/>
            </w:pPr>
            <w:r>
              <w:t>8</w:t>
            </w:r>
          </w:p>
        </w:tc>
        <w:tc>
          <w:tcPr>
            <w:tcW w:w="969" w:type="dxa"/>
            <w:vAlign w:val="center"/>
            <w:hideMark/>
          </w:tcPr>
          <w:p w14:paraId="309569C4" w14:textId="77777777" w:rsidR="00186703" w:rsidRDefault="00186703" w:rsidP="00D40F8F">
            <w:pPr>
              <w:pStyle w:val="NormalWeb"/>
              <w:jc w:val="center"/>
            </w:pPr>
            <w:r>
              <w:t>12</w:t>
            </w:r>
          </w:p>
        </w:tc>
        <w:tc>
          <w:tcPr>
            <w:tcW w:w="969" w:type="dxa"/>
            <w:vAlign w:val="center"/>
            <w:hideMark/>
          </w:tcPr>
          <w:p w14:paraId="6F073F78" w14:textId="77777777" w:rsidR="00186703" w:rsidRDefault="00186703" w:rsidP="00D40F8F">
            <w:pPr>
              <w:pStyle w:val="NormalWeb"/>
              <w:jc w:val="center"/>
            </w:pPr>
            <w:r>
              <w:t>67</w:t>
            </w:r>
          </w:p>
        </w:tc>
        <w:tc>
          <w:tcPr>
            <w:tcW w:w="1140" w:type="dxa"/>
            <w:vAlign w:val="center"/>
            <w:hideMark/>
          </w:tcPr>
          <w:p w14:paraId="041AD270" w14:textId="77777777" w:rsidR="00186703" w:rsidRDefault="00186703" w:rsidP="00D40F8F">
            <w:pPr>
              <w:pStyle w:val="NormalWeb"/>
              <w:jc w:val="center"/>
            </w:pPr>
            <w:r>
              <w:t>2</w:t>
            </w:r>
          </w:p>
        </w:tc>
        <w:tc>
          <w:tcPr>
            <w:tcW w:w="1140" w:type="dxa"/>
            <w:vAlign w:val="center"/>
            <w:hideMark/>
          </w:tcPr>
          <w:p w14:paraId="1407BF46" w14:textId="77777777" w:rsidR="00186703" w:rsidRDefault="00186703" w:rsidP="00D40F8F">
            <w:pPr>
              <w:pStyle w:val="NormalWeb"/>
              <w:jc w:val="center"/>
            </w:pPr>
            <w:r>
              <w:t>4</w:t>
            </w:r>
          </w:p>
        </w:tc>
        <w:tc>
          <w:tcPr>
            <w:tcW w:w="1140" w:type="dxa"/>
            <w:vAlign w:val="center"/>
            <w:hideMark/>
          </w:tcPr>
          <w:p w14:paraId="084196D5" w14:textId="77777777" w:rsidR="00186703" w:rsidRDefault="00186703" w:rsidP="00D40F8F">
            <w:pPr>
              <w:pStyle w:val="NormalWeb"/>
              <w:jc w:val="center"/>
            </w:pPr>
            <w:r>
              <w:t>50</w:t>
            </w:r>
          </w:p>
        </w:tc>
        <w:tc>
          <w:tcPr>
            <w:tcW w:w="720" w:type="dxa"/>
            <w:vAlign w:val="center"/>
            <w:hideMark/>
          </w:tcPr>
          <w:p w14:paraId="574417E9" w14:textId="77777777" w:rsidR="00186703" w:rsidRDefault="00186703" w:rsidP="00D40F8F">
            <w:pPr>
              <w:pStyle w:val="NormalWeb"/>
              <w:jc w:val="center"/>
            </w:pPr>
            <w:r>
              <w:t>1.3</w:t>
            </w:r>
          </w:p>
        </w:tc>
        <w:tc>
          <w:tcPr>
            <w:tcW w:w="1440" w:type="dxa"/>
            <w:vAlign w:val="center"/>
            <w:hideMark/>
          </w:tcPr>
          <w:p w14:paraId="6A5617C4" w14:textId="77777777" w:rsidR="00186703" w:rsidRDefault="00186703" w:rsidP="00D40F8F">
            <w:pPr>
              <w:pStyle w:val="NormalWeb"/>
              <w:jc w:val="center"/>
            </w:pPr>
            <w:r>
              <w:t>[0.46–3.84]</w:t>
            </w:r>
          </w:p>
        </w:tc>
      </w:tr>
      <w:tr w:rsidR="00D40F8F" w:rsidRPr="00C0171F" w14:paraId="1A6E0985" w14:textId="77777777" w:rsidTr="00D40F8F">
        <w:trPr>
          <w:cnfStyle w:val="000000010000" w:firstRow="0" w:lastRow="0" w:firstColumn="0" w:lastColumn="0" w:oddVBand="0" w:evenVBand="0" w:oddHBand="0" w:evenHBand="1" w:firstRowFirstColumn="0" w:firstRowLastColumn="0" w:lastRowFirstColumn="0" w:lastRowLastColumn="0"/>
        </w:trPr>
        <w:tc>
          <w:tcPr>
            <w:tcW w:w="1980" w:type="dxa"/>
            <w:hideMark/>
          </w:tcPr>
          <w:p w14:paraId="73E1367E" w14:textId="77777777" w:rsidR="00186703" w:rsidRPr="00C0171F" w:rsidRDefault="00186703">
            <w:pPr>
              <w:pStyle w:val="NormalWeb"/>
              <w:rPr>
                <w:b/>
              </w:rPr>
            </w:pPr>
            <w:r w:rsidRPr="00C0171F">
              <w:rPr>
                <w:b/>
              </w:rPr>
              <w:t>Event attendance</w:t>
            </w:r>
          </w:p>
        </w:tc>
        <w:tc>
          <w:tcPr>
            <w:tcW w:w="968" w:type="dxa"/>
            <w:vAlign w:val="center"/>
            <w:hideMark/>
          </w:tcPr>
          <w:p w14:paraId="21F47424" w14:textId="77777777" w:rsidR="00186703" w:rsidRPr="00C0171F" w:rsidRDefault="00186703" w:rsidP="00D40F8F">
            <w:pPr>
              <w:jc w:val="center"/>
              <w:rPr>
                <w:b/>
              </w:rPr>
            </w:pPr>
          </w:p>
        </w:tc>
        <w:tc>
          <w:tcPr>
            <w:tcW w:w="969" w:type="dxa"/>
            <w:vAlign w:val="center"/>
            <w:hideMark/>
          </w:tcPr>
          <w:p w14:paraId="3A184000" w14:textId="77777777" w:rsidR="00186703" w:rsidRPr="00C0171F" w:rsidRDefault="00186703" w:rsidP="00D40F8F">
            <w:pPr>
              <w:jc w:val="center"/>
              <w:rPr>
                <w:rFonts w:eastAsia="Times New Roman"/>
                <w:b/>
                <w:sz w:val="20"/>
                <w:szCs w:val="20"/>
              </w:rPr>
            </w:pPr>
          </w:p>
        </w:tc>
        <w:tc>
          <w:tcPr>
            <w:tcW w:w="969" w:type="dxa"/>
            <w:vAlign w:val="center"/>
            <w:hideMark/>
          </w:tcPr>
          <w:p w14:paraId="4F5C1F4F" w14:textId="77777777" w:rsidR="00186703" w:rsidRPr="00C0171F" w:rsidRDefault="00186703" w:rsidP="00D40F8F">
            <w:pPr>
              <w:jc w:val="center"/>
              <w:rPr>
                <w:rFonts w:eastAsia="Times New Roman"/>
                <w:b/>
                <w:sz w:val="20"/>
                <w:szCs w:val="20"/>
              </w:rPr>
            </w:pPr>
          </w:p>
        </w:tc>
        <w:tc>
          <w:tcPr>
            <w:tcW w:w="1140" w:type="dxa"/>
            <w:vAlign w:val="center"/>
            <w:hideMark/>
          </w:tcPr>
          <w:p w14:paraId="1C29F557" w14:textId="77777777" w:rsidR="00186703" w:rsidRPr="00C0171F" w:rsidRDefault="00186703" w:rsidP="00D40F8F">
            <w:pPr>
              <w:jc w:val="center"/>
              <w:rPr>
                <w:rFonts w:eastAsia="Times New Roman"/>
                <w:b/>
                <w:sz w:val="20"/>
                <w:szCs w:val="20"/>
              </w:rPr>
            </w:pPr>
          </w:p>
        </w:tc>
        <w:tc>
          <w:tcPr>
            <w:tcW w:w="1140" w:type="dxa"/>
            <w:vAlign w:val="center"/>
            <w:hideMark/>
          </w:tcPr>
          <w:p w14:paraId="10B5C3B4" w14:textId="77777777" w:rsidR="00186703" w:rsidRPr="00C0171F" w:rsidRDefault="00186703" w:rsidP="00D40F8F">
            <w:pPr>
              <w:jc w:val="center"/>
              <w:rPr>
                <w:rFonts w:eastAsia="Times New Roman"/>
                <w:b/>
                <w:sz w:val="20"/>
                <w:szCs w:val="20"/>
              </w:rPr>
            </w:pPr>
          </w:p>
        </w:tc>
        <w:tc>
          <w:tcPr>
            <w:tcW w:w="1140" w:type="dxa"/>
            <w:vAlign w:val="center"/>
            <w:hideMark/>
          </w:tcPr>
          <w:p w14:paraId="2821939A" w14:textId="77777777" w:rsidR="00186703" w:rsidRPr="00C0171F" w:rsidRDefault="00186703" w:rsidP="00D40F8F">
            <w:pPr>
              <w:jc w:val="center"/>
              <w:rPr>
                <w:rFonts w:eastAsia="Times New Roman"/>
                <w:b/>
                <w:sz w:val="20"/>
                <w:szCs w:val="20"/>
              </w:rPr>
            </w:pPr>
          </w:p>
        </w:tc>
        <w:tc>
          <w:tcPr>
            <w:tcW w:w="720" w:type="dxa"/>
            <w:vAlign w:val="center"/>
            <w:hideMark/>
          </w:tcPr>
          <w:p w14:paraId="2B28522A" w14:textId="77777777" w:rsidR="00186703" w:rsidRPr="00C0171F" w:rsidRDefault="00186703" w:rsidP="00D40F8F">
            <w:pPr>
              <w:jc w:val="center"/>
              <w:rPr>
                <w:rFonts w:eastAsia="Times New Roman"/>
                <w:b/>
                <w:sz w:val="20"/>
                <w:szCs w:val="20"/>
              </w:rPr>
            </w:pPr>
          </w:p>
        </w:tc>
        <w:tc>
          <w:tcPr>
            <w:tcW w:w="1440" w:type="dxa"/>
            <w:vAlign w:val="center"/>
            <w:hideMark/>
          </w:tcPr>
          <w:p w14:paraId="44E4D938" w14:textId="77777777" w:rsidR="00186703" w:rsidRPr="00C0171F" w:rsidRDefault="00186703" w:rsidP="00D40F8F">
            <w:pPr>
              <w:jc w:val="center"/>
              <w:rPr>
                <w:rFonts w:eastAsia="Times New Roman"/>
                <w:b/>
                <w:sz w:val="20"/>
                <w:szCs w:val="20"/>
              </w:rPr>
            </w:pPr>
          </w:p>
        </w:tc>
      </w:tr>
      <w:tr w:rsidR="00EA290C" w14:paraId="6C06EC52" w14:textId="77777777" w:rsidTr="00D40F8F">
        <w:tc>
          <w:tcPr>
            <w:tcW w:w="1980" w:type="dxa"/>
            <w:hideMark/>
          </w:tcPr>
          <w:p w14:paraId="0A6FF46F" w14:textId="77777777" w:rsidR="00186703" w:rsidRDefault="00186703">
            <w:pPr>
              <w:pStyle w:val="NormalWeb"/>
              <w:rPr>
                <w:sz w:val="24"/>
                <w:szCs w:val="24"/>
              </w:rPr>
            </w:pPr>
            <w:r>
              <w:t>Dinner A</w:t>
            </w:r>
          </w:p>
        </w:tc>
        <w:tc>
          <w:tcPr>
            <w:tcW w:w="968" w:type="dxa"/>
            <w:vAlign w:val="center"/>
            <w:hideMark/>
          </w:tcPr>
          <w:p w14:paraId="0400F3E2" w14:textId="77777777" w:rsidR="00186703" w:rsidRDefault="00186703" w:rsidP="00D40F8F">
            <w:pPr>
              <w:pStyle w:val="NormalWeb"/>
              <w:jc w:val="center"/>
            </w:pPr>
            <w:r>
              <w:t>7</w:t>
            </w:r>
          </w:p>
        </w:tc>
        <w:tc>
          <w:tcPr>
            <w:tcW w:w="969" w:type="dxa"/>
            <w:vAlign w:val="center"/>
            <w:hideMark/>
          </w:tcPr>
          <w:p w14:paraId="3398E95D" w14:textId="77777777" w:rsidR="00186703" w:rsidRDefault="00186703" w:rsidP="00D40F8F">
            <w:pPr>
              <w:pStyle w:val="NormalWeb"/>
              <w:jc w:val="center"/>
            </w:pPr>
            <w:r>
              <w:t>9</w:t>
            </w:r>
          </w:p>
        </w:tc>
        <w:tc>
          <w:tcPr>
            <w:tcW w:w="969" w:type="dxa"/>
            <w:vAlign w:val="center"/>
            <w:hideMark/>
          </w:tcPr>
          <w:p w14:paraId="0C3D5A79" w14:textId="77777777" w:rsidR="00186703" w:rsidRDefault="00186703" w:rsidP="00D40F8F">
            <w:pPr>
              <w:pStyle w:val="NormalWeb"/>
              <w:jc w:val="center"/>
            </w:pPr>
            <w:r>
              <w:t>78</w:t>
            </w:r>
          </w:p>
        </w:tc>
        <w:tc>
          <w:tcPr>
            <w:tcW w:w="1140" w:type="dxa"/>
            <w:vAlign w:val="center"/>
            <w:hideMark/>
          </w:tcPr>
          <w:p w14:paraId="28C48496" w14:textId="77777777" w:rsidR="00186703" w:rsidRDefault="00186703" w:rsidP="00D40F8F">
            <w:pPr>
              <w:pStyle w:val="NormalWeb"/>
              <w:jc w:val="center"/>
            </w:pPr>
            <w:r>
              <w:t>7</w:t>
            </w:r>
          </w:p>
        </w:tc>
        <w:tc>
          <w:tcPr>
            <w:tcW w:w="1140" w:type="dxa"/>
            <w:vAlign w:val="center"/>
            <w:hideMark/>
          </w:tcPr>
          <w:p w14:paraId="161F43EA" w14:textId="77777777" w:rsidR="00186703" w:rsidRDefault="00186703" w:rsidP="00D40F8F">
            <w:pPr>
              <w:pStyle w:val="NormalWeb"/>
              <w:jc w:val="center"/>
            </w:pPr>
            <w:r>
              <w:t>13</w:t>
            </w:r>
          </w:p>
        </w:tc>
        <w:tc>
          <w:tcPr>
            <w:tcW w:w="1140" w:type="dxa"/>
            <w:vAlign w:val="center"/>
            <w:hideMark/>
          </w:tcPr>
          <w:p w14:paraId="487D1E2E" w14:textId="77777777" w:rsidR="00186703" w:rsidRDefault="00186703" w:rsidP="00D40F8F">
            <w:pPr>
              <w:pStyle w:val="NormalWeb"/>
              <w:jc w:val="center"/>
            </w:pPr>
            <w:r>
              <w:t>54</w:t>
            </w:r>
          </w:p>
        </w:tc>
        <w:tc>
          <w:tcPr>
            <w:tcW w:w="720" w:type="dxa"/>
            <w:vAlign w:val="center"/>
            <w:hideMark/>
          </w:tcPr>
          <w:p w14:paraId="02FBB111" w14:textId="77777777" w:rsidR="00186703" w:rsidRDefault="00186703" w:rsidP="00D40F8F">
            <w:pPr>
              <w:pStyle w:val="NormalWeb"/>
              <w:jc w:val="center"/>
            </w:pPr>
            <w:r>
              <w:t>1.4</w:t>
            </w:r>
          </w:p>
        </w:tc>
        <w:tc>
          <w:tcPr>
            <w:tcW w:w="1440" w:type="dxa"/>
            <w:vAlign w:val="center"/>
            <w:hideMark/>
          </w:tcPr>
          <w:p w14:paraId="0CC4914D" w14:textId="77777777" w:rsidR="00186703" w:rsidRDefault="00186703" w:rsidP="00D40F8F">
            <w:pPr>
              <w:pStyle w:val="NormalWeb"/>
              <w:jc w:val="center"/>
            </w:pPr>
            <w:r>
              <w:t>[0.82–2.68]</w:t>
            </w:r>
          </w:p>
        </w:tc>
      </w:tr>
      <w:tr w:rsidR="00D40F8F" w14:paraId="156842E1" w14:textId="77777777" w:rsidTr="00D40F8F">
        <w:trPr>
          <w:cnfStyle w:val="000000010000" w:firstRow="0" w:lastRow="0" w:firstColumn="0" w:lastColumn="0" w:oddVBand="0" w:evenVBand="0" w:oddHBand="0" w:evenHBand="1" w:firstRowFirstColumn="0" w:firstRowLastColumn="0" w:lastRowFirstColumn="0" w:lastRowLastColumn="0"/>
        </w:trPr>
        <w:tc>
          <w:tcPr>
            <w:tcW w:w="1980" w:type="dxa"/>
            <w:hideMark/>
          </w:tcPr>
          <w:p w14:paraId="60A50335" w14:textId="77777777" w:rsidR="00186703" w:rsidRDefault="00186703">
            <w:pPr>
              <w:pStyle w:val="NormalWeb"/>
            </w:pPr>
            <w:r>
              <w:t>Dinner B</w:t>
            </w:r>
          </w:p>
        </w:tc>
        <w:tc>
          <w:tcPr>
            <w:tcW w:w="968" w:type="dxa"/>
            <w:vAlign w:val="center"/>
            <w:hideMark/>
          </w:tcPr>
          <w:p w14:paraId="3578FBDF" w14:textId="77777777" w:rsidR="00186703" w:rsidRDefault="00186703" w:rsidP="00D40F8F">
            <w:pPr>
              <w:pStyle w:val="NormalWeb"/>
              <w:jc w:val="center"/>
            </w:pPr>
            <w:r>
              <w:t>5</w:t>
            </w:r>
          </w:p>
        </w:tc>
        <w:tc>
          <w:tcPr>
            <w:tcW w:w="969" w:type="dxa"/>
            <w:vAlign w:val="center"/>
            <w:hideMark/>
          </w:tcPr>
          <w:p w14:paraId="7D6357E6" w14:textId="77777777" w:rsidR="00186703" w:rsidRDefault="00186703" w:rsidP="00D40F8F">
            <w:pPr>
              <w:pStyle w:val="NormalWeb"/>
              <w:jc w:val="center"/>
            </w:pPr>
            <w:r>
              <w:t>7</w:t>
            </w:r>
          </w:p>
        </w:tc>
        <w:tc>
          <w:tcPr>
            <w:tcW w:w="969" w:type="dxa"/>
            <w:vAlign w:val="center"/>
            <w:hideMark/>
          </w:tcPr>
          <w:p w14:paraId="6730141B" w14:textId="77777777" w:rsidR="00186703" w:rsidRDefault="00186703" w:rsidP="00D40F8F">
            <w:pPr>
              <w:pStyle w:val="NormalWeb"/>
              <w:jc w:val="center"/>
            </w:pPr>
            <w:r>
              <w:t>71</w:t>
            </w:r>
          </w:p>
        </w:tc>
        <w:tc>
          <w:tcPr>
            <w:tcW w:w="1140" w:type="dxa"/>
            <w:vAlign w:val="center"/>
            <w:hideMark/>
          </w:tcPr>
          <w:p w14:paraId="3A802BE5" w14:textId="77777777" w:rsidR="00186703" w:rsidRDefault="00186703" w:rsidP="00D40F8F">
            <w:pPr>
              <w:pStyle w:val="NormalWeb"/>
              <w:jc w:val="center"/>
            </w:pPr>
            <w:r>
              <w:t>9</w:t>
            </w:r>
          </w:p>
        </w:tc>
        <w:tc>
          <w:tcPr>
            <w:tcW w:w="1140" w:type="dxa"/>
            <w:vAlign w:val="center"/>
            <w:hideMark/>
          </w:tcPr>
          <w:p w14:paraId="6220D318" w14:textId="77777777" w:rsidR="00186703" w:rsidRDefault="00186703" w:rsidP="00D40F8F">
            <w:pPr>
              <w:pStyle w:val="NormalWeb"/>
              <w:jc w:val="center"/>
            </w:pPr>
            <w:r>
              <w:t>15</w:t>
            </w:r>
          </w:p>
        </w:tc>
        <w:tc>
          <w:tcPr>
            <w:tcW w:w="1140" w:type="dxa"/>
            <w:vAlign w:val="center"/>
            <w:hideMark/>
          </w:tcPr>
          <w:p w14:paraId="204F36EF" w14:textId="77777777" w:rsidR="00186703" w:rsidRDefault="00186703" w:rsidP="00D40F8F">
            <w:pPr>
              <w:pStyle w:val="NormalWeb"/>
              <w:jc w:val="center"/>
            </w:pPr>
            <w:r>
              <w:t>60</w:t>
            </w:r>
          </w:p>
        </w:tc>
        <w:tc>
          <w:tcPr>
            <w:tcW w:w="720" w:type="dxa"/>
            <w:vAlign w:val="center"/>
            <w:hideMark/>
          </w:tcPr>
          <w:p w14:paraId="19FB21EE" w14:textId="77777777" w:rsidR="00186703" w:rsidRDefault="00186703" w:rsidP="00D40F8F">
            <w:pPr>
              <w:pStyle w:val="NormalWeb"/>
              <w:jc w:val="center"/>
            </w:pPr>
            <w:r>
              <w:t>1.3</w:t>
            </w:r>
          </w:p>
        </w:tc>
        <w:tc>
          <w:tcPr>
            <w:tcW w:w="1440" w:type="dxa"/>
            <w:vAlign w:val="center"/>
            <w:hideMark/>
          </w:tcPr>
          <w:p w14:paraId="5251564A" w14:textId="77777777" w:rsidR="00186703" w:rsidRDefault="00186703" w:rsidP="00D40F8F">
            <w:pPr>
              <w:pStyle w:val="NormalWeb"/>
              <w:jc w:val="center"/>
            </w:pPr>
            <w:r>
              <w:t>[0.70–2.22]</w:t>
            </w:r>
          </w:p>
        </w:tc>
      </w:tr>
      <w:tr w:rsidR="00EA290C" w14:paraId="2B63A0AA" w14:textId="77777777" w:rsidTr="00D40F8F">
        <w:tc>
          <w:tcPr>
            <w:tcW w:w="1980" w:type="dxa"/>
            <w:hideMark/>
          </w:tcPr>
          <w:p w14:paraId="5BDA7E17" w14:textId="77777777" w:rsidR="00186703" w:rsidRDefault="00186703">
            <w:pPr>
              <w:pStyle w:val="NormalWeb"/>
            </w:pPr>
            <w:r>
              <w:t>Dinner C</w:t>
            </w:r>
          </w:p>
        </w:tc>
        <w:tc>
          <w:tcPr>
            <w:tcW w:w="968" w:type="dxa"/>
            <w:vAlign w:val="center"/>
            <w:hideMark/>
          </w:tcPr>
          <w:p w14:paraId="682415B7" w14:textId="77777777" w:rsidR="00186703" w:rsidRDefault="00186703" w:rsidP="00D40F8F">
            <w:pPr>
              <w:pStyle w:val="NormalWeb"/>
              <w:jc w:val="center"/>
            </w:pPr>
            <w:r>
              <w:t>7</w:t>
            </w:r>
          </w:p>
        </w:tc>
        <w:tc>
          <w:tcPr>
            <w:tcW w:w="969" w:type="dxa"/>
            <w:vAlign w:val="center"/>
            <w:hideMark/>
          </w:tcPr>
          <w:p w14:paraId="4B61F3C2" w14:textId="77777777" w:rsidR="00186703" w:rsidRDefault="00186703" w:rsidP="00D40F8F">
            <w:pPr>
              <w:pStyle w:val="NormalWeb"/>
              <w:jc w:val="center"/>
            </w:pPr>
            <w:r>
              <w:t>9</w:t>
            </w:r>
          </w:p>
        </w:tc>
        <w:tc>
          <w:tcPr>
            <w:tcW w:w="969" w:type="dxa"/>
            <w:vAlign w:val="center"/>
            <w:hideMark/>
          </w:tcPr>
          <w:p w14:paraId="07D130FF" w14:textId="77777777" w:rsidR="00186703" w:rsidRDefault="00186703" w:rsidP="00D40F8F">
            <w:pPr>
              <w:pStyle w:val="NormalWeb"/>
              <w:jc w:val="center"/>
            </w:pPr>
            <w:r>
              <w:t>78</w:t>
            </w:r>
          </w:p>
        </w:tc>
        <w:tc>
          <w:tcPr>
            <w:tcW w:w="1140" w:type="dxa"/>
            <w:vAlign w:val="center"/>
            <w:hideMark/>
          </w:tcPr>
          <w:p w14:paraId="7F51601A" w14:textId="77777777" w:rsidR="00186703" w:rsidRDefault="00186703" w:rsidP="00D40F8F">
            <w:pPr>
              <w:pStyle w:val="NormalWeb"/>
              <w:jc w:val="center"/>
            </w:pPr>
            <w:r>
              <w:t>7</w:t>
            </w:r>
          </w:p>
        </w:tc>
        <w:tc>
          <w:tcPr>
            <w:tcW w:w="1140" w:type="dxa"/>
            <w:vAlign w:val="center"/>
            <w:hideMark/>
          </w:tcPr>
          <w:p w14:paraId="6FE0D1DC" w14:textId="77777777" w:rsidR="00186703" w:rsidRDefault="00186703" w:rsidP="00D40F8F">
            <w:pPr>
              <w:pStyle w:val="NormalWeb"/>
              <w:jc w:val="center"/>
            </w:pPr>
            <w:r>
              <w:t>13</w:t>
            </w:r>
          </w:p>
        </w:tc>
        <w:tc>
          <w:tcPr>
            <w:tcW w:w="1140" w:type="dxa"/>
            <w:vAlign w:val="center"/>
            <w:hideMark/>
          </w:tcPr>
          <w:p w14:paraId="1EDFCE0C" w14:textId="77777777" w:rsidR="00186703" w:rsidRDefault="00186703" w:rsidP="00D40F8F">
            <w:pPr>
              <w:pStyle w:val="NormalWeb"/>
              <w:jc w:val="center"/>
            </w:pPr>
            <w:r>
              <w:t>54</w:t>
            </w:r>
          </w:p>
        </w:tc>
        <w:tc>
          <w:tcPr>
            <w:tcW w:w="720" w:type="dxa"/>
            <w:vAlign w:val="center"/>
            <w:hideMark/>
          </w:tcPr>
          <w:p w14:paraId="0AF07635" w14:textId="77777777" w:rsidR="00186703" w:rsidRDefault="00186703" w:rsidP="00D40F8F">
            <w:pPr>
              <w:pStyle w:val="NormalWeb"/>
              <w:jc w:val="center"/>
            </w:pPr>
            <w:r>
              <w:t>1.4</w:t>
            </w:r>
          </w:p>
        </w:tc>
        <w:tc>
          <w:tcPr>
            <w:tcW w:w="1440" w:type="dxa"/>
            <w:vAlign w:val="center"/>
            <w:hideMark/>
          </w:tcPr>
          <w:p w14:paraId="45F38C8C" w14:textId="77777777" w:rsidR="00186703" w:rsidRDefault="00186703" w:rsidP="00D40F8F">
            <w:pPr>
              <w:pStyle w:val="NormalWeb"/>
              <w:jc w:val="center"/>
            </w:pPr>
            <w:r>
              <w:t>[0.82–2.68]</w:t>
            </w:r>
          </w:p>
        </w:tc>
      </w:tr>
      <w:tr w:rsidR="00D40F8F" w14:paraId="402BF998" w14:textId="77777777" w:rsidTr="00D40F8F">
        <w:trPr>
          <w:cnfStyle w:val="000000010000" w:firstRow="0" w:lastRow="0" w:firstColumn="0" w:lastColumn="0" w:oddVBand="0" w:evenVBand="0" w:oddHBand="0" w:evenHBand="1" w:firstRowFirstColumn="0" w:firstRowLastColumn="0" w:lastRowFirstColumn="0" w:lastRowLastColumn="0"/>
        </w:trPr>
        <w:tc>
          <w:tcPr>
            <w:tcW w:w="1980" w:type="dxa"/>
            <w:hideMark/>
          </w:tcPr>
          <w:p w14:paraId="28177060" w14:textId="77777777" w:rsidR="00186703" w:rsidRDefault="00186703">
            <w:pPr>
              <w:pStyle w:val="NormalWeb"/>
            </w:pPr>
            <w:r>
              <w:t>Welcome party</w:t>
            </w:r>
          </w:p>
        </w:tc>
        <w:tc>
          <w:tcPr>
            <w:tcW w:w="968" w:type="dxa"/>
            <w:vAlign w:val="center"/>
            <w:hideMark/>
          </w:tcPr>
          <w:p w14:paraId="263EEBD1" w14:textId="77777777" w:rsidR="00186703" w:rsidRDefault="00186703" w:rsidP="00D40F8F">
            <w:pPr>
              <w:pStyle w:val="NormalWeb"/>
              <w:jc w:val="center"/>
            </w:pPr>
            <w:r>
              <w:t>23</w:t>
            </w:r>
          </w:p>
        </w:tc>
        <w:tc>
          <w:tcPr>
            <w:tcW w:w="969" w:type="dxa"/>
            <w:vAlign w:val="center"/>
            <w:hideMark/>
          </w:tcPr>
          <w:p w14:paraId="56E97BB4" w14:textId="77777777" w:rsidR="00186703" w:rsidRDefault="00186703" w:rsidP="00D40F8F">
            <w:pPr>
              <w:pStyle w:val="NormalWeb"/>
              <w:jc w:val="center"/>
            </w:pPr>
            <w:r>
              <w:t>41</w:t>
            </w:r>
          </w:p>
        </w:tc>
        <w:tc>
          <w:tcPr>
            <w:tcW w:w="969" w:type="dxa"/>
            <w:vAlign w:val="center"/>
            <w:hideMark/>
          </w:tcPr>
          <w:p w14:paraId="563B8CDE" w14:textId="77777777" w:rsidR="00186703" w:rsidRDefault="00186703" w:rsidP="00D40F8F">
            <w:pPr>
              <w:pStyle w:val="NormalWeb"/>
              <w:jc w:val="center"/>
            </w:pPr>
            <w:r>
              <w:t>56</w:t>
            </w:r>
          </w:p>
        </w:tc>
        <w:tc>
          <w:tcPr>
            <w:tcW w:w="1140" w:type="dxa"/>
            <w:vAlign w:val="center"/>
            <w:hideMark/>
          </w:tcPr>
          <w:p w14:paraId="459810BE" w14:textId="77777777" w:rsidR="00186703" w:rsidRDefault="00186703" w:rsidP="00D40F8F">
            <w:pPr>
              <w:pStyle w:val="NormalWeb"/>
              <w:jc w:val="center"/>
            </w:pPr>
            <w:r>
              <w:t>0</w:t>
            </w:r>
          </w:p>
        </w:tc>
        <w:tc>
          <w:tcPr>
            <w:tcW w:w="1140" w:type="dxa"/>
            <w:vAlign w:val="center"/>
            <w:hideMark/>
          </w:tcPr>
          <w:p w14:paraId="75C718AB" w14:textId="77777777" w:rsidR="00186703" w:rsidRDefault="00186703" w:rsidP="00D40F8F">
            <w:pPr>
              <w:pStyle w:val="NormalWeb"/>
              <w:jc w:val="center"/>
            </w:pPr>
            <w:r>
              <w:t>0</w:t>
            </w:r>
          </w:p>
        </w:tc>
        <w:tc>
          <w:tcPr>
            <w:tcW w:w="1140" w:type="dxa"/>
            <w:vAlign w:val="center"/>
            <w:hideMark/>
          </w:tcPr>
          <w:p w14:paraId="720A5B8B" w14:textId="77777777" w:rsidR="00186703" w:rsidRDefault="00186703" w:rsidP="00D40F8F">
            <w:pPr>
              <w:pStyle w:val="NormalWeb"/>
              <w:jc w:val="center"/>
            </w:pPr>
            <w:r>
              <w:t>–</w:t>
            </w:r>
          </w:p>
        </w:tc>
        <w:tc>
          <w:tcPr>
            <w:tcW w:w="720" w:type="dxa"/>
            <w:vAlign w:val="center"/>
            <w:hideMark/>
          </w:tcPr>
          <w:p w14:paraId="1266D46B" w14:textId="77777777" w:rsidR="00186703" w:rsidRDefault="00186703" w:rsidP="00D40F8F">
            <w:pPr>
              <w:pStyle w:val="NormalWeb"/>
              <w:jc w:val="center"/>
            </w:pPr>
            <w:r>
              <w:t>–</w:t>
            </w:r>
          </w:p>
        </w:tc>
        <w:tc>
          <w:tcPr>
            <w:tcW w:w="1440" w:type="dxa"/>
            <w:vAlign w:val="center"/>
            <w:hideMark/>
          </w:tcPr>
          <w:p w14:paraId="0DEFB629" w14:textId="77777777" w:rsidR="00186703" w:rsidRDefault="00186703" w:rsidP="00D40F8F">
            <w:pPr>
              <w:pStyle w:val="NormalWeb"/>
              <w:jc w:val="center"/>
            </w:pPr>
            <w:r>
              <w:t>–</w:t>
            </w:r>
          </w:p>
        </w:tc>
      </w:tr>
      <w:tr w:rsidR="00EA290C" w14:paraId="685A731A" w14:textId="77777777" w:rsidTr="00D40F8F">
        <w:tc>
          <w:tcPr>
            <w:tcW w:w="1980" w:type="dxa"/>
            <w:hideMark/>
          </w:tcPr>
          <w:p w14:paraId="7213069F" w14:textId="77777777" w:rsidR="00186703" w:rsidRDefault="00186703">
            <w:pPr>
              <w:pStyle w:val="NormalWeb"/>
            </w:pPr>
            <w:r>
              <w:t>Dinner D</w:t>
            </w:r>
          </w:p>
        </w:tc>
        <w:tc>
          <w:tcPr>
            <w:tcW w:w="968" w:type="dxa"/>
            <w:vAlign w:val="center"/>
            <w:hideMark/>
          </w:tcPr>
          <w:p w14:paraId="5EF1E9C3" w14:textId="77777777" w:rsidR="00186703" w:rsidRDefault="00186703" w:rsidP="00D40F8F">
            <w:pPr>
              <w:pStyle w:val="NormalWeb"/>
              <w:jc w:val="center"/>
            </w:pPr>
            <w:r>
              <w:t>14</w:t>
            </w:r>
          </w:p>
        </w:tc>
        <w:tc>
          <w:tcPr>
            <w:tcW w:w="969" w:type="dxa"/>
            <w:vAlign w:val="center"/>
            <w:hideMark/>
          </w:tcPr>
          <w:p w14:paraId="01A1BC2E" w14:textId="77777777" w:rsidR="00186703" w:rsidRDefault="00186703" w:rsidP="00D40F8F">
            <w:pPr>
              <w:pStyle w:val="NormalWeb"/>
              <w:jc w:val="center"/>
            </w:pPr>
            <w:r>
              <w:t>22</w:t>
            </w:r>
          </w:p>
        </w:tc>
        <w:tc>
          <w:tcPr>
            <w:tcW w:w="969" w:type="dxa"/>
            <w:vAlign w:val="center"/>
            <w:hideMark/>
          </w:tcPr>
          <w:p w14:paraId="34BCD820" w14:textId="77777777" w:rsidR="00186703" w:rsidRDefault="00186703" w:rsidP="00D40F8F">
            <w:pPr>
              <w:pStyle w:val="NormalWeb"/>
              <w:jc w:val="center"/>
            </w:pPr>
            <w:r>
              <w:t>64</w:t>
            </w:r>
          </w:p>
        </w:tc>
        <w:tc>
          <w:tcPr>
            <w:tcW w:w="1140" w:type="dxa"/>
            <w:vAlign w:val="center"/>
            <w:hideMark/>
          </w:tcPr>
          <w:p w14:paraId="4BBC0BEE" w14:textId="77777777" w:rsidR="00186703" w:rsidRDefault="00186703" w:rsidP="00D40F8F">
            <w:pPr>
              <w:pStyle w:val="NormalWeb"/>
              <w:jc w:val="center"/>
            </w:pPr>
            <w:r>
              <w:t>0</w:t>
            </w:r>
          </w:p>
        </w:tc>
        <w:tc>
          <w:tcPr>
            <w:tcW w:w="1140" w:type="dxa"/>
            <w:vAlign w:val="center"/>
            <w:hideMark/>
          </w:tcPr>
          <w:p w14:paraId="082299AB" w14:textId="77777777" w:rsidR="00186703" w:rsidRDefault="00186703" w:rsidP="00D40F8F">
            <w:pPr>
              <w:pStyle w:val="NormalWeb"/>
              <w:jc w:val="center"/>
            </w:pPr>
            <w:r>
              <w:t>6</w:t>
            </w:r>
          </w:p>
        </w:tc>
        <w:tc>
          <w:tcPr>
            <w:tcW w:w="1140" w:type="dxa"/>
            <w:vAlign w:val="center"/>
            <w:hideMark/>
          </w:tcPr>
          <w:p w14:paraId="326DFC01" w14:textId="77777777" w:rsidR="00186703" w:rsidRDefault="00186703" w:rsidP="00D40F8F">
            <w:pPr>
              <w:pStyle w:val="NormalWeb"/>
              <w:jc w:val="center"/>
            </w:pPr>
            <w:r>
              <w:t>0</w:t>
            </w:r>
          </w:p>
        </w:tc>
        <w:tc>
          <w:tcPr>
            <w:tcW w:w="720" w:type="dxa"/>
            <w:vAlign w:val="center"/>
            <w:hideMark/>
          </w:tcPr>
          <w:p w14:paraId="406985C2" w14:textId="77777777" w:rsidR="00186703" w:rsidRDefault="00186703" w:rsidP="00D40F8F">
            <w:pPr>
              <w:pStyle w:val="NormalWeb"/>
              <w:jc w:val="center"/>
            </w:pPr>
            <w:r>
              <w:t>–</w:t>
            </w:r>
          </w:p>
        </w:tc>
        <w:tc>
          <w:tcPr>
            <w:tcW w:w="1440" w:type="dxa"/>
            <w:vAlign w:val="center"/>
            <w:hideMark/>
          </w:tcPr>
          <w:p w14:paraId="2B3D43B0" w14:textId="77777777" w:rsidR="00186703" w:rsidRDefault="00186703" w:rsidP="00D40F8F">
            <w:pPr>
              <w:pStyle w:val="NormalWeb"/>
              <w:jc w:val="center"/>
            </w:pPr>
            <w:r>
              <w:t>–</w:t>
            </w:r>
          </w:p>
        </w:tc>
      </w:tr>
      <w:tr w:rsidR="00D40F8F" w14:paraId="7B14501A" w14:textId="77777777" w:rsidTr="00D40F8F">
        <w:trPr>
          <w:cnfStyle w:val="000000010000" w:firstRow="0" w:lastRow="0" w:firstColumn="0" w:lastColumn="0" w:oddVBand="0" w:evenVBand="0" w:oddHBand="0" w:evenHBand="1" w:firstRowFirstColumn="0" w:firstRowLastColumn="0" w:lastRowFirstColumn="0" w:lastRowLastColumn="0"/>
        </w:trPr>
        <w:tc>
          <w:tcPr>
            <w:tcW w:w="1980" w:type="dxa"/>
            <w:hideMark/>
          </w:tcPr>
          <w:p w14:paraId="70FEA72D" w14:textId="77777777" w:rsidR="00186703" w:rsidRDefault="00186703">
            <w:pPr>
              <w:pStyle w:val="NormalWeb"/>
            </w:pPr>
            <w:r>
              <w:t>Wedding day</w:t>
            </w:r>
          </w:p>
        </w:tc>
        <w:tc>
          <w:tcPr>
            <w:tcW w:w="968" w:type="dxa"/>
            <w:vAlign w:val="center"/>
            <w:hideMark/>
          </w:tcPr>
          <w:p w14:paraId="7460576A" w14:textId="77777777" w:rsidR="00186703" w:rsidRDefault="00186703" w:rsidP="00D40F8F">
            <w:pPr>
              <w:pStyle w:val="NormalWeb"/>
              <w:jc w:val="center"/>
            </w:pPr>
            <w:r>
              <w:t>23</w:t>
            </w:r>
          </w:p>
        </w:tc>
        <w:tc>
          <w:tcPr>
            <w:tcW w:w="969" w:type="dxa"/>
            <w:vAlign w:val="center"/>
            <w:hideMark/>
          </w:tcPr>
          <w:p w14:paraId="2F067745" w14:textId="77777777" w:rsidR="00186703" w:rsidRDefault="00186703" w:rsidP="00D40F8F">
            <w:pPr>
              <w:pStyle w:val="NormalWeb"/>
              <w:jc w:val="center"/>
            </w:pPr>
            <w:r>
              <w:t>35</w:t>
            </w:r>
          </w:p>
        </w:tc>
        <w:tc>
          <w:tcPr>
            <w:tcW w:w="969" w:type="dxa"/>
            <w:vAlign w:val="center"/>
            <w:hideMark/>
          </w:tcPr>
          <w:p w14:paraId="261A4BFD" w14:textId="77777777" w:rsidR="00186703" w:rsidRDefault="00186703" w:rsidP="00D40F8F">
            <w:pPr>
              <w:pStyle w:val="NormalWeb"/>
              <w:jc w:val="center"/>
            </w:pPr>
            <w:r>
              <w:t>66</w:t>
            </w:r>
          </w:p>
        </w:tc>
        <w:tc>
          <w:tcPr>
            <w:tcW w:w="1140" w:type="dxa"/>
            <w:vAlign w:val="center"/>
            <w:hideMark/>
          </w:tcPr>
          <w:p w14:paraId="59E1EC0B" w14:textId="77777777" w:rsidR="00186703" w:rsidRDefault="00186703" w:rsidP="00D40F8F">
            <w:pPr>
              <w:pStyle w:val="NormalWeb"/>
              <w:jc w:val="center"/>
            </w:pPr>
            <w:r>
              <w:t>0</w:t>
            </w:r>
          </w:p>
        </w:tc>
        <w:tc>
          <w:tcPr>
            <w:tcW w:w="1140" w:type="dxa"/>
            <w:vAlign w:val="center"/>
            <w:hideMark/>
          </w:tcPr>
          <w:p w14:paraId="4B29589B" w14:textId="77777777" w:rsidR="00186703" w:rsidRDefault="00186703" w:rsidP="00D40F8F">
            <w:pPr>
              <w:pStyle w:val="NormalWeb"/>
              <w:jc w:val="center"/>
            </w:pPr>
            <w:r>
              <w:t>6</w:t>
            </w:r>
          </w:p>
        </w:tc>
        <w:tc>
          <w:tcPr>
            <w:tcW w:w="1140" w:type="dxa"/>
            <w:vAlign w:val="center"/>
            <w:hideMark/>
          </w:tcPr>
          <w:p w14:paraId="0C3920C2" w14:textId="77777777" w:rsidR="00186703" w:rsidRDefault="00186703" w:rsidP="00D40F8F">
            <w:pPr>
              <w:pStyle w:val="NormalWeb"/>
              <w:jc w:val="center"/>
            </w:pPr>
            <w:r>
              <w:t>0</w:t>
            </w:r>
          </w:p>
        </w:tc>
        <w:tc>
          <w:tcPr>
            <w:tcW w:w="720" w:type="dxa"/>
            <w:vAlign w:val="center"/>
            <w:hideMark/>
          </w:tcPr>
          <w:p w14:paraId="06AA5BEA" w14:textId="77777777" w:rsidR="00186703" w:rsidRDefault="00186703" w:rsidP="00D40F8F">
            <w:pPr>
              <w:pStyle w:val="NormalWeb"/>
              <w:jc w:val="center"/>
            </w:pPr>
            <w:r>
              <w:t>–</w:t>
            </w:r>
          </w:p>
        </w:tc>
        <w:tc>
          <w:tcPr>
            <w:tcW w:w="1440" w:type="dxa"/>
            <w:vAlign w:val="center"/>
            <w:hideMark/>
          </w:tcPr>
          <w:p w14:paraId="5094E4A4" w14:textId="77777777" w:rsidR="00186703" w:rsidRDefault="00186703" w:rsidP="00D40F8F">
            <w:pPr>
              <w:pStyle w:val="NormalWeb"/>
              <w:jc w:val="center"/>
            </w:pPr>
            <w:r>
              <w:t>–</w:t>
            </w:r>
          </w:p>
        </w:tc>
      </w:tr>
      <w:tr w:rsidR="00EA290C" w14:paraId="1A9CA186" w14:textId="77777777" w:rsidTr="00D40F8F">
        <w:tc>
          <w:tcPr>
            <w:tcW w:w="1980" w:type="dxa"/>
            <w:hideMark/>
          </w:tcPr>
          <w:p w14:paraId="5551DE32" w14:textId="77777777" w:rsidR="00186703" w:rsidRDefault="00186703">
            <w:pPr>
              <w:pStyle w:val="NormalWeb"/>
            </w:pPr>
            <w:r>
              <w:t>After party</w:t>
            </w:r>
          </w:p>
        </w:tc>
        <w:tc>
          <w:tcPr>
            <w:tcW w:w="968" w:type="dxa"/>
            <w:vAlign w:val="center"/>
            <w:hideMark/>
          </w:tcPr>
          <w:p w14:paraId="40C5FB9B" w14:textId="77777777" w:rsidR="00186703" w:rsidRDefault="00186703" w:rsidP="00D40F8F">
            <w:pPr>
              <w:pStyle w:val="NormalWeb"/>
              <w:jc w:val="center"/>
            </w:pPr>
            <w:r>
              <w:t>11</w:t>
            </w:r>
          </w:p>
        </w:tc>
        <w:tc>
          <w:tcPr>
            <w:tcW w:w="969" w:type="dxa"/>
            <w:vAlign w:val="center"/>
            <w:hideMark/>
          </w:tcPr>
          <w:p w14:paraId="0652422D" w14:textId="77777777" w:rsidR="00186703" w:rsidRDefault="00186703" w:rsidP="00D40F8F">
            <w:pPr>
              <w:pStyle w:val="NormalWeb"/>
              <w:jc w:val="center"/>
            </w:pPr>
            <w:r>
              <w:t>18</w:t>
            </w:r>
          </w:p>
        </w:tc>
        <w:tc>
          <w:tcPr>
            <w:tcW w:w="969" w:type="dxa"/>
            <w:vAlign w:val="center"/>
            <w:hideMark/>
          </w:tcPr>
          <w:p w14:paraId="1CC17C29" w14:textId="77777777" w:rsidR="00186703" w:rsidRDefault="00186703" w:rsidP="00D40F8F">
            <w:pPr>
              <w:pStyle w:val="NormalWeb"/>
              <w:jc w:val="center"/>
            </w:pPr>
            <w:r>
              <w:t>61</w:t>
            </w:r>
          </w:p>
        </w:tc>
        <w:tc>
          <w:tcPr>
            <w:tcW w:w="1140" w:type="dxa"/>
            <w:vAlign w:val="center"/>
            <w:hideMark/>
          </w:tcPr>
          <w:p w14:paraId="45C4F322" w14:textId="77777777" w:rsidR="00186703" w:rsidRDefault="00186703" w:rsidP="00D40F8F">
            <w:pPr>
              <w:pStyle w:val="NormalWeb"/>
              <w:jc w:val="center"/>
            </w:pPr>
            <w:r>
              <w:t>5</w:t>
            </w:r>
          </w:p>
        </w:tc>
        <w:tc>
          <w:tcPr>
            <w:tcW w:w="1140" w:type="dxa"/>
            <w:vAlign w:val="center"/>
            <w:hideMark/>
          </w:tcPr>
          <w:p w14:paraId="2FB028B5" w14:textId="77777777" w:rsidR="00186703" w:rsidRDefault="00186703" w:rsidP="00D40F8F">
            <w:pPr>
              <w:pStyle w:val="NormalWeb"/>
              <w:jc w:val="center"/>
            </w:pPr>
            <w:r>
              <w:t>12</w:t>
            </w:r>
          </w:p>
        </w:tc>
        <w:tc>
          <w:tcPr>
            <w:tcW w:w="1140" w:type="dxa"/>
            <w:vAlign w:val="center"/>
            <w:hideMark/>
          </w:tcPr>
          <w:p w14:paraId="14167AED" w14:textId="77777777" w:rsidR="00186703" w:rsidRDefault="00186703" w:rsidP="00D40F8F">
            <w:pPr>
              <w:pStyle w:val="NormalWeb"/>
              <w:jc w:val="center"/>
            </w:pPr>
            <w:r>
              <w:t>42</w:t>
            </w:r>
          </w:p>
        </w:tc>
        <w:tc>
          <w:tcPr>
            <w:tcW w:w="720" w:type="dxa"/>
            <w:vAlign w:val="center"/>
            <w:hideMark/>
          </w:tcPr>
          <w:p w14:paraId="3D76A167" w14:textId="77777777" w:rsidR="00186703" w:rsidRDefault="00186703" w:rsidP="00D40F8F">
            <w:pPr>
              <w:pStyle w:val="NormalWeb"/>
              <w:jc w:val="center"/>
            </w:pPr>
            <w:r>
              <w:t>1.5</w:t>
            </w:r>
          </w:p>
        </w:tc>
        <w:tc>
          <w:tcPr>
            <w:tcW w:w="1440" w:type="dxa"/>
            <w:vAlign w:val="center"/>
            <w:hideMark/>
          </w:tcPr>
          <w:p w14:paraId="0B1AB4F4" w14:textId="77777777" w:rsidR="00186703" w:rsidRDefault="00186703" w:rsidP="00D40F8F">
            <w:pPr>
              <w:pStyle w:val="NormalWeb"/>
              <w:jc w:val="center"/>
            </w:pPr>
            <w:r>
              <w:t>[0.68–3.15]</w:t>
            </w:r>
          </w:p>
        </w:tc>
      </w:tr>
    </w:tbl>
    <w:p w14:paraId="05ED63F4" w14:textId="77777777" w:rsidR="00186703" w:rsidRDefault="00186703" w:rsidP="00B1707E">
      <w:pPr>
        <w:pStyle w:val="CDIfootnotes"/>
      </w:pPr>
      <w:proofErr w:type="gramStart"/>
      <w:r>
        <w:t>a</w:t>
      </w:r>
      <w:proofErr w:type="gramEnd"/>
      <w:r>
        <w:tab/>
        <w:t>Exposure and event attendance information were obtained from questionnaires and corroborative histories.</w:t>
      </w:r>
    </w:p>
    <w:p w14:paraId="7F204C0C" w14:textId="77777777" w:rsidR="00186703" w:rsidRDefault="00186703" w:rsidP="00B1707E">
      <w:r>
        <w:t>During their trip to Bali, approximately 88% (15/17) of attendees reported hand washing always before meals, 24% (4/17) used a facemask at least once, and none (0/17) of the attendees used gloves.</w:t>
      </w:r>
    </w:p>
    <w:p w14:paraId="15126258" w14:textId="77777777" w:rsidR="00186703" w:rsidRPr="00B1707E" w:rsidRDefault="00906D9F" w:rsidP="00B1707E">
      <w:pPr>
        <w:pStyle w:val="Heading2"/>
      </w:pPr>
      <w:r>
        <w:t>Discussion and conclusion</w:t>
      </w:r>
    </w:p>
    <w:p w14:paraId="7D5398B7" w14:textId="77777777" w:rsidR="00186703" w:rsidRDefault="00186703" w:rsidP="00B1707E">
      <w:r>
        <w:t>We describe transmission of SARS-CoV-2 among a cohort of people attending wedding events involving multiple high-risk activities. Guests attended several social gatherings where they engaged in close physical contact, shared drinks and smoking utensils, and shared indoor and outdoor spaces for prolonged periods during the wedding events. We postulate that these repeated exposures contributed to the high attack rate amongst attendees. Our findings are consistent with other reports suggesting physical contact during social gatherings poses a risk for rapid transmission.</w:t>
      </w:r>
      <w:r>
        <w:rPr>
          <w:vertAlign w:val="superscript"/>
        </w:rPr>
        <w:t>12</w:t>
      </w:r>
      <w:r>
        <w:t xml:space="preserve"> Indirect contact (e.g. via fomite and sharing drinks) is thought to facil</w:t>
      </w:r>
      <w:r w:rsidR="00387920">
        <w:t>itate transmission of COVID-19.</w:t>
      </w:r>
      <w:r>
        <w:rPr>
          <w:vertAlign w:val="superscript"/>
        </w:rPr>
        <w:t>13</w:t>
      </w:r>
      <w:r>
        <w:t xml:space="preserve"> </w:t>
      </w:r>
    </w:p>
    <w:p w14:paraId="0B16A104" w14:textId="77777777" w:rsidR="00186703" w:rsidRDefault="00186703" w:rsidP="00B1707E">
      <w:r>
        <w:t>We hypothesise that smoking shisha may have assisted transmission and contributed to the high attack rate. Shisha is a possible transmission vehicle of infectious disease,</w:t>
      </w:r>
      <w:r>
        <w:rPr>
          <w:vertAlign w:val="superscript"/>
        </w:rPr>
        <w:t>14</w:t>
      </w:r>
      <w:r>
        <w:t xml:space="preserve"> such as tuberculosis.</w:t>
      </w:r>
      <w:r>
        <w:rPr>
          <w:vertAlign w:val="superscript"/>
        </w:rPr>
        <w:t>15</w:t>
      </w:r>
      <w:r>
        <w:t xml:space="preserve"> To date, there is limited evidence documenting the contribution of shisha use in the spread of COVID-19. Our results represent poor understanding of risks and preventive measures to minimise the spread of COVID-19 amongst the wedding attendees.</w:t>
      </w:r>
    </w:p>
    <w:p w14:paraId="7E2BC5BB" w14:textId="77777777" w:rsidR="00186703" w:rsidRDefault="00186703" w:rsidP="00B1707E">
      <w:r>
        <w:t>In this cohort, we observed a high attack rate of a relatively low-severity illness. Importantly, 11 cases questioned specifically about loss of taste (77%) and smell (70%) reported these as symptoms. Although these symptoms are known predictors of mild and early SARS-CoV-2 infection,</w:t>
      </w:r>
      <w:r>
        <w:rPr>
          <w:vertAlign w:val="superscript"/>
        </w:rPr>
        <w:t>16,17</w:t>
      </w:r>
      <w:r>
        <w:t xml:space="preserve"> our findings support limited evidence that loss of taste and loss of smell developed later in illness.</w:t>
      </w:r>
      <w:r>
        <w:rPr>
          <w:vertAlign w:val="superscript"/>
        </w:rPr>
        <w:t>18</w:t>
      </w:r>
      <w:r>
        <w:t xml:space="preserve"> </w:t>
      </w:r>
    </w:p>
    <w:p w14:paraId="704D885F" w14:textId="77777777" w:rsidR="00186703" w:rsidRDefault="00186703" w:rsidP="00B1707E">
      <w:r>
        <w:t>Based on the shape of the epidemic curve and the known serial interval,</w:t>
      </w:r>
      <w:r>
        <w:rPr>
          <w:vertAlign w:val="superscript"/>
        </w:rPr>
        <w:t>19</w:t>
      </w:r>
      <w:r>
        <w:t xml:space="preserve"> it is possible that multiple points of infection occurred within the cohort in </w:t>
      </w:r>
      <w:proofErr w:type="gramStart"/>
      <w:r>
        <w:t>Bali</w:t>
      </w:r>
      <w:proofErr w:type="gramEnd"/>
      <w:r>
        <w:t xml:space="preserve"> and it remains unlikely there was a single point-source exposure. </w:t>
      </w:r>
      <w:r>
        <w:lastRenderedPageBreak/>
        <w:t>Australia’s mandatory quarantine of returned travellers, and attendees’ compliance with these regulations, minimised ongoing transmission from the cases in our cohort to the broader Australian community.</w:t>
      </w:r>
    </w:p>
    <w:p w14:paraId="6975A503" w14:textId="77777777" w:rsidR="00186703" w:rsidRDefault="00186703" w:rsidP="00B1707E">
      <w:r>
        <w:t>Our investigation findings are subject to some limitations. Firstly, we had only a moderate response rate for follow-up interviews, meaning we had insufficient power to assess the importance of some risk behaviours and subsequent SARS-CoV-2 infection. Secondly, initial case interviews were conducted by multiple public health units that collected differing symptom and exposure information. Thirdly, participant interviews were conducted up to 4 weeks after the wedding; recall bias may have affected the quality of the data collected. Hotel and event staff in Indonesia were not tested or interviewed to identify potential source cases for the wedding cluster. We were also unable to investigate whether any of the cohort were asymptomatic cases, due to Australia’s testing criteria at the time that limited testing to persons with symptomatic illness. Despite these limitations, we still demonstrate that frequent and prolonged interactions can contribute to the high attack rates of COVID-19 in this cohort.</w:t>
      </w:r>
    </w:p>
    <w:p w14:paraId="614851B5" w14:textId="77777777" w:rsidR="00186703" w:rsidRDefault="00186703" w:rsidP="00B1707E">
      <w:r>
        <w:t>Our study highlights the important role which social gatherings play in transmission of COVID-19 and underscores the importance of physical distancing to control the spread of COVID-19. The findings support Australian public health recommendations at this point in the epidemic to not shake hands or exchange physical greetings, and wherever possible for persons to stay 1.5 metres apart to reduce SARS-CoV-2 transmission.</w:t>
      </w:r>
      <w:r>
        <w:rPr>
          <w:vertAlign w:val="superscript"/>
        </w:rPr>
        <w:t>20</w:t>
      </w:r>
      <w:r>
        <w:t xml:space="preserve"> We emphasise the importance of public health messaging to discourage sharing of smoking utensils, drinks, food and other vehicles that may transmit SARS-CoV-2.</w:t>
      </w:r>
    </w:p>
    <w:p w14:paraId="2E7382FE" w14:textId="77777777" w:rsidR="00186703" w:rsidRPr="00B1707E" w:rsidRDefault="00186703" w:rsidP="00B1707E">
      <w:pPr>
        <w:pStyle w:val="Heading1"/>
      </w:pPr>
      <w:r w:rsidRPr="00B1707E">
        <w:t>Acknowledgements</w:t>
      </w:r>
    </w:p>
    <w:p w14:paraId="207515E1" w14:textId="77777777" w:rsidR="00186703" w:rsidRDefault="00186703" w:rsidP="00B1707E">
      <w:r>
        <w:t>We thank Dr David Durrheim for his review of the manuscript and subsequent suggestions. We thank public health officers and laboratory scientists for interviewing wedding attendees. The Master of Philosophy in Applied Epidemiology (MAE Program) is funded by Australian federal and state and territory health departments.</w:t>
      </w:r>
    </w:p>
    <w:p w14:paraId="46D516C7" w14:textId="77777777" w:rsidR="00C0171F" w:rsidRDefault="00C0171F">
      <w:pPr>
        <w:rPr>
          <w:rFonts w:asciiTheme="majorHAnsi" w:eastAsiaTheme="majorEastAsia" w:hAnsiTheme="majorHAnsi" w:cstheme="majorBidi"/>
          <w:b/>
          <w:bCs/>
          <w:sz w:val="32"/>
          <w:szCs w:val="28"/>
        </w:rPr>
      </w:pPr>
      <w:r>
        <w:br w:type="page"/>
      </w:r>
    </w:p>
    <w:p w14:paraId="77D7B96A" w14:textId="77777777" w:rsidR="00186703" w:rsidRPr="00B1707E" w:rsidRDefault="00186703" w:rsidP="00B1707E">
      <w:pPr>
        <w:pStyle w:val="Heading1"/>
      </w:pPr>
      <w:r w:rsidRPr="00B1707E">
        <w:lastRenderedPageBreak/>
        <w:t>Author details</w:t>
      </w:r>
    </w:p>
    <w:p w14:paraId="29F111A5" w14:textId="77777777" w:rsidR="00C0171F" w:rsidRDefault="00186703" w:rsidP="00B1707E">
      <w:r>
        <w:t>Bhavi Ravindran</w:t>
      </w:r>
      <w:r>
        <w:rPr>
          <w:vertAlign w:val="superscript"/>
        </w:rPr>
        <w:t>1,2</w:t>
      </w:r>
      <w:r>
        <w:t xml:space="preserve"> </w:t>
      </w:r>
    </w:p>
    <w:p w14:paraId="203E9D6B" w14:textId="77777777" w:rsidR="00C0171F" w:rsidRDefault="00186703" w:rsidP="00B1707E">
      <w:r>
        <w:t>Freya Hogarth</w:t>
      </w:r>
      <w:r>
        <w:rPr>
          <w:vertAlign w:val="superscript"/>
        </w:rPr>
        <w:t>3,4</w:t>
      </w:r>
      <w:r>
        <w:t xml:space="preserve"> </w:t>
      </w:r>
    </w:p>
    <w:p w14:paraId="1D29C75F" w14:textId="77777777" w:rsidR="00C0171F" w:rsidRDefault="00186703" w:rsidP="00B1707E">
      <w:r>
        <w:t>Kirsten Williamson</w:t>
      </w:r>
      <w:r>
        <w:rPr>
          <w:vertAlign w:val="superscript"/>
        </w:rPr>
        <w:t>1,4</w:t>
      </w:r>
      <w:r>
        <w:t xml:space="preserve"> </w:t>
      </w:r>
    </w:p>
    <w:p w14:paraId="66D25583" w14:textId="77777777" w:rsidR="00C0171F" w:rsidRDefault="00186703" w:rsidP="00B1707E">
      <w:r>
        <w:t>Rose Wright</w:t>
      </w:r>
      <w:r>
        <w:rPr>
          <w:vertAlign w:val="superscript"/>
        </w:rPr>
        <w:t>3</w:t>
      </w:r>
      <w:r>
        <w:t xml:space="preserve"> </w:t>
      </w:r>
    </w:p>
    <w:p w14:paraId="2E275FCD" w14:textId="77777777" w:rsidR="00C0171F" w:rsidRDefault="00186703" w:rsidP="00B1707E">
      <w:r>
        <w:t>Martyn Kirk</w:t>
      </w:r>
      <w:r>
        <w:rPr>
          <w:vertAlign w:val="superscript"/>
        </w:rPr>
        <w:t>3,4</w:t>
      </w:r>
      <w:r>
        <w:t xml:space="preserve"> </w:t>
      </w:r>
    </w:p>
    <w:p w14:paraId="379313D0" w14:textId="77777777" w:rsidR="00186703" w:rsidRDefault="00186703" w:rsidP="00B1707E">
      <w:r>
        <w:t>Craig Dalton</w:t>
      </w:r>
      <w:r>
        <w:rPr>
          <w:vertAlign w:val="superscript"/>
        </w:rPr>
        <w:t>1,2</w:t>
      </w:r>
      <w:r>
        <w:t xml:space="preserve"> </w:t>
      </w:r>
    </w:p>
    <w:p w14:paraId="206BF253" w14:textId="77777777" w:rsidR="00186703" w:rsidRPr="00B1707E" w:rsidRDefault="00186703" w:rsidP="00B1707E">
      <w:pPr>
        <w:pStyle w:val="ListParagraph"/>
        <w:numPr>
          <w:ilvl w:val="0"/>
          <w:numId w:val="9"/>
        </w:numPr>
        <w:rPr>
          <w:rFonts w:eastAsia="Times New Roman"/>
        </w:rPr>
      </w:pPr>
      <w:r w:rsidRPr="00B1707E">
        <w:rPr>
          <w:rFonts w:eastAsia="Times New Roman"/>
        </w:rPr>
        <w:t>Population Health, Hunter New England, New South Wales Health, Australia</w:t>
      </w:r>
    </w:p>
    <w:p w14:paraId="683C12DF" w14:textId="77777777" w:rsidR="00186703" w:rsidRPr="00B1707E" w:rsidRDefault="00186703" w:rsidP="00B1707E">
      <w:pPr>
        <w:pStyle w:val="ListParagraph"/>
        <w:numPr>
          <w:ilvl w:val="0"/>
          <w:numId w:val="9"/>
        </w:numPr>
        <w:rPr>
          <w:rFonts w:eastAsia="Times New Roman"/>
        </w:rPr>
      </w:pPr>
      <w:r w:rsidRPr="00B1707E">
        <w:rPr>
          <w:rFonts w:eastAsia="Times New Roman"/>
        </w:rPr>
        <w:t>School of Medicine and Public Health, University of Newcastle, Newcastle, NSW, Australia</w:t>
      </w:r>
    </w:p>
    <w:p w14:paraId="63ACE21B" w14:textId="77777777" w:rsidR="00186703" w:rsidRPr="00B1707E" w:rsidRDefault="00186703" w:rsidP="00B1707E">
      <w:pPr>
        <w:pStyle w:val="ListParagraph"/>
        <w:numPr>
          <w:ilvl w:val="0"/>
          <w:numId w:val="9"/>
        </w:numPr>
        <w:rPr>
          <w:rFonts w:eastAsia="Times New Roman"/>
        </w:rPr>
      </w:pPr>
      <w:r w:rsidRPr="00B1707E">
        <w:rPr>
          <w:rFonts w:eastAsia="Times New Roman"/>
        </w:rPr>
        <w:t>National Incident Response Division, Australian Government Department of Health, Canberra, Australia</w:t>
      </w:r>
    </w:p>
    <w:p w14:paraId="7A6B11A1" w14:textId="77777777" w:rsidR="00186703" w:rsidRPr="00B1707E" w:rsidRDefault="00186703" w:rsidP="00B1707E">
      <w:pPr>
        <w:pStyle w:val="ListParagraph"/>
        <w:numPr>
          <w:ilvl w:val="0"/>
          <w:numId w:val="9"/>
        </w:numPr>
        <w:rPr>
          <w:rFonts w:eastAsia="Times New Roman"/>
        </w:rPr>
      </w:pPr>
      <w:r w:rsidRPr="00B1707E">
        <w:rPr>
          <w:rFonts w:eastAsia="Times New Roman"/>
        </w:rPr>
        <w:t>National Centre for Epidemiology and Population Health, Australian National University, Acton, ACT, Australia</w:t>
      </w:r>
    </w:p>
    <w:p w14:paraId="789035EF" w14:textId="77777777" w:rsidR="00186703" w:rsidRPr="00B1707E" w:rsidRDefault="00186703" w:rsidP="00B1707E">
      <w:pPr>
        <w:pStyle w:val="Heading2"/>
      </w:pPr>
      <w:r w:rsidRPr="00B1707E">
        <w:t>Corresponding author</w:t>
      </w:r>
    </w:p>
    <w:p w14:paraId="4F721A1E" w14:textId="77777777" w:rsidR="00186703" w:rsidRDefault="00186703" w:rsidP="00B1707E">
      <w:r>
        <w:t>Dr Bhavi Ravindran</w:t>
      </w:r>
    </w:p>
    <w:p w14:paraId="6760DA52" w14:textId="77777777" w:rsidR="00186703" w:rsidRDefault="00186703" w:rsidP="00B1707E">
      <w:r>
        <w:t>Population Health, Hunter New England Health, Locked Bag 10, Wallsend, NSW 2287, Australia</w:t>
      </w:r>
    </w:p>
    <w:p w14:paraId="09A46B70" w14:textId="77777777" w:rsidR="00186703" w:rsidRDefault="00186703" w:rsidP="00B1707E">
      <w:r>
        <w:t xml:space="preserve">Email: Vivak.ravindran@health.nsw.gov.au </w:t>
      </w:r>
    </w:p>
    <w:p w14:paraId="03BA4D88" w14:textId="77777777" w:rsidR="00906D9F" w:rsidRDefault="00906D9F">
      <w:pPr>
        <w:rPr>
          <w:rFonts w:asciiTheme="majorHAnsi" w:eastAsiaTheme="majorEastAsia" w:hAnsiTheme="majorHAnsi" w:cstheme="majorBidi"/>
          <w:b/>
          <w:bCs/>
          <w:sz w:val="32"/>
          <w:szCs w:val="28"/>
        </w:rPr>
      </w:pPr>
      <w:r>
        <w:br w:type="page"/>
      </w:r>
    </w:p>
    <w:p w14:paraId="1D3D0378" w14:textId="77777777" w:rsidR="00186703" w:rsidRPr="00B1707E" w:rsidRDefault="00186703" w:rsidP="00B1707E">
      <w:pPr>
        <w:pStyle w:val="Heading1"/>
      </w:pPr>
      <w:r w:rsidRPr="00B1707E">
        <w:lastRenderedPageBreak/>
        <w:t>References</w:t>
      </w:r>
    </w:p>
    <w:p w14:paraId="48BADAC0" w14:textId="77777777" w:rsidR="00186703" w:rsidRPr="00B1707E" w:rsidRDefault="00186703" w:rsidP="00B1707E">
      <w:pPr>
        <w:pStyle w:val="ListParagraph"/>
        <w:numPr>
          <w:ilvl w:val="0"/>
          <w:numId w:val="10"/>
        </w:numPr>
        <w:rPr>
          <w:rFonts w:eastAsia="Times New Roman"/>
        </w:rPr>
      </w:pPr>
      <w:r w:rsidRPr="00B1707E">
        <w:rPr>
          <w:rFonts w:eastAsia="Times New Roman"/>
        </w:rPr>
        <w:t>World Health Organization (WHO). Timeline of WHO’s response to COVID-19. [Internet.] Geneva: WHO; 30 July 2020. [Accessed on 10 August 2020.] Available from: https://www.who.int/news-room/detail/29-06-2020-covidtimeline.</w:t>
      </w:r>
    </w:p>
    <w:p w14:paraId="4366CE84"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Yusef D, </w:t>
      </w:r>
      <w:proofErr w:type="spellStart"/>
      <w:r w:rsidRPr="00B1707E">
        <w:rPr>
          <w:rFonts w:eastAsia="Times New Roman"/>
        </w:rPr>
        <w:t>Hayajneh</w:t>
      </w:r>
      <w:proofErr w:type="spellEnd"/>
      <w:r w:rsidRPr="00B1707E">
        <w:rPr>
          <w:rFonts w:eastAsia="Times New Roman"/>
        </w:rPr>
        <w:t xml:space="preserve"> W, </w:t>
      </w:r>
      <w:proofErr w:type="spellStart"/>
      <w:r w:rsidRPr="00B1707E">
        <w:rPr>
          <w:rFonts w:eastAsia="Times New Roman"/>
        </w:rPr>
        <w:t>Awad</w:t>
      </w:r>
      <w:proofErr w:type="spellEnd"/>
      <w:r w:rsidRPr="00B1707E">
        <w:rPr>
          <w:rFonts w:eastAsia="Times New Roman"/>
        </w:rPr>
        <w:t xml:space="preserve"> S, </w:t>
      </w:r>
      <w:proofErr w:type="spellStart"/>
      <w:r w:rsidRPr="00B1707E">
        <w:rPr>
          <w:rFonts w:eastAsia="Times New Roman"/>
        </w:rPr>
        <w:t>Momany</w:t>
      </w:r>
      <w:proofErr w:type="spellEnd"/>
      <w:r w:rsidRPr="00B1707E">
        <w:rPr>
          <w:rFonts w:eastAsia="Times New Roman"/>
        </w:rPr>
        <w:t xml:space="preserve"> S, </w:t>
      </w:r>
      <w:proofErr w:type="spellStart"/>
      <w:r w:rsidRPr="00B1707E">
        <w:rPr>
          <w:rFonts w:eastAsia="Times New Roman"/>
        </w:rPr>
        <w:t>Khassawneh</w:t>
      </w:r>
      <w:proofErr w:type="spellEnd"/>
      <w:r w:rsidRPr="00B1707E">
        <w:rPr>
          <w:rFonts w:eastAsia="Times New Roman"/>
        </w:rPr>
        <w:t xml:space="preserve"> B, </w:t>
      </w:r>
      <w:proofErr w:type="spellStart"/>
      <w:r w:rsidRPr="00B1707E">
        <w:rPr>
          <w:rFonts w:eastAsia="Times New Roman"/>
        </w:rPr>
        <w:t>Samrah</w:t>
      </w:r>
      <w:proofErr w:type="spellEnd"/>
      <w:r w:rsidRPr="00B1707E">
        <w:rPr>
          <w:rFonts w:eastAsia="Times New Roman"/>
        </w:rPr>
        <w:t xml:space="preserve"> S et al. Large outbreak of coronavirus disease among wedding attendees, Jordan. </w:t>
      </w:r>
      <w:proofErr w:type="spellStart"/>
      <w:r w:rsidRPr="00A500B9">
        <w:rPr>
          <w:rStyle w:val="Emphasis"/>
          <w:rFonts w:eastAsia="Times New Roman"/>
          <w:b w:val="0"/>
        </w:rPr>
        <w:t>Emerg</w:t>
      </w:r>
      <w:proofErr w:type="spellEnd"/>
      <w:r w:rsidRPr="00A500B9">
        <w:rPr>
          <w:rStyle w:val="Emphasis"/>
          <w:rFonts w:eastAsia="Times New Roman"/>
          <w:b w:val="0"/>
        </w:rPr>
        <w:t xml:space="preserve"> Infect Dis</w:t>
      </w:r>
      <w:r w:rsidRPr="00B1707E">
        <w:rPr>
          <w:rFonts w:eastAsia="Times New Roman"/>
        </w:rPr>
        <w:t>. 2020;26(9). doi: https://doi.org/10.3201/eid2609.201469.</w:t>
      </w:r>
    </w:p>
    <w:p w14:paraId="5A0D84D4"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James A, Eagle L, Phillips C, Hedges DS, </w:t>
      </w:r>
      <w:proofErr w:type="spellStart"/>
      <w:r w:rsidRPr="00B1707E">
        <w:rPr>
          <w:rFonts w:eastAsia="Times New Roman"/>
        </w:rPr>
        <w:t>Bodenhamer</w:t>
      </w:r>
      <w:proofErr w:type="spellEnd"/>
      <w:r w:rsidRPr="00B1707E">
        <w:rPr>
          <w:rFonts w:eastAsia="Times New Roman"/>
        </w:rPr>
        <w:t xml:space="preserve"> C, Brown R et al. High COVID-19 attack rate among attendees at events at a church – Arkansas, March 2020. </w:t>
      </w:r>
      <w:r w:rsidRPr="00A500B9">
        <w:rPr>
          <w:rStyle w:val="Emphasis"/>
          <w:rFonts w:eastAsia="Times New Roman"/>
          <w:b w:val="0"/>
        </w:rPr>
        <w:t xml:space="preserve">MMWR </w:t>
      </w:r>
      <w:proofErr w:type="spellStart"/>
      <w:r w:rsidRPr="00A500B9">
        <w:rPr>
          <w:rStyle w:val="Emphasis"/>
          <w:rFonts w:eastAsia="Times New Roman"/>
          <w:b w:val="0"/>
        </w:rPr>
        <w:t>Morb</w:t>
      </w:r>
      <w:proofErr w:type="spellEnd"/>
      <w:r w:rsidRPr="00A500B9">
        <w:rPr>
          <w:rStyle w:val="Emphasis"/>
          <w:rFonts w:eastAsia="Times New Roman"/>
          <w:b w:val="0"/>
        </w:rPr>
        <w:t xml:space="preserve"> Mortal </w:t>
      </w:r>
      <w:proofErr w:type="spellStart"/>
      <w:r w:rsidRPr="00A500B9">
        <w:rPr>
          <w:rStyle w:val="Emphasis"/>
          <w:rFonts w:eastAsia="Times New Roman"/>
          <w:b w:val="0"/>
        </w:rPr>
        <w:t>Wkly</w:t>
      </w:r>
      <w:proofErr w:type="spellEnd"/>
      <w:r w:rsidRPr="00A500B9">
        <w:rPr>
          <w:rStyle w:val="Emphasis"/>
          <w:rFonts w:eastAsia="Times New Roman"/>
          <w:b w:val="0"/>
        </w:rPr>
        <w:t xml:space="preserve"> Rep</w:t>
      </w:r>
      <w:r w:rsidRPr="00B1707E">
        <w:rPr>
          <w:rFonts w:eastAsia="Times New Roman"/>
        </w:rPr>
        <w:t>. 2020;69(20):632–5.</w:t>
      </w:r>
    </w:p>
    <w:p w14:paraId="53ADA1EA"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t>Hamner</w:t>
      </w:r>
      <w:proofErr w:type="spellEnd"/>
      <w:r w:rsidRPr="00B1707E">
        <w:rPr>
          <w:rFonts w:eastAsia="Times New Roman"/>
        </w:rPr>
        <w:t xml:space="preserve"> L, Dubbel P, Capron I, Ross A, Jordan A, Lee J et al. High SARS-CoV-2 attack rate following exposure at a choir practice – Skagit County, Washington, March 2020. </w:t>
      </w:r>
      <w:r w:rsidRPr="00A500B9">
        <w:rPr>
          <w:rStyle w:val="Emphasis"/>
          <w:rFonts w:eastAsia="Times New Roman"/>
          <w:b w:val="0"/>
        </w:rPr>
        <w:t xml:space="preserve">MMWR </w:t>
      </w:r>
      <w:proofErr w:type="spellStart"/>
      <w:r w:rsidRPr="00A500B9">
        <w:rPr>
          <w:rStyle w:val="Emphasis"/>
          <w:rFonts w:eastAsia="Times New Roman"/>
          <w:b w:val="0"/>
        </w:rPr>
        <w:t>Morb</w:t>
      </w:r>
      <w:proofErr w:type="spellEnd"/>
      <w:r w:rsidRPr="00A500B9">
        <w:rPr>
          <w:rStyle w:val="Emphasis"/>
          <w:rFonts w:eastAsia="Times New Roman"/>
          <w:b w:val="0"/>
        </w:rPr>
        <w:t xml:space="preserve"> Mortal </w:t>
      </w:r>
      <w:proofErr w:type="spellStart"/>
      <w:r w:rsidRPr="00A500B9">
        <w:rPr>
          <w:rStyle w:val="Emphasis"/>
          <w:rFonts w:eastAsia="Times New Roman"/>
          <w:b w:val="0"/>
        </w:rPr>
        <w:t>Wkly</w:t>
      </w:r>
      <w:proofErr w:type="spellEnd"/>
      <w:r w:rsidRPr="00A500B9">
        <w:rPr>
          <w:rStyle w:val="Emphasis"/>
          <w:rFonts w:eastAsia="Times New Roman"/>
          <w:b w:val="0"/>
        </w:rPr>
        <w:t xml:space="preserve"> Rep</w:t>
      </w:r>
      <w:r w:rsidRPr="00B1707E">
        <w:rPr>
          <w:rFonts w:eastAsia="Times New Roman"/>
        </w:rPr>
        <w:t>. 2020;69(19):606–10.</w:t>
      </w:r>
    </w:p>
    <w:p w14:paraId="4729733C"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Kirk MD, McKay I, Hall GV, Dalton CB, Stafford R, </w:t>
      </w:r>
      <w:proofErr w:type="spellStart"/>
      <w:r w:rsidRPr="00B1707E">
        <w:rPr>
          <w:rFonts w:eastAsia="Times New Roman"/>
        </w:rPr>
        <w:t>Unicomb</w:t>
      </w:r>
      <w:proofErr w:type="spellEnd"/>
      <w:r w:rsidRPr="00B1707E">
        <w:rPr>
          <w:rFonts w:eastAsia="Times New Roman"/>
        </w:rPr>
        <w:t xml:space="preserve"> L et al. Food safety: foodborne disease in Australia: the OzFoodNet experience. </w:t>
      </w:r>
      <w:r w:rsidRPr="00A500B9">
        <w:rPr>
          <w:rStyle w:val="Emphasis"/>
          <w:rFonts w:eastAsia="Times New Roman"/>
          <w:b w:val="0"/>
        </w:rPr>
        <w:t>Clin Infect Dis</w:t>
      </w:r>
      <w:r w:rsidRPr="00B1707E">
        <w:rPr>
          <w:rFonts w:eastAsia="Times New Roman"/>
        </w:rPr>
        <w:t>. 2008;47(3):392–400.</w:t>
      </w:r>
    </w:p>
    <w:p w14:paraId="1C36ADD9"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New South Wales Government Department of Health (NSW Health). </w:t>
      </w:r>
      <w:r w:rsidRPr="00A500B9">
        <w:rPr>
          <w:rStyle w:val="Emphasis"/>
          <w:rFonts w:eastAsia="Times New Roman"/>
          <w:b w:val="0"/>
        </w:rPr>
        <w:t>COVID-19 case questionnaire initial interview</w:t>
      </w:r>
      <w:r w:rsidRPr="00B1707E">
        <w:rPr>
          <w:rFonts w:eastAsia="Times New Roman"/>
        </w:rPr>
        <w:t>. Sydney: NSW Health; 2020. [Accessed on 10 August 2020.] Available from: https://www.health.nsw.gov.au/Infectious/Forms/novel-coronavirus-case-questionnaire.pdf.</w:t>
      </w:r>
    </w:p>
    <w:p w14:paraId="78B82AA1"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Harris PA, Taylor R, </w:t>
      </w:r>
      <w:proofErr w:type="spellStart"/>
      <w:r w:rsidRPr="00B1707E">
        <w:rPr>
          <w:rFonts w:eastAsia="Times New Roman"/>
        </w:rPr>
        <w:t>Thielke</w:t>
      </w:r>
      <w:proofErr w:type="spellEnd"/>
      <w:r w:rsidRPr="00B1707E">
        <w:rPr>
          <w:rFonts w:eastAsia="Times New Roman"/>
        </w:rPr>
        <w:t xml:space="preserve"> R, Payne J, Gonzalez N, Conde JG. Research electronic data capture (</w:t>
      </w:r>
      <w:proofErr w:type="spellStart"/>
      <w:r w:rsidRPr="00B1707E">
        <w:rPr>
          <w:rFonts w:eastAsia="Times New Roman"/>
        </w:rPr>
        <w:t>REDCap</w:t>
      </w:r>
      <w:proofErr w:type="spellEnd"/>
      <w:r w:rsidRPr="00B1707E">
        <w:rPr>
          <w:rFonts w:eastAsia="Times New Roman"/>
        </w:rPr>
        <w:t xml:space="preserve">) – a metadata-driven methodology and workflow process for providing translational research informatics support. </w:t>
      </w:r>
      <w:r w:rsidRPr="00A500B9">
        <w:rPr>
          <w:rStyle w:val="Emphasis"/>
          <w:rFonts w:eastAsia="Times New Roman"/>
          <w:b w:val="0"/>
        </w:rPr>
        <w:t>J Biomed Inform</w:t>
      </w:r>
      <w:r w:rsidRPr="00B1707E">
        <w:rPr>
          <w:rFonts w:eastAsia="Times New Roman"/>
        </w:rPr>
        <w:t>. 2009;42(2):377–81.</w:t>
      </w:r>
    </w:p>
    <w:p w14:paraId="4C4869A9"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Zhang J, </w:t>
      </w:r>
      <w:proofErr w:type="spellStart"/>
      <w:r w:rsidRPr="00B1707E">
        <w:rPr>
          <w:rFonts w:eastAsia="Times New Roman"/>
        </w:rPr>
        <w:t>Litvinova</w:t>
      </w:r>
      <w:proofErr w:type="spellEnd"/>
      <w:r w:rsidRPr="00B1707E">
        <w:rPr>
          <w:rFonts w:eastAsia="Times New Roman"/>
        </w:rPr>
        <w:t xml:space="preserve"> M, Wang W, Wang Y, Deng X, Chen X et al. Evolving epidemiology and transmission dynamics of </w:t>
      </w:r>
      <w:proofErr w:type="spellStart"/>
      <w:r w:rsidRPr="00B1707E">
        <w:rPr>
          <w:rFonts w:eastAsia="Times New Roman"/>
        </w:rPr>
        <w:t>coronoavirus</w:t>
      </w:r>
      <w:proofErr w:type="spellEnd"/>
      <w:r w:rsidRPr="00B1707E">
        <w:rPr>
          <w:rFonts w:eastAsia="Times New Roman"/>
        </w:rPr>
        <w:t xml:space="preserve"> disease 2019 outside Hubei province, China: a descriptive and modelling study. </w:t>
      </w:r>
      <w:r w:rsidRPr="00A500B9">
        <w:rPr>
          <w:rStyle w:val="Emphasis"/>
          <w:rFonts w:eastAsia="Times New Roman"/>
          <w:b w:val="0"/>
        </w:rPr>
        <w:t>Lancet Infect Dis</w:t>
      </w:r>
      <w:r w:rsidRPr="00B1707E">
        <w:rPr>
          <w:rFonts w:eastAsia="Times New Roman"/>
        </w:rPr>
        <w:t>. 2020;20(7):793–802.</w:t>
      </w:r>
    </w:p>
    <w:p w14:paraId="110A45F3"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Australian Government Department of Health. </w:t>
      </w:r>
      <w:proofErr w:type="spellStart"/>
      <w:r w:rsidRPr="00B1707E">
        <w:rPr>
          <w:rFonts w:eastAsia="Times New Roman"/>
        </w:rPr>
        <w:t>Coronovirus</w:t>
      </w:r>
      <w:proofErr w:type="spellEnd"/>
      <w:r w:rsidRPr="00B1707E">
        <w:rPr>
          <w:rFonts w:eastAsia="Times New Roman"/>
        </w:rPr>
        <w:t xml:space="preserve"> Disease 2019 (COVID-19) CDNA National Guidelines for Public Health Units. [Internet.] Canberra: Australian Government Department of </w:t>
      </w:r>
      <w:proofErr w:type="spellStart"/>
      <w:r w:rsidRPr="00B1707E">
        <w:rPr>
          <w:rFonts w:eastAsia="Times New Roman"/>
        </w:rPr>
        <w:t>Heath</w:t>
      </w:r>
      <w:proofErr w:type="spellEnd"/>
      <w:r w:rsidRPr="00B1707E">
        <w:rPr>
          <w:rFonts w:eastAsia="Times New Roman"/>
        </w:rPr>
        <w:t>; 2020. [Accessed on 10 August 2020.] Available from: https://www1.health.gov.au/internet/main/publishing.nsf/Content/cdna-song-novel-coronavirus.htm.</w:t>
      </w:r>
    </w:p>
    <w:p w14:paraId="522A2EAD"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New South Wales Government. </w:t>
      </w:r>
      <w:r w:rsidRPr="00A500B9">
        <w:rPr>
          <w:rStyle w:val="Emphasis"/>
          <w:rFonts w:eastAsia="Times New Roman"/>
          <w:b w:val="0"/>
        </w:rPr>
        <w:t>Public Health Act 2010 No 127</w:t>
      </w:r>
      <w:r w:rsidRPr="00B1707E">
        <w:rPr>
          <w:rFonts w:eastAsia="Times New Roman"/>
        </w:rPr>
        <w:t xml:space="preserve"> . Sydney: New South Wales Government; 22 June 2020. [Accessed on 10 August 2020.] Available from: https://www.legislation.nsw.gov.au/view/html/inforce/current/act-2010-127.</w:t>
      </w:r>
    </w:p>
    <w:p w14:paraId="374D93EA" w14:textId="77777777" w:rsidR="00186703" w:rsidRPr="00B1707E" w:rsidRDefault="00186703" w:rsidP="00B1707E">
      <w:pPr>
        <w:pStyle w:val="ListParagraph"/>
        <w:numPr>
          <w:ilvl w:val="0"/>
          <w:numId w:val="10"/>
        </w:numPr>
        <w:rPr>
          <w:rFonts w:eastAsia="Times New Roman"/>
        </w:rPr>
      </w:pPr>
      <w:r w:rsidRPr="00B1707E">
        <w:rPr>
          <w:rFonts w:eastAsia="Times New Roman"/>
        </w:rPr>
        <w:t>Prime Minister of Australia. Transcript–Press Conference. [Internet.] Canberra: Prime Minister of Australia; 15 March 2020. Available from: https://www.pm.gov.au/media/transcript-press-conference.</w:t>
      </w:r>
    </w:p>
    <w:p w14:paraId="36305585"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t>Pung</w:t>
      </w:r>
      <w:proofErr w:type="spellEnd"/>
      <w:r w:rsidRPr="00B1707E">
        <w:rPr>
          <w:rFonts w:eastAsia="Times New Roman"/>
        </w:rPr>
        <w:t xml:space="preserve"> R, </w:t>
      </w:r>
      <w:proofErr w:type="spellStart"/>
      <w:r w:rsidRPr="00B1707E">
        <w:rPr>
          <w:rFonts w:eastAsia="Times New Roman"/>
        </w:rPr>
        <w:t>Chiew</w:t>
      </w:r>
      <w:proofErr w:type="spellEnd"/>
      <w:r w:rsidRPr="00B1707E">
        <w:rPr>
          <w:rFonts w:eastAsia="Times New Roman"/>
        </w:rPr>
        <w:t xml:space="preserve"> CJ, Young BE, Chin S, Chen MI, Clapham HE et al. Investigation of three clusters of COVID-19 in Singapore: implications for surveillance and response measures. </w:t>
      </w:r>
      <w:r w:rsidRPr="00A500B9">
        <w:rPr>
          <w:rStyle w:val="Emphasis"/>
          <w:rFonts w:eastAsia="Times New Roman"/>
          <w:b w:val="0"/>
        </w:rPr>
        <w:t>Lancet</w:t>
      </w:r>
      <w:r w:rsidRPr="00B1707E">
        <w:rPr>
          <w:rFonts w:eastAsia="Times New Roman"/>
        </w:rPr>
        <w:t>. 2020;395(10229):1039–46.</w:t>
      </w:r>
    </w:p>
    <w:p w14:paraId="774D9D2A"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Bi Q, Wu Y, Mei S, Ye C, Zou X, Zhang Z et al. Epidemiology and transmission of COVID-19 in 391 cases and 1286 of their close contacts in Shenzhen, China: a retrospective cohort study. </w:t>
      </w:r>
      <w:r w:rsidRPr="00A500B9">
        <w:rPr>
          <w:rStyle w:val="Emphasis"/>
          <w:rFonts w:eastAsia="Times New Roman"/>
          <w:b w:val="0"/>
        </w:rPr>
        <w:t>Lancet Infect Dis</w:t>
      </w:r>
      <w:r w:rsidRPr="00B1707E">
        <w:rPr>
          <w:rFonts w:eastAsia="Times New Roman"/>
        </w:rPr>
        <w:t>. 2020. doi: https://doi.org/10.1016/S1473-3099(20)30287-5.</w:t>
      </w:r>
    </w:p>
    <w:p w14:paraId="779349E4"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t>Knishkowy</w:t>
      </w:r>
      <w:proofErr w:type="spellEnd"/>
      <w:r w:rsidRPr="00B1707E">
        <w:rPr>
          <w:rFonts w:eastAsia="Times New Roman"/>
        </w:rPr>
        <w:t xml:space="preserve"> B, </w:t>
      </w:r>
      <w:proofErr w:type="spellStart"/>
      <w:r w:rsidRPr="00B1707E">
        <w:rPr>
          <w:rFonts w:eastAsia="Times New Roman"/>
        </w:rPr>
        <w:t>Amitai</w:t>
      </w:r>
      <w:proofErr w:type="spellEnd"/>
      <w:r w:rsidRPr="00B1707E">
        <w:rPr>
          <w:rFonts w:eastAsia="Times New Roman"/>
        </w:rPr>
        <w:t xml:space="preserve"> Y. Water-pipe (narghile) smoking: an emerging health risk </w:t>
      </w:r>
      <w:proofErr w:type="spellStart"/>
      <w:r w:rsidRPr="00B1707E">
        <w:rPr>
          <w:rFonts w:eastAsia="Times New Roman"/>
        </w:rPr>
        <w:t>behavior</w:t>
      </w:r>
      <w:proofErr w:type="spellEnd"/>
      <w:r w:rsidRPr="00B1707E">
        <w:rPr>
          <w:rFonts w:eastAsia="Times New Roman"/>
        </w:rPr>
        <w:t xml:space="preserve">. </w:t>
      </w:r>
      <w:proofErr w:type="spellStart"/>
      <w:r w:rsidRPr="00A500B9">
        <w:rPr>
          <w:rStyle w:val="Emphasis"/>
          <w:rFonts w:eastAsia="Times New Roman"/>
          <w:b w:val="0"/>
        </w:rPr>
        <w:t>Pediatrics</w:t>
      </w:r>
      <w:proofErr w:type="spellEnd"/>
      <w:r w:rsidRPr="00B1707E">
        <w:rPr>
          <w:rFonts w:eastAsia="Times New Roman"/>
        </w:rPr>
        <w:t>. 2005;116(1):e113–9.</w:t>
      </w:r>
    </w:p>
    <w:p w14:paraId="6886B6EC"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t>Munckhof</w:t>
      </w:r>
      <w:proofErr w:type="spellEnd"/>
      <w:r w:rsidRPr="00B1707E">
        <w:rPr>
          <w:rFonts w:eastAsia="Times New Roman"/>
        </w:rPr>
        <w:t xml:space="preserve"> WJ, Konstantinos A, </w:t>
      </w:r>
      <w:proofErr w:type="spellStart"/>
      <w:r w:rsidRPr="00B1707E">
        <w:rPr>
          <w:rFonts w:eastAsia="Times New Roman"/>
        </w:rPr>
        <w:t>Wamsley</w:t>
      </w:r>
      <w:proofErr w:type="spellEnd"/>
      <w:r w:rsidRPr="00B1707E">
        <w:rPr>
          <w:rFonts w:eastAsia="Times New Roman"/>
        </w:rPr>
        <w:t xml:space="preserve"> M, Mortlock M, Gilpin C. A cluster of tuberculosis associated with use of a marijuana water pipe. </w:t>
      </w:r>
      <w:r w:rsidRPr="00A500B9">
        <w:rPr>
          <w:rStyle w:val="Emphasis"/>
          <w:rFonts w:eastAsia="Times New Roman"/>
          <w:b w:val="0"/>
        </w:rPr>
        <w:t xml:space="preserve">Int J </w:t>
      </w:r>
      <w:proofErr w:type="spellStart"/>
      <w:r w:rsidRPr="00A500B9">
        <w:rPr>
          <w:rStyle w:val="Emphasis"/>
          <w:rFonts w:eastAsia="Times New Roman"/>
          <w:b w:val="0"/>
        </w:rPr>
        <w:t>Tuberc</w:t>
      </w:r>
      <w:proofErr w:type="spellEnd"/>
      <w:r w:rsidRPr="00A500B9">
        <w:rPr>
          <w:rStyle w:val="Emphasis"/>
          <w:rFonts w:eastAsia="Times New Roman"/>
          <w:b w:val="0"/>
        </w:rPr>
        <w:t xml:space="preserve"> Lung Dis</w:t>
      </w:r>
      <w:r w:rsidRPr="00B1707E">
        <w:rPr>
          <w:rFonts w:eastAsia="Times New Roman"/>
        </w:rPr>
        <w:t>. 2003;7(9):860–5.</w:t>
      </w:r>
    </w:p>
    <w:p w14:paraId="132468C2"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t>Menni</w:t>
      </w:r>
      <w:proofErr w:type="spellEnd"/>
      <w:r w:rsidRPr="00B1707E">
        <w:rPr>
          <w:rFonts w:eastAsia="Times New Roman"/>
        </w:rPr>
        <w:t xml:space="preserve"> C, Valdes AM, </w:t>
      </w:r>
      <w:proofErr w:type="spellStart"/>
      <w:r w:rsidRPr="00B1707E">
        <w:rPr>
          <w:rFonts w:eastAsia="Times New Roman"/>
        </w:rPr>
        <w:t>Freidin</w:t>
      </w:r>
      <w:proofErr w:type="spellEnd"/>
      <w:r w:rsidRPr="00B1707E">
        <w:rPr>
          <w:rFonts w:eastAsia="Times New Roman"/>
        </w:rPr>
        <w:t xml:space="preserve"> MB, </w:t>
      </w:r>
      <w:proofErr w:type="spellStart"/>
      <w:r w:rsidRPr="00B1707E">
        <w:rPr>
          <w:rFonts w:eastAsia="Times New Roman"/>
        </w:rPr>
        <w:t>Sudre</w:t>
      </w:r>
      <w:proofErr w:type="spellEnd"/>
      <w:r w:rsidRPr="00B1707E">
        <w:rPr>
          <w:rFonts w:eastAsia="Times New Roman"/>
        </w:rPr>
        <w:t xml:space="preserve"> CH, Nguyen LH, Drew DA et al. Real-time tracking of self-reported symptoms to predict potential COVID-19. </w:t>
      </w:r>
      <w:r w:rsidRPr="00A500B9">
        <w:rPr>
          <w:rStyle w:val="Emphasis"/>
          <w:rFonts w:eastAsia="Times New Roman"/>
          <w:b w:val="0"/>
        </w:rPr>
        <w:t>Nat Med</w:t>
      </w:r>
      <w:r w:rsidRPr="00B1707E">
        <w:rPr>
          <w:rFonts w:eastAsia="Times New Roman"/>
        </w:rPr>
        <w:t>. 2020;26(7):1037–40.</w:t>
      </w:r>
    </w:p>
    <w:p w14:paraId="76D398F7"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lastRenderedPageBreak/>
        <w:t>Boscolo</w:t>
      </w:r>
      <w:proofErr w:type="spellEnd"/>
      <w:r w:rsidRPr="00B1707E">
        <w:rPr>
          <w:rFonts w:eastAsia="Times New Roman"/>
        </w:rPr>
        <w:t xml:space="preserve">-Rizzo P, </w:t>
      </w:r>
      <w:proofErr w:type="spellStart"/>
      <w:r w:rsidRPr="00B1707E">
        <w:rPr>
          <w:rFonts w:eastAsia="Times New Roman"/>
        </w:rPr>
        <w:t>Borsetto</w:t>
      </w:r>
      <w:proofErr w:type="spellEnd"/>
      <w:r w:rsidRPr="00B1707E">
        <w:rPr>
          <w:rFonts w:eastAsia="Times New Roman"/>
        </w:rPr>
        <w:t xml:space="preserve"> D, </w:t>
      </w:r>
      <w:proofErr w:type="spellStart"/>
      <w:r w:rsidRPr="00B1707E">
        <w:rPr>
          <w:rFonts w:eastAsia="Times New Roman"/>
        </w:rPr>
        <w:t>Spinato</w:t>
      </w:r>
      <w:proofErr w:type="spellEnd"/>
      <w:r w:rsidRPr="00B1707E">
        <w:rPr>
          <w:rFonts w:eastAsia="Times New Roman"/>
        </w:rPr>
        <w:t xml:space="preserve"> G, </w:t>
      </w:r>
      <w:proofErr w:type="spellStart"/>
      <w:r w:rsidRPr="00B1707E">
        <w:rPr>
          <w:rFonts w:eastAsia="Times New Roman"/>
        </w:rPr>
        <w:t>Fabbris</w:t>
      </w:r>
      <w:proofErr w:type="spellEnd"/>
      <w:r w:rsidRPr="00B1707E">
        <w:rPr>
          <w:rFonts w:eastAsia="Times New Roman"/>
        </w:rPr>
        <w:t xml:space="preserve"> C, </w:t>
      </w:r>
      <w:proofErr w:type="spellStart"/>
      <w:r w:rsidRPr="00B1707E">
        <w:rPr>
          <w:rFonts w:eastAsia="Times New Roman"/>
        </w:rPr>
        <w:t>Menegaldo</w:t>
      </w:r>
      <w:proofErr w:type="spellEnd"/>
      <w:r w:rsidRPr="00B1707E">
        <w:rPr>
          <w:rFonts w:eastAsia="Times New Roman"/>
        </w:rPr>
        <w:t xml:space="preserve"> A, </w:t>
      </w:r>
      <w:proofErr w:type="spellStart"/>
      <w:r w:rsidRPr="00B1707E">
        <w:rPr>
          <w:rFonts w:eastAsia="Times New Roman"/>
        </w:rPr>
        <w:t>Gaudioso</w:t>
      </w:r>
      <w:proofErr w:type="spellEnd"/>
      <w:r w:rsidRPr="00B1707E">
        <w:rPr>
          <w:rFonts w:eastAsia="Times New Roman"/>
        </w:rPr>
        <w:t xml:space="preserve"> P et al. New onset of loss of smell or taste in household contacts of home-isolated SARS-CoV-2-positive subjects. </w:t>
      </w:r>
      <w:proofErr w:type="spellStart"/>
      <w:r w:rsidRPr="00A500B9">
        <w:rPr>
          <w:rStyle w:val="Emphasis"/>
          <w:rFonts w:eastAsia="Times New Roman"/>
          <w:b w:val="0"/>
        </w:rPr>
        <w:t>Eur</w:t>
      </w:r>
      <w:proofErr w:type="spellEnd"/>
      <w:r w:rsidRPr="00A500B9">
        <w:rPr>
          <w:rStyle w:val="Emphasis"/>
          <w:rFonts w:eastAsia="Times New Roman"/>
          <w:b w:val="0"/>
        </w:rPr>
        <w:t xml:space="preserve"> Arch </w:t>
      </w:r>
      <w:proofErr w:type="spellStart"/>
      <w:r w:rsidRPr="00A500B9">
        <w:rPr>
          <w:rStyle w:val="Emphasis"/>
          <w:rFonts w:eastAsia="Times New Roman"/>
          <w:b w:val="0"/>
        </w:rPr>
        <w:t>Otorhinolaryngol</w:t>
      </w:r>
      <w:proofErr w:type="spellEnd"/>
      <w:r w:rsidRPr="00B1707E">
        <w:rPr>
          <w:rFonts w:eastAsia="Times New Roman"/>
        </w:rPr>
        <w:t>. 2020. doi: https://doi.org/10.1007/s00405-020-06066-9.</w:t>
      </w:r>
    </w:p>
    <w:p w14:paraId="2EA0284E" w14:textId="77777777" w:rsidR="00186703" w:rsidRPr="00B1707E" w:rsidRDefault="00186703" w:rsidP="00B1707E">
      <w:pPr>
        <w:pStyle w:val="ListParagraph"/>
        <w:numPr>
          <w:ilvl w:val="0"/>
          <w:numId w:val="10"/>
        </w:numPr>
        <w:rPr>
          <w:rFonts w:eastAsia="Times New Roman"/>
        </w:rPr>
      </w:pPr>
      <w:proofErr w:type="spellStart"/>
      <w:r w:rsidRPr="00B1707E">
        <w:rPr>
          <w:rFonts w:eastAsia="Times New Roman"/>
        </w:rPr>
        <w:t>Spinato</w:t>
      </w:r>
      <w:proofErr w:type="spellEnd"/>
      <w:r w:rsidRPr="00B1707E">
        <w:rPr>
          <w:rFonts w:eastAsia="Times New Roman"/>
        </w:rPr>
        <w:t xml:space="preserve"> G, </w:t>
      </w:r>
      <w:proofErr w:type="spellStart"/>
      <w:r w:rsidRPr="00B1707E">
        <w:rPr>
          <w:rFonts w:eastAsia="Times New Roman"/>
        </w:rPr>
        <w:t>Fabbris</w:t>
      </w:r>
      <w:proofErr w:type="spellEnd"/>
      <w:r w:rsidRPr="00B1707E">
        <w:rPr>
          <w:rFonts w:eastAsia="Times New Roman"/>
        </w:rPr>
        <w:t xml:space="preserve"> C, </w:t>
      </w:r>
      <w:proofErr w:type="spellStart"/>
      <w:r w:rsidRPr="00B1707E">
        <w:rPr>
          <w:rFonts w:eastAsia="Times New Roman"/>
        </w:rPr>
        <w:t>Polesel</w:t>
      </w:r>
      <w:proofErr w:type="spellEnd"/>
      <w:r w:rsidRPr="00B1707E">
        <w:rPr>
          <w:rFonts w:eastAsia="Times New Roman"/>
        </w:rPr>
        <w:t xml:space="preserve"> J, </w:t>
      </w:r>
      <w:proofErr w:type="spellStart"/>
      <w:r w:rsidRPr="00B1707E">
        <w:rPr>
          <w:rFonts w:eastAsia="Times New Roman"/>
        </w:rPr>
        <w:t>Cazzador</w:t>
      </w:r>
      <w:proofErr w:type="spellEnd"/>
      <w:r w:rsidRPr="00B1707E">
        <w:rPr>
          <w:rFonts w:eastAsia="Times New Roman"/>
        </w:rPr>
        <w:t xml:space="preserve"> D, </w:t>
      </w:r>
      <w:proofErr w:type="spellStart"/>
      <w:r w:rsidRPr="00B1707E">
        <w:rPr>
          <w:rFonts w:eastAsia="Times New Roman"/>
        </w:rPr>
        <w:t>Borsetto</w:t>
      </w:r>
      <w:proofErr w:type="spellEnd"/>
      <w:r w:rsidRPr="00B1707E">
        <w:rPr>
          <w:rFonts w:eastAsia="Times New Roman"/>
        </w:rPr>
        <w:t xml:space="preserve"> D, Hopkins C et al. Alterations in smell or taste in mildly symptomatic outpatients with SARS-CoV-2 infection. </w:t>
      </w:r>
      <w:r w:rsidRPr="00A500B9">
        <w:rPr>
          <w:rStyle w:val="Emphasis"/>
          <w:rFonts w:eastAsia="Times New Roman"/>
          <w:b w:val="0"/>
        </w:rPr>
        <w:t>JAMA</w:t>
      </w:r>
      <w:r w:rsidRPr="00B1707E">
        <w:rPr>
          <w:rFonts w:eastAsia="Times New Roman"/>
        </w:rPr>
        <w:t xml:space="preserve"> . 2020;323(20):2089–90.</w:t>
      </w:r>
    </w:p>
    <w:p w14:paraId="5136F374" w14:textId="77777777" w:rsidR="00186703" w:rsidRPr="00B1707E" w:rsidRDefault="00186703" w:rsidP="00B1707E">
      <w:pPr>
        <w:pStyle w:val="ListParagraph"/>
        <w:numPr>
          <w:ilvl w:val="0"/>
          <w:numId w:val="10"/>
        </w:numPr>
        <w:rPr>
          <w:rFonts w:eastAsia="Times New Roman"/>
        </w:rPr>
      </w:pPr>
      <w:r w:rsidRPr="00B1707E">
        <w:rPr>
          <w:rFonts w:eastAsia="Times New Roman"/>
        </w:rPr>
        <w:t xml:space="preserve">Lauer SA, </w:t>
      </w:r>
      <w:proofErr w:type="spellStart"/>
      <w:r w:rsidRPr="00B1707E">
        <w:rPr>
          <w:rFonts w:eastAsia="Times New Roman"/>
        </w:rPr>
        <w:t>Grantz</w:t>
      </w:r>
      <w:proofErr w:type="spellEnd"/>
      <w:r w:rsidRPr="00B1707E">
        <w:rPr>
          <w:rFonts w:eastAsia="Times New Roman"/>
        </w:rPr>
        <w:t xml:space="preserve"> KH, Bi Q, Jones FK, Zheng Q, Meredith HR et al. The incubation period of coronavirus disease 2019 (COVID-19) from publicly reported confirmed cases: estimation and application. </w:t>
      </w:r>
      <w:r w:rsidRPr="00A500B9">
        <w:rPr>
          <w:rStyle w:val="Emphasis"/>
          <w:rFonts w:eastAsia="Times New Roman"/>
          <w:b w:val="0"/>
        </w:rPr>
        <w:t>Ann Intern Med</w:t>
      </w:r>
      <w:r w:rsidRPr="00B1707E">
        <w:rPr>
          <w:rFonts w:eastAsia="Times New Roman"/>
        </w:rPr>
        <w:t>. 2020;172(9):577–82.</w:t>
      </w:r>
    </w:p>
    <w:p w14:paraId="44268F0B" w14:textId="77777777" w:rsidR="008B5348" w:rsidRPr="00B1707E" w:rsidRDefault="00186703" w:rsidP="00B1707E">
      <w:pPr>
        <w:pStyle w:val="ListParagraph"/>
        <w:numPr>
          <w:ilvl w:val="0"/>
          <w:numId w:val="10"/>
        </w:numPr>
        <w:rPr>
          <w:rStyle w:val="A10"/>
          <w:rFonts w:eastAsia="Times New Roman" w:cstheme="minorBidi"/>
          <w:color w:val="auto"/>
        </w:rPr>
      </w:pPr>
      <w:r w:rsidRPr="00B1707E">
        <w:rPr>
          <w:rFonts w:eastAsia="Times New Roman"/>
        </w:rPr>
        <w:t>Australian Government Department of Health. Coronavirus (COVID-19) – Keeping your distance. [Internet.] Canberra: Australian Government Department of Health; 20 March 2020. Available from: https://www.health.gov.au/resources/publications/coronavirus-covid-19-keeping-your-distance.</w:t>
      </w:r>
      <w:r w:rsidR="008B5348">
        <w:rPr>
          <w:rStyle w:val="A10"/>
        </w:rPr>
        <w:br w:type="page"/>
      </w:r>
    </w:p>
    <w:p w14:paraId="164A7409"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41524B5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D215327"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27FAD06" w14:textId="77777777" w:rsidR="000A5F42" w:rsidRPr="000606CC" w:rsidRDefault="000A5F42" w:rsidP="000A5F42">
      <w:pPr>
        <w:pStyle w:val="NoSpacing"/>
        <w:rPr>
          <w:rStyle w:val="URI"/>
          <w:rFonts w:cstheme="minorHAnsi"/>
          <w:sz w:val="20"/>
          <w:szCs w:val="18"/>
        </w:rPr>
      </w:pPr>
    </w:p>
    <w:p w14:paraId="071D9F5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6759BA1" w14:textId="77777777" w:rsidR="000A5F42" w:rsidRPr="000606CC" w:rsidRDefault="000A5F42" w:rsidP="000A5F42">
      <w:pPr>
        <w:pStyle w:val="NoSpacing"/>
        <w:rPr>
          <w:rStyle w:val="Strong"/>
          <w:rFonts w:cstheme="minorHAnsi"/>
          <w:sz w:val="20"/>
          <w:szCs w:val="18"/>
        </w:rPr>
      </w:pPr>
    </w:p>
    <w:p w14:paraId="38E0219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097671B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FF5E9C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8163EC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87316B5" w14:textId="77777777" w:rsidR="000A5F42" w:rsidRPr="000606CC" w:rsidRDefault="000A5F42" w:rsidP="000A5F42">
      <w:pPr>
        <w:pStyle w:val="NoSpacing"/>
        <w:rPr>
          <w:rStyle w:val="Strong"/>
          <w:rFonts w:cstheme="minorHAnsi"/>
          <w:sz w:val="20"/>
          <w:szCs w:val="18"/>
        </w:rPr>
      </w:pPr>
    </w:p>
    <w:p w14:paraId="023B035C" w14:textId="6F3C57E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CFC9F97" w14:textId="77777777" w:rsidR="000A5F42" w:rsidRPr="000606CC" w:rsidRDefault="000A5F42" w:rsidP="000A5F42">
      <w:pPr>
        <w:pStyle w:val="NoSpacing"/>
        <w:rPr>
          <w:rStyle w:val="Strong"/>
          <w:rFonts w:cstheme="minorHAnsi"/>
          <w:sz w:val="20"/>
          <w:szCs w:val="18"/>
        </w:rPr>
      </w:pPr>
    </w:p>
    <w:p w14:paraId="72831C0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AD81868" w14:textId="77777777" w:rsidR="000A5F42" w:rsidRPr="000606CC" w:rsidRDefault="000A5F42" w:rsidP="000A5F42">
      <w:pPr>
        <w:pStyle w:val="NoSpacing"/>
        <w:rPr>
          <w:rStyle w:val="Strong"/>
          <w:rFonts w:cstheme="minorHAnsi"/>
          <w:sz w:val="20"/>
          <w:szCs w:val="18"/>
        </w:rPr>
      </w:pPr>
    </w:p>
    <w:p w14:paraId="3F2D2705" w14:textId="3D0284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23ED178" w14:textId="77777777" w:rsidR="000A5F42" w:rsidRPr="000606CC" w:rsidRDefault="000A5F42" w:rsidP="000A5F42">
      <w:pPr>
        <w:pStyle w:val="NoSpacing"/>
        <w:rPr>
          <w:rStyle w:val="Strong"/>
          <w:rFonts w:cstheme="minorHAnsi"/>
          <w:sz w:val="20"/>
          <w:szCs w:val="18"/>
        </w:rPr>
      </w:pPr>
    </w:p>
    <w:p w14:paraId="7EF6BC96" w14:textId="2D1E1FE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AADB815" w14:textId="7A0FE47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57BE58E" w14:textId="77777777" w:rsidR="000A5F42" w:rsidRPr="000606CC" w:rsidRDefault="000A5F42" w:rsidP="000A5F42">
      <w:pPr>
        <w:pStyle w:val="NoSpacing"/>
        <w:pBdr>
          <w:bottom w:val="single" w:sz="6" w:space="1" w:color="auto"/>
        </w:pBdr>
        <w:rPr>
          <w:rStyle w:val="Strong"/>
          <w:rFonts w:cstheme="minorHAnsi"/>
          <w:sz w:val="12"/>
          <w:szCs w:val="18"/>
        </w:rPr>
      </w:pPr>
    </w:p>
    <w:p w14:paraId="0D224FF5" w14:textId="77777777" w:rsidR="000A5F42" w:rsidRPr="000606CC" w:rsidRDefault="000A5F42" w:rsidP="000A5F42">
      <w:pPr>
        <w:pStyle w:val="NoSpacing"/>
        <w:rPr>
          <w:rFonts w:cstheme="minorHAnsi"/>
          <w:sz w:val="20"/>
          <w:szCs w:val="18"/>
        </w:rPr>
      </w:pPr>
    </w:p>
    <w:p w14:paraId="7862158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5E11710" w14:textId="77777777" w:rsidR="000A5F42" w:rsidRPr="000606CC" w:rsidRDefault="000A5F42" w:rsidP="000A5F42">
      <w:pPr>
        <w:pStyle w:val="NoSpacing"/>
        <w:rPr>
          <w:rFonts w:cstheme="minorHAnsi"/>
          <w:sz w:val="20"/>
          <w:szCs w:val="18"/>
        </w:rPr>
      </w:pPr>
    </w:p>
    <w:p w14:paraId="073EA90B"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9E7B183"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1891B001" w14:textId="79F653E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819DFCB" w14:textId="77777777" w:rsidR="000A5F42" w:rsidRPr="000606CC" w:rsidRDefault="000A5F42" w:rsidP="000A5F42">
      <w:pPr>
        <w:pStyle w:val="NoSpacing"/>
        <w:rPr>
          <w:rFonts w:cstheme="minorHAnsi"/>
          <w:sz w:val="20"/>
          <w:szCs w:val="18"/>
        </w:rPr>
      </w:pPr>
    </w:p>
    <w:p w14:paraId="03AB48E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D17F3A5" w14:textId="39C9BBD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AEAF03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20E175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1A248A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9C95B8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CC7FF83" w14:textId="77777777" w:rsidR="000A5F42" w:rsidRPr="000606CC" w:rsidRDefault="000A5F42" w:rsidP="000A5F42">
      <w:pPr>
        <w:pStyle w:val="NoSpacing"/>
        <w:rPr>
          <w:rStyle w:val="Strong"/>
          <w:rFonts w:cstheme="minorHAnsi"/>
          <w:sz w:val="20"/>
          <w:szCs w:val="18"/>
        </w:rPr>
      </w:pPr>
    </w:p>
    <w:p w14:paraId="7FA21F6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99B91F5" w14:textId="77777777" w:rsidR="000A5F42" w:rsidRPr="000606CC" w:rsidRDefault="000A5F42" w:rsidP="000A5F42">
      <w:pPr>
        <w:pStyle w:val="NoSpacing"/>
        <w:rPr>
          <w:rStyle w:val="Strong"/>
          <w:rFonts w:cstheme="minorHAnsi"/>
          <w:sz w:val="20"/>
          <w:szCs w:val="18"/>
        </w:rPr>
      </w:pPr>
    </w:p>
    <w:p w14:paraId="303B07E5" w14:textId="308664A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3AAB641" w14:textId="77777777" w:rsidR="000A5F42" w:rsidRPr="000606CC" w:rsidRDefault="000A5F42" w:rsidP="000A5F42">
      <w:pPr>
        <w:pStyle w:val="NoSpacing"/>
        <w:rPr>
          <w:rStyle w:val="URI"/>
          <w:rFonts w:cstheme="minorHAnsi"/>
          <w:sz w:val="20"/>
          <w:szCs w:val="18"/>
        </w:rPr>
      </w:pPr>
    </w:p>
    <w:p w14:paraId="271EC231" w14:textId="624D7250"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620C9ED3"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20106" w14:textId="77777777" w:rsidR="00DB3C67" w:rsidRDefault="00DB3C67" w:rsidP="00E54DBA">
      <w:r>
        <w:separator/>
      </w:r>
    </w:p>
    <w:p w14:paraId="42BE3EA9" w14:textId="77777777" w:rsidR="00DB3C67" w:rsidRDefault="00DB3C67"/>
    <w:p w14:paraId="1776C06C" w14:textId="77777777" w:rsidR="00DB3C67" w:rsidRDefault="00DB3C67" w:rsidP="008714B0"/>
  </w:endnote>
  <w:endnote w:type="continuationSeparator" w:id="0">
    <w:p w14:paraId="1A875FBE" w14:textId="77777777" w:rsidR="00DB3C67" w:rsidRDefault="00DB3C67" w:rsidP="00E54DBA">
      <w:r>
        <w:continuationSeparator/>
      </w:r>
    </w:p>
    <w:p w14:paraId="5670BF75" w14:textId="77777777" w:rsidR="00DB3C67" w:rsidRDefault="00DB3C67"/>
    <w:p w14:paraId="3E6DD7A0" w14:textId="77777777" w:rsidR="00DB3C67" w:rsidRDefault="00DB3C6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1994"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4551A">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74551A">
      <w:rPr>
        <w:noProof/>
        <w:sz w:val="18"/>
      </w:rPr>
      <w:t>10</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500B9">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A290C">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A290C">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74551A">
      <w:rPr>
        <w:sz w:val="18"/>
      </w:rPr>
      <w:t>https://doi.org/10.33321/cdi.2020.44.76</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4551A">
      <w:rPr>
        <w:sz w:val="18"/>
      </w:rPr>
      <w:t>16/09/2020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F386"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4551A">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74551A">
      <w:rPr>
        <w:noProof/>
        <w:sz w:val="18"/>
      </w:rPr>
      <w:t>10</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500B9">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A290C">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A290C">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74551A">
      <w:rPr>
        <w:sz w:val="18"/>
      </w:rPr>
      <w:t>https://doi.org/10.33321/cdi.2020.44.76</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4551A">
      <w:rPr>
        <w:sz w:val="18"/>
      </w:rPr>
      <w:t>16/09/2020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A956" w14:textId="77777777" w:rsidR="00DB3C67" w:rsidRDefault="00DB3C67" w:rsidP="00E54DBA">
      <w:r>
        <w:separator/>
      </w:r>
    </w:p>
  </w:footnote>
  <w:footnote w:type="continuationSeparator" w:id="0">
    <w:p w14:paraId="7ECB8F7D" w14:textId="77777777" w:rsidR="00DB3C67" w:rsidRDefault="00DB3C67" w:rsidP="00E54DBA">
      <w:r>
        <w:continuationSeparator/>
      </w:r>
    </w:p>
  </w:footnote>
  <w:footnote w:type="continuationNotice" w:id="1">
    <w:p w14:paraId="2FDCB0ED" w14:textId="77777777" w:rsidR="00DB3C67" w:rsidRPr="00224EFF" w:rsidRDefault="00DB3C67"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6449" w14:textId="77777777" w:rsidR="00257484" w:rsidRPr="00A153B6" w:rsidRDefault="009F6FD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729E3">
          <w:t>Surveillance summary</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9277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906E27C"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41"/>
    <w:multiLevelType w:val="hybridMultilevel"/>
    <w:tmpl w:val="EF423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1B7C66"/>
    <w:multiLevelType w:val="multilevel"/>
    <w:tmpl w:val="3E52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BB7092"/>
    <w:multiLevelType w:val="multilevel"/>
    <w:tmpl w:val="9D5EC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EF5AB0"/>
    <w:multiLevelType w:val="hybridMultilevel"/>
    <w:tmpl w:val="A2D695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9489495">
    <w:abstractNumId w:val="2"/>
  </w:num>
  <w:num w:numId="2" w16cid:durableId="497383467">
    <w:abstractNumId w:val="3"/>
  </w:num>
  <w:num w:numId="3" w16cid:durableId="1774783948">
    <w:abstractNumId w:val="4"/>
  </w:num>
  <w:num w:numId="4" w16cid:durableId="35355506">
    <w:abstractNumId w:val="1"/>
  </w:num>
  <w:num w:numId="5" w16cid:durableId="1377463772">
    <w:abstractNumId w:val="5"/>
  </w:num>
  <w:num w:numId="6" w16cid:durableId="403844438">
    <w:abstractNumId w:val="8"/>
  </w:num>
  <w:num w:numId="7" w16cid:durableId="2006392178">
    <w:abstractNumId w:val="6"/>
  </w:num>
  <w:num w:numId="8" w16cid:durableId="1252393919">
    <w:abstractNumId w:val="7"/>
  </w:num>
  <w:num w:numId="9" w16cid:durableId="2146656509">
    <w:abstractNumId w:val="9"/>
  </w:num>
  <w:num w:numId="10" w16cid:durableId="47371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67"/>
    <w:rsid w:val="00000B5B"/>
    <w:rsid w:val="00001611"/>
    <w:rsid w:val="000104A8"/>
    <w:rsid w:val="0001246E"/>
    <w:rsid w:val="000124B1"/>
    <w:rsid w:val="00016FE6"/>
    <w:rsid w:val="00031064"/>
    <w:rsid w:val="00031692"/>
    <w:rsid w:val="00032531"/>
    <w:rsid w:val="000471BF"/>
    <w:rsid w:val="00047701"/>
    <w:rsid w:val="00047B68"/>
    <w:rsid w:val="00052600"/>
    <w:rsid w:val="0005643C"/>
    <w:rsid w:val="0006264A"/>
    <w:rsid w:val="00073D77"/>
    <w:rsid w:val="00081655"/>
    <w:rsid w:val="000864E0"/>
    <w:rsid w:val="000969B3"/>
    <w:rsid w:val="000A5F42"/>
    <w:rsid w:val="000D4B4D"/>
    <w:rsid w:val="00113D58"/>
    <w:rsid w:val="001200CB"/>
    <w:rsid w:val="001378A3"/>
    <w:rsid w:val="00145700"/>
    <w:rsid w:val="00155582"/>
    <w:rsid w:val="00161590"/>
    <w:rsid w:val="00171CC0"/>
    <w:rsid w:val="00175494"/>
    <w:rsid w:val="00175629"/>
    <w:rsid w:val="001830EC"/>
    <w:rsid w:val="00183534"/>
    <w:rsid w:val="00186703"/>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761E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87920"/>
    <w:rsid w:val="003A1B3A"/>
    <w:rsid w:val="003A40F5"/>
    <w:rsid w:val="003B5B8C"/>
    <w:rsid w:val="003D79B1"/>
    <w:rsid w:val="003E74EE"/>
    <w:rsid w:val="003F0552"/>
    <w:rsid w:val="003F3BC2"/>
    <w:rsid w:val="00401ED1"/>
    <w:rsid w:val="0040224C"/>
    <w:rsid w:val="00411C88"/>
    <w:rsid w:val="00413EE1"/>
    <w:rsid w:val="004164BB"/>
    <w:rsid w:val="00421ECE"/>
    <w:rsid w:val="00422FEB"/>
    <w:rsid w:val="0042435E"/>
    <w:rsid w:val="004315F5"/>
    <w:rsid w:val="00433456"/>
    <w:rsid w:val="00433DFA"/>
    <w:rsid w:val="00435D67"/>
    <w:rsid w:val="00464A58"/>
    <w:rsid w:val="00473D2D"/>
    <w:rsid w:val="00474A7A"/>
    <w:rsid w:val="00491339"/>
    <w:rsid w:val="004A2125"/>
    <w:rsid w:val="004A38F6"/>
    <w:rsid w:val="004B4EB6"/>
    <w:rsid w:val="004C083C"/>
    <w:rsid w:val="004C1CF2"/>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20768"/>
    <w:rsid w:val="0062594B"/>
    <w:rsid w:val="00631406"/>
    <w:rsid w:val="006324FF"/>
    <w:rsid w:val="006351D6"/>
    <w:rsid w:val="00636E0D"/>
    <w:rsid w:val="00637B75"/>
    <w:rsid w:val="0064142F"/>
    <w:rsid w:val="00643CB4"/>
    <w:rsid w:val="00656427"/>
    <w:rsid w:val="00660255"/>
    <w:rsid w:val="00691BDE"/>
    <w:rsid w:val="006971F3"/>
    <w:rsid w:val="006C74A3"/>
    <w:rsid w:val="006D1381"/>
    <w:rsid w:val="006D31BC"/>
    <w:rsid w:val="006E7943"/>
    <w:rsid w:val="006F24EA"/>
    <w:rsid w:val="00704CA9"/>
    <w:rsid w:val="0071048D"/>
    <w:rsid w:val="00710F86"/>
    <w:rsid w:val="007111A8"/>
    <w:rsid w:val="00731BC3"/>
    <w:rsid w:val="00741192"/>
    <w:rsid w:val="00743A33"/>
    <w:rsid w:val="0074551A"/>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06D9F"/>
    <w:rsid w:val="00912050"/>
    <w:rsid w:val="00912E48"/>
    <w:rsid w:val="0092746F"/>
    <w:rsid w:val="00935DC9"/>
    <w:rsid w:val="009446C0"/>
    <w:rsid w:val="0096082E"/>
    <w:rsid w:val="00961347"/>
    <w:rsid w:val="0096572B"/>
    <w:rsid w:val="00967410"/>
    <w:rsid w:val="00967D73"/>
    <w:rsid w:val="00973EF3"/>
    <w:rsid w:val="0098119A"/>
    <w:rsid w:val="00984AAF"/>
    <w:rsid w:val="00987778"/>
    <w:rsid w:val="00991B09"/>
    <w:rsid w:val="00993CB2"/>
    <w:rsid w:val="009A5166"/>
    <w:rsid w:val="009A76F8"/>
    <w:rsid w:val="009B2B83"/>
    <w:rsid w:val="009C49F8"/>
    <w:rsid w:val="009D77CC"/>
    <w:rsid w:val="009E2423"/>
    <w:rsid w:val="009E55D7"/>
    <w:rsid w:val="009F4150"/>
    <w:rsid w:val="009F5665"/>
    <w:rsid w:val="009F5DAD"/>
    <w:rsid w:val="009F6FD4"/>
    <w:rsid w:val="00A01BCA"/>
    <w:rsid w:val="00A10458"/>
    <w:rsid w:val="00A153B6"/>
    <w:rsid w:val="00A164D5"/>
    <w:rsid w:val="00A273C3"/>
    <w:rsid w:val="00A30C37"/>
    <w:rsid w:val="00A36C65"/>
    <w:rsid w:val="00A41BBE"/>
    <w:rsid w:val="00A45BDD"/>
    <w:rsid w:val="00A46A0A"/>
    <w:rsid w:val="00A500B9"/>
    <w:rsid w:val="00A553F8"/>
    <w:rsid w:val="00A6708F"/>
    <w:rsid w:val="00A71BF6"/>
    <w:rsid w:val="00A86F9A"/>
    <w:rsid w:val="00AA35E6"/>
    <w:rsid w:val="00AA50B6"/>
    <w:rsid w:val="00AB3472"/>
    <w:rsid w:val="00AC38DE"/>
    <w:rsid w:val="00AD0762"/>
    <w:rsid w:val="00AE4452"/>
    <w:rsid w:val="00AE7C38"/>
    <w:rsid w:val="00B01F99"/>
    <w:rsid w:val="00B02B37"/>
    <w:rsid w:val="00B05276"/>
    <w:rsid w:val="00B132DB"/>
    <w:rsid w:val="00B1707E"/>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BF11F3"/>
    <w:rsid w:val="00C0171F"/>
    <w:rsid w:val="00C07606"/>
    <w:rsid w:val="00C12542"/>
    <w:rsid w:val="00C24725"/>
    <w:rsid w:val="00C30BA9"/>
    <w:rsid w:val="00C3541E"/>
    <w:rsid w:val="00C36A8F"/>
    <w:rsid w:val="00C42834"/>
    <w:rsid w:val="00C42FFA"/>
    <w:rsid w:val="00C507D8"/>
    <w:rsid w:val="00C62EAC"/>
    <w:rsid w:val="00C63F9F"/>
    <w:rsid w:val="00C729E3"/>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0148"/>
    <w:rsid w:val="00D25896"/>
    <w:rsid w:val="00D364E8"/>
    <w:rsid w:val="00D373A1"/>
    <w:rsid w:val="00D37C0F"/>
    <w:rsid w:val="00D40F8F"/>
    <w:rsid w:val="00D45661"/>
    <w:rsid w:val="00D45943"/>
    <w:rsid w:val="00D47D22"/>
    <w:rsid w:val="00D51865"/>
    <w:rsid w:val="00D51D0C"/>
    <w:rsid w:val="00D74140"/>
    <w:rsid w:val="00DA6E56"/>
    <w:rsid w:val="00DB3C67"/>
    <w:rsid w:val="00DC6705"/>
    <w:rsid w:val="00DD2DE8"/>
    <w:rsid w:val="00DE38B4"/>
    <w:rsid w:val="00DE5D02"/>
    <w:rsid w:val="00E005A9"/>
    <w:rsid w:val="00E1166E"/>
    <w:rsid w:val="00E24DC0"/>
    <w:rsid w:val="00E2519C"/>
    <w:rsid w:val="00E25F2A"/>
    <w:rsid w:val="00E41455"/>
    <w:rsid w:val="00E42AD2"/>
    <w:rsid w:val="00E43C79"/>
    <w:rsid w:val="00E50856"/>
    <w:rsid w:val="00E538CC"/>
    <w:rsid w:val="00E54DBA"/>
    <w:rsid w:val="00E63D7C"/>
    <w:rsid w:val="00E640D5"/>
    <w:rsid w:val="00E66E2E"/>
    <w:rsid w:val="00E67691"/>
    <w:rsid w:val="00E92237"/>
    <w:rsid w:val="00E951EF"/>
    <w:rsid w:val="00EA290C"/>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17CB"/>
    <w:rsid w:val="00F36B6D"/>
    <w:rsid w:val="00F43FA3"/>
    <w:rsid w:val="00F55648"/>
    <w:rsid w:val="00F56425"/>
    <w:rsid w:val="00F70046"/>
    <w:rsid w:val="00F748C2"/>
    <w:rsid w:val="00F76C5C"/>
    <w:rsid w:val="00F81EF3"/>
    <w:rsid w:val="00F84496"/>
    <w:rsid w:val="00F85DCB"/>
    <w:rsid w:val="00F86F9C"/>
    <w:rsid w:val="00F90D76"/>
    <w:rsid w:val="00F96098"/>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756F7"/>
  <w15:docId w15:val="{B000CCF8-D6D8-4C5B-B0B5-740BF72A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AED241-78A6-44F4-9CDE-489C7881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3297</Words>
  <Characters>19681</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Communicable Diseases Intelligence 2020 - High COVID-19 attack rate among attendees of wedding events in Bali, Indonesia, March 2020</vt:lpstr>
    </vt:vector>
  </TitlesOfParts>
  <Company>Australian Government, Department of Health</Company>
  <LinksUpToDate>false</LinksUpToDate>
  <CharactersWithSpaces>22933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High COVID-19 attack rate among attendees of wedding events in Bali, Indonesia, March 2020</dc:title>
  <dc:subject>This article describes a COVID-19 outbreak among attendees of wedding events in Bali, Indonesia to provide greater understanding of COVID-19 transmission and outbreak investigations.</dc:subject>
  <dc:creator>Bhavi Ravindran, Freya Hogarth, Kirsten Williamson, Rose Wright, Martyn Kirk, Craig Dalton</dc:creator>
  <cp:keywords>Smoking, shisha, SARS virus, risk factors, Indonesia, coronavirus disease 2019 (COVID-19), Australia, public health, severe acute respiratory syndrome coronavirus 2 (SARS-CoV-2), outbreak</cp:keywords>
  <dc:description>© Commonwealth of Australia CC BY-NC-ND ISSN: 2209-6051 (Online)</dc:description>
  <cp:lastPrinted>2018-05-10T02:19:00Z</cp:lastPrinted>
  <dcterms:created xsi:type="dcterms:W3CDTF">2024-08-29T02:49:00Z</dcterms:created>
  <dcterms:modified xsi:type="dcterms:W3CDTF">2024-08-29T02:49:00Z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16/09/2020</vt:lpwstr>
  </property>
  <property fmtid="{D5CDD505-2E9C-101B-9397-08002B2CF9AE}" pid="5" name="DOI">
    <vt:lpwstr>https://doi.org/10.33321/cdi.2020.44.76</vt:lpwstr>
  </property>
</Properties>
</file>