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3F65" w14:textId="77777777" w:rsidR="00BE3869" w:rsidRDefault="00BE3869" w:rsidP="00BE3869">
      <w:pPr>
        <w:pStyle w:val="Title"/>
        <w:rPr>
          <w:rFonts w:eastAsia="Times New Roman"/>
          <w:sz w:val="24"/>
          <w:szCs w:val="24"/>
        </w:rPr>
      </w:pPr>
      <w:r>
        <w:rPr>
          <w:rFonts w:eastAsia="Times New Roman"/>
        </w:rPr>
        <w:t xml:space="preserve">Physical distancing and non-respiratory notifiable diseases in the Northern Territory, March-May 2020 </w:t>
      </w:r>
    </w:p>
    <w:p w14:paraId="42BDD69D" w14:textId="77777777" w:rsidR="00BE3869" w:rsidRDefault="00BE3869" w:rsidP="00BE3869">
      <w:proofErr w:type="spellStart"/>
      <w:r>
        <w:t>Ouli</w:t>
      </w:r>
      <w:proofErr w:type="spellEnd"/>
      <w:r>
        <w:t xml:space="preserve"> Xie, Peter G Markey, Anthony D K Draper, Vicki L Krause </w:t>
      </w:r>
    </w:p>
    <w:p w14:paraId="07DF2579" w14:textId="77777777" w:rsidR="00BE3869" w:rsidRPr="00291395" w:rsidRDefault="00BE3869" w:rsidP="00BE3869">
      <w:pPr>
        <w:pStyle w:val="Heading1"/>
      </w:pPr>
      <w:r w:rsidRPr="00291395">
        <w:t xml:space="preserve">Abstract </w:t>
      </w:r>
    </w:p>
    <w:p w14:paraId="16AD3DAB" w14:textId="77777777" w:rsidR="00BE3869" w:rsidRDefault="00BE3869" w:rsidP="00BE3869">
      <w:r>
        <w:t>Strict physical distancing measures and border controls have been introduced in the Northern Territory (NT), and across Australia, to reduce the spread of coronavirus disease 2019 (COVID-19). These measures have been associated with reduced incidence of other respiratory illnesses such as influenza. It is currently unclear what effect these measures have on non-respiratory communicable diseases. The incidence of notifiable non-respiratory communicable diseases within the NT, from 15 March to 15 May 2020, the period of most restrictive physical distancing, was monitored and is here compared with two control periods: (</w:t>
      </w:r>
      <w:proofErr w:type="spellStart"/>
      <w:r>
        <w:t>i</w:t>
      </w:r>
      <w:proofErr w:type="spellEnd"/>
      <w:r>
        <w:t xml:space="preserve">) the 4 months immediately prior and (ii) the same two-month period from the preceding 5 years. During the study period, there was a decline in incidence of communicable enteric illnesses, particularly in shigellosis and rotavirus where person-to-person spread is the main transmission route. There was an increase in chlamydial conjunctivitis in areas with endemic trachoma, which is under further investigation. There was no observed increase in conditions associated with crowding, such as those related to group A streptococcal infection. </w:t>
      </w:r>
    </w:p>
    <w:p w14:paraId="0F239121" w14:textId="77777777" w:rsidR="00BE3869" w:rsidRDefault="00BE3869" w:rsidP="00BE3869">
      <w:r>
        <w:t xml:space="preserve">Keywords: epidemiology, COVID-19, physical distancing, Northern Territory, Australia </w:t>
      </w:r>
    </w:p>
    <w:p w14:paraId="628367D1" w14:textId="77777777" w:rsidR="00BE3869" w:rsidRPr="00291395" w:rsidRDefault="00BE3869" w:rsidP="00BE3869">
      <w:pPr>
        <w:pStyle w:val="Heading1"/>
      </w:pPr>
      <w:r w:rsidRPr="00291395">
        <w:t xml:space="preserve">Background </w:t>
      </w:r>
    </w:p>
    <w:p w14:paraId="6632AC0B" w14:textId="77777777" w:rsidR="00BE3869" w:rsidRDefault="00BE3869" w:rsidP="00BE3869">
      <w:r>
        <w:t>On 11 March 2020,</w:t>
      </w:r>
      <w:r>
        <w:rPr>
          <w:vertAlign w:val="superscript"/>
        </w:rPr>
        <w:t>1</w:t>
      </w:r>
      <w:r>
        <w:t xml:space="preserve"> the World Health Organization (WHO) declared the novel coronavirus, severe acute respiratory syndrome coronavirus 2 (SARS-CoV-2), and the disease for which it is responsible, coronavirus disease 2019 (COVID-19), a pandemic. SARS-CoV-2 is thought to spread predominantly by respiratory droplets.</w:t>
      </w:r>
      <w:r>
        <w:rPr>
          <w:vertAlign w:val="superscript"/>
        </w:rPr>
        <w:t>2</w:t>
      </w:r>
      <w:r>
        <w:t xml:space="preserve"> </w:t>
      </w:r>
    </w:p>
    <w:p w14:paraId="40FF0A26" w14:textId="77777777" w:rsidR="00BE3869" w:rsidRDefault="00BE3869" w:rsidP="00BE3869">
      <w:r>
        <w:t>Australia progressively introduced border controls and physical distancing measures to reduce the spread of SARS-CoV-2 from February 2020. From 15 March 2020, all international arrivals were required to quarantine for 14 days. The Northern Territory (NT) introduced further physical distancing measures from 15 March 2020, which restricted gatherings, before progressing to closure of non-essential businesses on 25 March 2020.</w:t>
      </w:r>
      <w:r>
        <w:rPr>
          <w:vertAlign w:val="superscript"/>
        </w:rPr>
        <w:t>3</w:t>
      </w:r>
      <w:r>
        <w:t xml:space="preserve"> Indoor and outdoor gatherings were restricted to a maximum of 10 people on 30 March 2020. Restrictions were introduced on 20 March 2020, on travel to remote Aboriginal communities, and travellers entering from interstate were required to quarantine for 14 days from 24 March 2020. Public health messaging also promoted careful hand hygiene, environmental cleaning, and self-isolation when unwell. Physical distancing restrictions were gradually lifted from 15 May 2020. </w:t>
      </w:r>
    </w:p>
    <w:p w14:paraId="133519B7" w14:textId="77777777" w:rsidR="00BE3869" w:rsidRDefault="00BE3869" w:rsidP="00BE3869">
      <w:r>
        <w:t>The NT has a widely distributed, and largely remote, population of approximately 230,000 people, of whom 26% identify as Aboriginal or Torres Strait Islander.</w:t>
      </w:r>
      <w:r>
        <w:rPr>
          <w:vertAlign w:val="superscript"/>
        </w:rPr>
        <w:t>4</w:t>
      </w:r>
      <w:r>
        <w:t xml:space="preserve"> There is a disproportionate burden of communicable diseases such as invasive group A streptococcal disease (iGAS) and shigellosis, and a unique spectrum of illnesses such as melioidosis and crusted scabies which are notifiable within the NT but not nationally.</w:t>
      </w:r>
      <w:r>
        <w:rPr>
          <w:vertAlign w:val="superscript"/>
        </w:rPr>
        <w:t>5–</w:t>
      </w:r>
      <w:proofErr w:type="gramStart"/>
      <w:r>
        <w:rPr>
          <w:vertAlign w:val="superscript"/>
        </w:rPr>
        <w:t>8</w:t>
      </w:r>
      <w:proofErr w:type="gramEnd"/>
      <w:r>
        <w:rPr>
          <w:vertAlign w:val="superscript"/>
        </w:rPr>
        <w:t xml:space="preserve"> </w:t>
      </w:r>
    </w:p>
    <w:p w14:paraId="77284703" w14:textId="77777777" w:rsidR="00BE3869" w:rsidRDefault="00BE3869" w:rsidP="00BE3869">
      <w:r>
        <w:t>Physical distancing measures implemented to reduce the risk of SARS-CoV-2 have been effective at reducing the spread of other respiratory viruses such as influenza.</w:t>
      </w:r>
      <w:r>
        <w:rPr>
          <w:vertAlign w:val="superscript"/>
        </w:rPr>
        <w:t>9</w:t>
      </w:r>
      <w:r>
        <w:t xml:space="preserve"> It is unknown what effect these measures have on non-respiratory communicable diseases. </w:t>
      </w:r>
    </w:p>
    <w:p w14:paraId="5F392D82" w14:textId="77777777" w:rsidR="00BE3869" w:rsidRPr="00291395" w:rsidRDefault="00BE3869" w:rsidP="00BE3869">
      <w:pPr>
        <w:pStyle w:val="Heading1"/>
      </w:pPr>
      <w:r w:rsidRPr="00291395">
        <w:lastRenderedPageBreak/>
        <w:t xml:space="preserve">Aim </w:t>
      </w:r>
    </w:p>
    <w:p w14:paraId="2F93B1F7" w14:textId="77777777" w:rsidR="00BE3869" w:rsidRDefault="00BE3869" w:rsidP="00BE3869">
      <w:r>
        <w:t>We aimed to measure and compare the incidences of notifiable non-respiratory communicable diseases in the NT from 15 March 2020 to 15 May 2020, the period of most restrictive physical distancing, with two control periods: (</w:t>
      </w:r>
      <w:proofErr w:type="spellStart"/>
      <w:r>
        <w:t>i</w:t>
      </w:r>
      <w:proofErr w:type="spellEnd"/>
      <w:r>
        <w:t xml:space="preserve">) the 4 months immediately prior (wet season), 15 November 2019 to 14 March 2020, and (ii) the same period of 15 March to 15 May from the 5 years prior. </w:t>
      </w:r>
    </w:p>
    <w:p w14:paraId="501F0D1F" w14:textId="77777777" w:rsidR="00BE3869" w:rsidRPr="00291395" w:rsidRDefault="00BE3869" w:rsidP="00BE3869">
      <w:pPr>
        <w:pStyle w:val="Heading1"/>
      </w:pPr>
      <w:r w:rsidRPr="00291395">
        <w:t xml:space="preserve">Methods </w:t>
      </w:r>
    </w:p>
    <w:p w14:paraId="52474789" w14:textId="77777777" w:rsidR="00BE3869" w:rsidRDefault="00BE3869" w:rsidP="00BE3869">
      <w:r>
        <w:t xml:space="preserve">Notifiable disease data were extracted from the NT Notifiable Diseases Surveillance System (NTNDS). Incidence rates were calculated per 100,000 population per month. Incidence rate ratios (IRR) and 95% confidence intervals (95% CI) were calculated by Poisson regression. IRR was only calculated when 10 or more cases per month were reported. Statistical analysis was performed using STATA version 13.0 (College Station, Texas). </w:t>
      </w:r>
    </w:p>
    <w:p w14:paraId="1390347B" w14:textId="77777777" w:rsidR="00BE3869" w:rsidRDefault="00BE3869" w:rsidP="00BE3869">
      <w:r>
        <w:t>As data in this study were collected under the authority of public health legislation, ethics approval was not sought.</w:t>
      </w:r>
      <w:r>
        <w:rPr>
          <w:vertAlign w:val="superscript"/>
        </w:rPr>
        <w:t xml:space="preserve">10 </w:t>
      </w:r>
    </w:p>
    <w:p w14:paraId="1E3A00C4" w14:textId="77777777" w:rsidR="00BE3869" w:rsidRPr="00291395" w:rsidRDefault="00BE3869" w:rsidP="00BE3869">
      <w:pPr>
        <w:pStyle w:val="Heading1"/>
      </w:pPr>
      <w:r w:rsidRPr="00291395">
        <w:t xml:space="preserve">Results </w:t>
      </w:r>
    </w:p>
    <w:p w14:paraId="323C2DE1" w14:textId="77777777" w:rsidR="00BE3869" w:rsidRDefault="00BE3869" w:rsidP="00BE3869">
      <w:r>
        <w:t>During the two months of most restrictive physical distancing measures from 15 March 2020 to 15 May 2020, there was a reduced incidence of enteric illnesses including cryptosporidiosis, rotavirus, shigellosis, and salmonellosis, but not campylobacteriosis (Table 1). Compared to the 4 months prior to 15 March 2020, there was a decline from 6.1 to 0.8 cases per 100,000 population per month (IRR 0.13; 95% CI 0.03–0.58) for rotavirus and from 17.49 to 10.17 cases per 100,000 population per month (IRR 0.58; 95% CI 0.36–0.95) for shigellosis (Table 2). For salmonellosis and cryptosporidiosis, the decline was most marked compared to the 5-year median, from 24 to 13.83 cases per 100,000 population per month (IRR 0.58; 95% CI 0.38–0.88) and from 7.73 to 2.85 cases per 100,000 population per month (IRR 0.37; 95% CI 0.15–0.88), respectively.</w:t>
      </w:r>
    </w:p>
    <w:p w14:paraId="49B8DFF0" w14:textId="77777777" w:rsidR="00CA1E25" w:rsidRDefault="00CA1E25">
      <w:pPr>
        <w:rPr>
          <w:b/>
        </w:rPr>
      </w:pPr>
      <w:r>
        <w:br w:type="page"/>
      </w:r>
    </w:p>
    <w:p w14:paraId="5473D3CD" w14:textId="77777777" w:rsidR="00BE3869" w:rsidRDefault="00BE3869" w:rsidP="00BE3869">
      <w:pPr>
        <w:pStyle w:val="CDIFigures"/>
      </w:pPr>
      <w:r>
        <w:lastRenderedPageBreak/>
        <w:t xml:space="preserve">Table 1. Number of cases during period of NT physical distancing (15 March to 15 May 2020) compared to control </w:t>
      </w:r>
      <w:proofErr w:type="gramStart"/>
      <w:r>
        <w:t>periods</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median number of cases per month of notifiable communicable non-respiratory diseases during the period of physical distancing from 15 March to 15 May 2020 compared to the two control periods."/>
      </w:tblPr>
      <w:tblGrid>
        <w:gridCol w:w="3394"/>
        <w:gridCol w:w="2357"/>
        <w:gridCol w:w="2357"/>
        <w:gridCol w:w="2358"/>
      </w:tblGrid>
      <w:tr w:rsidR="00BE3869" w:rsidRPr="00291395" w14:paraId="05F5E748" w14:textId="77777777" w:rsidTr="006341D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7A914299" w14:textId="77777777" w:rsidR="00BE3869" w:rsidRPr="00291395" w:rsidRDefault="00BE3869" w:rsidP="006341DA">
            <w:pPr>
              <w:rPr>
                <w:color w:val="FFFFFF" w:themeColor="background1"/>
              </w:rPr>
            </w:pPr>
          </w:p>
        </w:tc>
        <w:tc>
          <w:tcPr>
            <w:tcW w:w="0" w:type="auto"/>
            <w:gridSpan w:val="3"/>
            <w:tcBorders>
              <w:left w:val="single" w:sz="2" w:space="0" w:color="FFFFFF" w:themeColor="background1"/>
              <w:bottom w:val="single" w:sz="2" w:space="0" w:color="FFFFFF" w:themeColor="background1"/>
            </w:tcBorders>
            <w:hideMark/>
          </w:tcPr>
          <w:p w14:paraId="31B4F3B3" w14:textId="77777777" w:rsidR="00BE3869" w:rsidRPr="00291395" w:rsidRDefault="00BE3869" w:rsidP="006341DA">
            <w:pPr>
              <w:pStyle w:val="NormalWeb"/>
              <w:jc w:val="center"/>
              <w:rPr>
                <w:color w:val="FFFFFF" w:themeColor="background1"/>
                <w:sz w:val="24"/>
                <w:szCs w:val="24"/>
              </w:rPr>
            </w:pPr>
            <w:r w:rsidRPr="00291395">
              <w:rPr>
                <w:color w:val="FFFFFF" w:themeColor="background1"/>
              </w:rPr>
              <w:t>Median number of cases (n) per month</w:t>
            </w:r>
          </w:p>
        </w:tc>
      </w:tr>
      <w:tr w:rsidR="00BE3869" w:rsidRPr="00291395" w14:paraId="1CEDD940" w14:textId="77777777" w:rsidTr="006341D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5B6730C" w14:textId="77777777" w:rsidR="00BE3869" w:rsidRPr="00291395" w:rsidRDefault="00BE3869" w:rsidP="006341DA">
            <w:pPr>
              <w:rPr>
                <w:color w:val="FFFFFF" w:themeColor="background1"/>
                <w:sz w:val="24"/>
                <w:szCs w:val="24"/>
              </w:rPr>
            </w:pPr>
          </w:p>
        </w:tc>
        <w:tc>
          <w:tcPr>
            <w:tcW w:w="2357" w:type="dxa"/>
            <w:tcBorders>
              <w:top w:val="single" w:sz="2" w:space="0" w:color="FFFFFF" w:themeColor="background1"/>
              <w:left w:val="single" w:sz="2" w:space="0" w:color="FFFFFF" w:themeColor="background1"/>
              <w:right w:val="single" w:sz="2" w:space="0" w:color="FFFFFF" w:themeColor="background1"/>
            </w:tcBorders>
            <w:hideMark/>
          </w:tcPr>
          <w:p w14:paraId="03686E8D" w14:textId="77777777" w:rsidR="00BE3869" w:rsidRPr="00291395" w:rsidRDefault="00BE3869" w:rsidP="006341DA">
            <w:pPr>
              <w:pStyle w:val="NormalWeb"/>
              <w:jc w:val="center"/>
              <w:rPr>
                <w:color w:val="FFFFFF" w:themeColor="background1"/>
              </w:rPr>
            </w:pPr>
            <w:r w:rsidRPr="00291395">
              <w:rPr>
                <w:color w:val="FFFFFF" w:themeColor="background1"/>
              </w:rPr>
              <w:t>15 March 2020 –15 May 2020</w:t>
            </w:r>
          </w:p>
        </w:tc>
        <w:tc>
          <w:tcPr>
            <w:tcW w:w="2357" w:type="dxa"/>
            <w:tcBorders>
              <w:top w:val="single" w:sz="2" w:space="0" w:color="FFFFFF" w:themeColor="background1"/>
              <w:left w:val="single" w:sz="2" w:space="0" w:color="FFFFFF" w:themeColor="background1"/>
              <w:right w:val="single" w:sz="2" w:space="0" w:color="FFFFFF" w:themeColor="background1"/>
            </w:tcBorders>
            <w:hideMark/>
          </w:tcPr>
          <w:p w14:paraId="5865CCDF" w14:textId="77777777" w:rsidR="00BE3869" w:rsidRPr="00291395" w:rsidRDefault="00BE3869" w:rsidP="006341DA">
            <w:pPr>
              <w:pStyle w:val="NormalWeb"/>
              <w:jc w:val="center"/>
              <w:rPr>
                <w:color w:val="FFFFFF" w:themeColor="background1"/>
              </w:rPr>
            </w:pPr>
            <w:r w:rsidRPr="00291395">
              <w:rPr>
                <w:color w:val="FFFFFF" w:themeColor="background1"/>
              </w:rPr>
              <w:t>15 November 2019 – 14 March 2020</w:t>
            </w:r>
          </w:p>
        </w:tc>
        <w:tc>
          <w:tcPr>
            <w:tcW w:w="2358" w:type="dxa"/>
            <w:tcBorders>
              <w:top w:val="single" w:sz="2" w:space="0" w:color="FFFFFF" w:themeColor="background1"/>
              <w:left w:val="single" w:sz="2" w:space="0" w:color="FFFFFF" w:themeColor="background1"/>
            </w:tcBorders>
            <w:hideMark/>
          </w:tcPr>
          <w:p w14:paraId="547162F3" w14:textId="77777777" w:rsidR="00BE3869" w:rsidRPr="00291395" w:rsidRDefault="00BE3869" w:rsidP="006341DA">
            <w:pPr>
              <w:pStyle w:val="NormalWeb"/>
              <w:jc w:val="center"/>
              <w:rPr>
                <w:color w:val="FFFFFF" w:themeColor="background1"/>
              </w:rPr>
            </w:pPr>
            <w:r w:rsidRPr="00291395">
              <w:rPr>
                <w:color w:val="FFFFFF" w:themeColor="background1"/>
              </w:rPr>
              <w:t xml:space="preserve">15 March – 15 </w:t>
            </w:r>
            <w:proofErr w:type="gramStart"/>
            <w:r w:rsidRPr="00291395">
              <w:rPr>
                <w:color w:val="FFFFFF" w:themeColor="background1"/>
              </w:rPr>
              <w:t>May,</w:t>
            </w:r>
            <w:proofErr w:type="gramEnd"/>
            <w:r w:rsidRPr="00291395">
              <w:rPr>
                <w:color w:val="FFFFFF" w:themeColor="background1"/>
              </w:rPr>
              <w:t xml:space="preserve"> 2015–2019</w:t>
            </w:r>
          </w:p>
        </w:tc>
      </w:tr>
      <w:tr w:rsidR="00BE3869" w14:paraId="092081BC" w14:textId="77777777" w:rsidTr="006341DA">
        <w:tc>
          <w:tcPr>
            <w:tcW w:w="0" w:type="auto"/>
            <w:hideMark/>
          </w:tcPr>
          <w:p w14:paraId="6BB41EF9" w14:textId="77777777" w:rsidR="00BE3869" w:rsidRDefault="00BE3869" w:rsidP="006341DA">
            <w:pPr>
              <w:pStyle w:val="NormalWeb"/>
            </w:pPr>
            <w:r>
              <w:t>Acute post-streptococcal glomerulonephritis</w:t>
            </w:r>
          </w:p>
        </w:tc>
        <w:tc>
          <w:tcPr>
            <w:tcW w:w="2357" w:type="dxa"/>
            <w:hideMark/>
          </w:tcPr>
          <w:p w14:paraId="78153588" w14:textId="77777777" w:rsidR="00BE3869" w:rsidRDefault="00BE3869" w:rsidP="006341DA">
            <w:pPr>
              <w:pStyle w:val="NormalWeb"/>
              <w:jc w:val="center"/>
            </w:pPr>
            <w:r>
              <w:t>2</w:t>
            </w:r>
          </w:p>
        </w:tc>
        <w:tc>
          <w:tcPr>
            <w:tcW w:w="2357" w:type="dxa"/>
            <w:hideMark/>
          </w:tcPr>
          <w:p w14:paraId="60B3A501" w14:textId="77777777" w:rsidR="00BE3869" w:rsidRDefault="00BE3869" w:rsidP="006341DA">
            <w:pPr>
              <w:pStyle w:val="NormalWeb"/>
              <w:jc w:val="center"/>
            </w:pPr>
            <w:r>
              <w:t>1</w:t>
            </w:r>
          </w:p>
        </w:tc>
        <w:tc>
          <w:tcPr>
            <w:tcW w:w="2358" w:type="dxa"/>
            <w:hideMark/>
          </w:tcPr>
          <w:p w14:paraId="66CE0847" w14:textId="77777777" w:rsidR="00BE3869" w:rsidRDefault="00BE3869" w:rsidP="006341DA">
            <w:pPr>
              <w:pStyle w:val="NormalWeb"/>
              <w:jc w:val="center"/>
            </w:pPr>
            <w:r>
              <w:t>3.5</w:t>
            </w:r>
          </w:p>
        </w:tc>
      </w:tr>
      <w:tr w:rsidR="00BE3869" w14:paraId="5EE7E5C4"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3F1DB907" w14:textId="77777777" w:rsidR="00BE3869" w:rsidRDefault="00BE3869" w:rsidP="006341DA">
            <w:pPr>
              <w:pStyle w:val="NormalWeb"/>
            </w:pPr>
            <w:r>
              <w:t>Campylobacteriosis</w:t>
            </w:r>
          </w:p>
        </w:tc>
        <w:tc>
          <w:tcPr>
            <w:tcW w:w="2357" w:type="dxa"/>
            <w:hideMark/>
          </w:tcPr>
          <w:p w14:paraId="72501011" w14:textId="77777777" w:rsidR="00BE3869" w:rsidRDefault="00BE3869" w:rsidP="006341DA">
            <w:pPr>
              <w:pStyle w:val="NormalWeb"/>
              <w:jc w:val="center"/>
            </w:pPr>
            <w:r>
              <w:t>37</w:t>
            </w:r>
          </w:p>
        </w:tc>
        <w:tc>
          <w:tcPr>
            <w:tcW w:w="2357" w:type="dxa"/>
            <w:hideMark/>
          </w:tcPr>
          <w:p w14:paraId="048543CE" w14:textId="77777777" w:rsidR="00BE3869" w:rsidRDefault="00BE3869" w:rsidP="006341DA">
            <w:pPr>
              <w:pStyle w:val="NormalWeb"/>
              <w:jc w:val="center"/>
            </w:pPr>
            <w:r>
              <w:t>32</w:t>
            </w:r>
          </w:p>
        </w:tc>
        <w:tc>
          <w:tcPr>
            <w:tcW w:w="2358" w:type="dxa"/>
            <w:hideMark/>
          </w:tcPr>
          <w:p w14:paraId="0786F168" w14:textId="77777777" w:rsidR="00BE3869" w:rsidRDefault="00BE3869" w:rsidP="006341DA">
            <w:pPr>
              <w:pStyle w:val="NormalWeb"/>
              <w:jc w:val="center"/>
            </w:pPr>
            <w:r>
              <w:t>34</w:t>
            </w:r>
          </w:p>
        </w:tc>
      </w:tr>
      <w:tr w:rsidR="00BE3869" w14:paraId="6A99ADF3" w14:textId="77777777" w:rsidTr="006341DA">
        <w:tc>
          <w:tcPr>
            <w:tcW w:w="0" w:type="auto"/>
            <w:hideMark/>
          </w:tcPr>
          <w:p w14:paraId="016678E2" w14:textId="77777777" w:rsidR="00BE3869" w:rsidRDefault="00BE3869" w:rsidP="006341DA">
            <w:pPr>
              <w:pStyle w:val="NormalWeb"/>
            </w:pPr>
            <w:r>
              <w:t>Chlamydia</w:t>
            </w:r>
          </w:p>
        </w:tc>
        <w:tc>
          <w:tcPr>
            <w:tcW w:w="2357" w:type="dxa"/>
            <w:hideMark/>
          </w:tcPr>
          <w:p w14:paraId="53382010" w14:textId="77777777" w:rsidR="00BE3869" w:rsidRDefault="00BE3869" w:rsidP="006341DA">
            <w:pPr>
              <w:pStyle w:val="NormalWeb"/>
              <w:jc w:val="center"/>
            </w:pPr>
            <w:r>
              <w:t>235.5</w:t>
            </w:r>
          </w:p>
        </w:tc>
        <w:tc>
          <w:tcPr>
            <w:tcW w:w="2357" w:type="dxa"/>
            <w:hideMark/>
          </w:tcPr>
          <w:p w14:paraId="2B32D4DD" w14:textId="77777777" w:rsidR="00BE3869" w:rsidRDefault="00BE3869" w:rsidP="006341DA">
            <w:pPr>
              <w:pStyle w:val="NormalWeb"/>
              <w:jc w:val="center"/>
            </w:pPr>
            <w:r>
              <w:t>246</w:t>
            </w:r>
          </w:p>
        </w:tc>
        <w:tc>
          <w:tcPr>
            <w:tcW w:w="2358" w:type="dxa"/>
            <w:hideMark/>
          </w:tcPr>
          <w:p w14:paraId="581CF96D" w14:textId="77777777" w:rsidR="00BE3869" w:rsidRDefault="00BE3869" w:rsidP="006341DA">
            <w:pPr>
              <w:pStyle w:val="NormalWeb"/>
              <w:jc w:val="center"/>
            </w:pPr>
            <w:r>
              <w:t>246.5</w:t>
            </w:r>
          </w:p>
        </w:tc>
      </w:tr>
      <w:tr w:rsidR="00BE3869" w14:paraId="0136A1D0"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24B33DF0" w14:textId="77777777" w:rsidR="00BE3869" w:rsidRDefault="00BE3869" w:rsidP="006341DA">
            <w:pPr>
              <w:pStyle w:val="NormalWeb"/>
            </w:pPr>
            <w:r>
              <w:t>Chlamydial conjunctivitis</w:t>
            </w:r>
          </w:p>
        </w:tc>
        <w:tc>
          <w:tcPr>
            <w:tcW w:w="2357" w:type="dxa"/>
            <w:hideMark/>
          </w:tcPr>
          <w:p w14:paraId="0B5BE0EE" w14:textId="77777777" w:rsidR="00BE3869" w:rsidRDefault="00BE3869" w:rsidP="006341DA">
            <w:pPr>
              <w:pStyle w:val="NormalWeb"/>
              <w:jc w:val="center"/>
            </w:pPr>
            <w:r>
              <w:t>22</w:t>
            </w:r>
          </w:p>
        </w:tc>
        <w:tc>
          <w:tcPr>
            <w:tcW w:w="2357" w:type="dxa"/>
            <w:hideMark/>
          </w:tcPr>
          <w:p w14:paraId="5ED0BB8A" w14:textId="77777777" w:rsidR="00BE3869" w:rsidRDefault="00BE3869" w:rsidP="006341DA">
            <w:pPr>
              <w:pStyle w:val="NormalWeb"/>
              <w:jc w:val="center"/>
            </w:pPr>
            <w:r>
              <w:t>4</w:t>
            </w:r>
          </w:p>
        </w:tc>
        <w:tc>
          <w:tcPr>
            <w:tcW w:w="2358" w:type="dxa"/>
            <w:hideMark/>
          </w:tcPr>
          <w:p w14:paraId="08B77600" w14:textId="77777777" w:rsidR="00BE3869" w:rsidRDefault="00BE3869" w:rsidP="006341DA">
            <w:pPr>
              <w:pStyle w:val="NormalWeb"/>
              <w:jc w:val="center"/>
            </w:pPr>
            <w:r>
              <w:t>1.5</w:t>
            </w:r>
          </w:p>
        </w:tc>
      </w:tr>
      <w:tr w:rsidR="00BE3869" w14:paraId="30EE42D6" w14:textId="77777777" w:rsidTr="006341DA">
        <w:tc>
          <w:tcPr>
            <w:tcW w:w="0" w:type="auto"/>
            <w:hideMark/>
          </w:tcPr>
          <w:p w14:paraId="27EA6ACD" w14:textId="77777777" w:rsidR="00BE3869" w:rsidRDefault="00BE3869" w:rsidP="006341DA">
            <w:pPr>
              <w:pStyle w:val="NormalWeb"/>
            </w:pPr>
            <w:r>
              <w:t>Crusted scabies</w:t>
            </w:r>
          </w:p>
        </w:tc>
        <w:tc>
          <w:tcPr>
            <w:tcW w:w="2357" w:type="dxa"/>
            <w:hideMark/>
          </w:tcPr>
          <w:p w14:paraId="671003D4" w14:textId="77777777" w:rsidR="00BE3869" w:rsidRDefault="00BE3869" w:rsidP="006341DA">
            <w:pPr>
              <w:pStyle w:val="NormalWeb"/>
              <w:jc w:val="center"/>
            </w:pPr>
            <w:r>
              <w:t>4</w:t>
            </w:r>
          </w:p>
        </w:tc>
        <w:tc>
          <w:tcPr>
            <w:tcW w:w="2357" w:type="dxa"/>
            <w:hideMark/>
          </w:tcPr>
          <w:p w14:paraId="6C6FBAAF" w14:textId="77777777" w:rsidR="00BE3869" w:rsidRDefault="00BE3869" w:rsidP="006341DA">
            <w:pPr>
              <w:pStyle w:val="NormalWeb"/>
              <w:jc w:val="center"/>
            </w:pPr>
            <w:r>
              <w:t>5</w:t>
            </w:r>
          </w:p>
        </w:tc>
        <w:tc>
          <w:tcPr>
            <w:tcW w:w="2358" w:type="dxa"/>
            <w:hideMark/>
          </w:tcPr>
          <w:p w14:paraId="1559CBDB" w14:textId="77777777" w:rsidR="00BE3869" w:rsidRDefault="00BE3869" w:rsidP="006341DA">
            <w:pPr>
              <w:pStyle w:val="NormalWeb"/>
              <w:jc w:val="center"/>
            </w:pPr>
            <w:r>
              <w:t>4</w:t>
            </w:r>
          </w:p>
        </w:tc>
      </w:tr>
      <w:tr w:rsidR="00BE3869" w14:paraId="24A15ED6"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3F86E103" w14:textId="77777777" w:rsidR="00BE3869" w:rsidRDefault="00BE3869" w:rsidP="006341DA">
            <w:pPr>
              <w:pStyle w:val="NormalWeb"/>
            </w:pPr>
            <w:r>
              <w:t>Cryptosporidiosis</w:t>
            </w:r>
          </w:p>
        </w:tc>
        <w:tc>
          <w:tcPr>
            <w:tcW w:w="2357" w:type="dxa"/>
            <w:hideMark/>
          </w:tcPr>
          <w:p w14:paraId="3472FEB1" w14:textId="77777777" w:rsidR="00BE3869" w:rsidRDefault="00BE3869" w:rsidP="006341DA">
            <w:pPr>
              <w:pStyle w:val="NormalWeb"/>
              <w:jc w:val="center"/>
            </w:pPr>
            <w:r>
              <w:t>6.5</w:t>
            </w:r>
          </w:p>
        </w:tc>
        <w:tc>
          <w:tcPr>
            <w:tcW w:w="2357" w:type="dxa"/>
            <w:hideMark/>
          </w:tcPr>
          <w:p w14:paraId="3AA19488" w14:textId="77777777" w:rsidR="00BE3869" w:rsidRDefault="00BE3869" w:rsidP="006341DA">
            <w:pPr>
              <w:pStyle w:val="NormalWeb"/>
              <w:jc w:val="center"/>
            </w:pPr>
            <w:r>
              <w:t>10</w:t>
            </w:r>
          </w:p>
        </w:tc>
        <w:tc>
          <w:tcPr>
            <w:tcW w:w="2358" w:type="dxa"/>
            <w:hideMark/>
          </w:tcPr>
          <w:p w14:paraId="63CC0324" w14:textId="77777777" w:rsidR="00BE3869" w:rsidRDefault="00BE3869" w:rsidP="006341DA">
            <w:pPr>
              <w:pStyle w:val="NormalWeb"/>
              <w:jc w:val="center"/>
            </w:pPr>
            <w:r>
              <w:t>18.5</w:t>
            </w:r>
          </w:p>
        </w:tc>
      </w:tr>
      <w:tr w:rsidR="00BE3869" w14:paraId="7A142D94" w14:textId="77777777" w:rsidTr="006341DA">
        <w:tc>
          <w:tcPr>
            <w:tcW w:w="0" w:type="auto"/>
            <w:hideMark/>
          </w:tcPr>
          <w:p w14:paraId="5DBFFAA7" w14:textId="77777777" w:rsidR="00BE3869" w:rsidRDefault="00BE3869" w:rsidP="006341DA">
            <w:pPr>
              <w:pStyle w:val="NormalWeb"/>
            </w:pPr>
            <w:r>
              <w:t>Dengue</w:t>
            </w:r>
          </w:p>
        </w:tc>
        <w:tc>
          <w:tcPr>
            <w:tcW w:w="2357" w:type="dxa"/>
            <w:hideMark/>
          </w:tcPr>
          <w:p w14:paraId="28FFBA60" w14:textId="77777777" w:rsidR="00BE3869" w:rsidRDefault="00BE3869" w:rsidP="006341DA">
            <w:pPr>
              <w:pStyle w:val="NormalWeb"/>
              <w:jc w:val="center"/>
            </w:pPr>
            <w:r>
              <w:t>1</w:t>
            </w:r>
          </w:p>
        </w:tc>
        <w:tc>
          <w:tcPr>
            <w:tcW w:w="2357" w:type="dxa"/>
            <w:hideMark/>
          </w:tcPr>
          <w:p w14:paraId="759DC951" w14:textId="77777777" w:rsidR="00BE3869" w:rsidRDefault="00BE3869" w:rsidP="006341DA">
            <w:pPr>
              <w:pStyle w:val="NormalWeb"/>
              <w:jc w:val="center"/>
            </w:pPr>
            <w:r>
              <w:t>4</w:t>
            </w:r>
          </w:p>
        </w:tc>
        <w:tc>
          <w:tcPr>
            <w:tcW w:w="2358" w:type="dxa"/>
            <w:hideMark/>
          </w:tcPr>
          <w:p w14:paraId="41411D77" w14:textId="77777777" w:rsidR="00BE3869" w:rsidRDefault="00BE3869" w:rsidP="006341DA">
            <w:pPr>
              <w:pStyle w:val="NormalWeb"/>
              <w:jc w:val="center"/>
            </w:pPr>
            <w:r>
              <w:t>6</w:t>
            </w:r>
          </w:p>
        </w:tc>
      </w:tr>
      <w:tr w:rsidR="00BE3869" w14:paraId="467268EF"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73256E50" w14:textId="77777777" w:rsidR="00BE3869" w:rsidRDefault="00BE3869" w:rsidP="006341DA">
            <w:pPr>
              <w:pStyle w:val="NormalWeb"/>
            </w:pPr>
            <w:r>
              <w:t>Gonococcal infection</w:t>
            </w:r>
          </w:p>
        </w:tc>
        <w:tc>
          <w:tcPr>
            <w:tcW w:w="2357" w:type="dxa"/>
            <w:hideMark/>
          </w:tcPr>
          <w:p w14:paraId="7E05F476" w14:textId="77777777" w:rsidR="00BE3869" w:rsidRDefault="00BE3869" w:rsidP="006341DA">
            <w:pPr>
              <w:pStyle w:val="NormalWeb"/>
              <w:jc w:val="center"/>
            </w:pPr>
            <w:r>
              <w:t>94.5</w:t>
            </w:r>
          </w:p>
        </w:tc>
        <w:tc>
          <w:tcPr>
            <w:tcW w:w="2357" w:type="dxa"/>
            <w:hideMark/>
          </w:tcPr>
          <w:p w14:paraId="45804761" w14:textId="77777777" w:rsidR="00BE3869" w:rsidRDefault="00BE3869" w:rsidP="006341DA">
            <w:pPr>
              <w:pStyle w:val="NormalWeb"/>
              <w:jc w:val="center"/>
            </w:pPr>
            <w:r>
              <w:t>96</w:t>
            </w:r>
          </w:p>
        </w:tc>
        <w:tc>
          <w:tcPr>
            <w:tcW w:w="2358" w:type="dxa"/>
            <w:hideMark/>
          </w:tcPr>
          <w:p w14:paraId="653F3F75" w14:textId="77777777" w:rsidR="00BE3869" w:rsidRDefault="00BE3869" w:rsidP="006341DA">
            <w:pPr>
              <w:pStyle w:val="NormalWeb"/>
              <w:jc w:val="center"/>
            </w:pPr>
            <w:r>
              <w:t>161</w:t>
            </w:r>
          </w:p>
        </w:tc>
      </w:tr>
      <w:tr w:rsidR="00BE3869" w14:paraId="4FA0EC08" w14:textId="77777777" w:rsidTr="006341DA">
        <w:tc>
          <w:tcPr>
            <w:tcW w:w="0" w:type="auto"/>
            <w:hideMark/>
          </w:tcPr>
          <w:p w14:paraId="2E307536" w14:textId="77777777" w:rsidR="00BE3869" w:rsidRDefault="00BE3869" w:rsidP="006341DA">
            <w:pPr>
              <w:pStyle w:val="NormalWeb"/>
            </w:pPr>
            <w:r>
              <w:t>Invasive group A streptococcus</w:t>
            </w:r>
          </w:p>
        </w:tc>
        <w:tc>
          <w:tcPr>
            <w:tcW w:w="2357" w:type="dxa"/>
            <w:hideMark/>
          </w:tcPr>
          <w:p w14:paraId="140D7109" w14:textId="77777777" w:rsidR="00BE3869" w:rsidRDefault="00BE3869" w:rsidP="006341DA">
            <w:pPr>
              <w:pStyle w:val="NormalWeb"/>
              <w:jc w:val="center"/>
            </w:pPr>
            <w:r>
              <w:t>4.5</w:t>
            </w:r>
          </w:p>
        </w:tc>
        <w:tc>
          <w:tcPr>
            <w:tcW w:w="2357" w:type="dxa"/>
            <w:hideMark/>
          </w:tcPr>
          <w:p w14:paraId="62B626A2" w14:textId="77777777" w:rsidR="00BE3869" w:rsidRDefault="00BE3869" w:rsidP="006341DA">
            <w:pPr>
              <w:pStyle w:val="NormalWeb"/>
              <w:jc w:val="center"/>
            </w:pPr>
            <w:r>
              <w:t>5</w:t>
            </w:r>
          </w:p>
        </w:tc>
        <w:tc>
          <w:tcPr>
            <w:tcW w:w="2358" w:type="dxa"/>
            <w:hideMark/>
          </w:tcPr>
          <w:p w14:paraId="00F4EFD2" w14:textId="77777777" w:rsidR="00BE3869" w:rsidRDefault="00BE3869" w:rsidP="006341DA">
            <w:pPr>
              <w:pStyle w:val="NormalWeb"/>
              <w:jc w:val="center"/>
            </w:pPr>
            <w:r>
              <w:t>6.5</w:t>
            </w:r>
          </w:p>
        </w:tc>
      </w:tr>
      <w:tr w:rsidR="00BE3869" w14:paraId="027938BF"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6B8BD735" w14:textId="77777777" w:rsidR="00BE3869" w:rsidRDefault="00BE3869" w:rsidP="006341DA">
            <w:pPr>
              <w:pStyle w:val="NormalWeb"/>
            </w:pPr>
            <w:r>
              <w:t>Malaria</w:t>
            </w:r>
          </w:p>
        </w:tc>
        <w:tc>
          <w:tcPr>
            <w:tcW w:w="2357" w:type="dxa"/>
            <w:hideMark/>
          </w:tcPr>
          <w:p w14:paraId="6ECBEB8F" w14:textId="77777777" w:rsidR="00BE3869" w:rsidRDefault="00BE3869" w:rsidP="006341DA">
            <w:pPr>
              <w:pStyle w:val="NormalWeb"/>
              <w:jc w:val="center"/>
            </w:pPr>
            <w:r>
              <w:t>0.5</w:t>
            </w:r>
          </w:p>
        </w:tc>
        <w:tc>
          <w:tcPr>
            <w:tcW w:w="2357" w:type="dxa"/>
            <w:hideMark/>
          </w:tcPr>
          <w:p w14:paraId="2018CEF4" w14:textId="77777777" w:rsidR="00BE3869" w:rsidRDefault="00BE3869" w:rsidP="006341DA">
            <w:pPr>
              <w:pStyle w:val="NormalWeb"/>
              <w:jc w:val="center"/>
            </w:pPr>
            <w:r>
              <w:t>0.5</w:t>
            </w:r>
          </w:p>
        </w:tc>
        <w:tc>
          <w:tcPr>
            <w:tcW w:w="2358" w:type="dxa"/>
            <w:hideMark/>
          </w:tcPr>
          <w:p w14:paraId="72C81FCF" w14:textId="77777777" w:rsidR="00BE3869" w:rsidRDefault="00BE3869" w:rsidP="006341DA">
            <w:pPr>
              <w:pStyle w:val="NormalWeb"/>
              <w:jc w:val="center"/>
            </w:pPr>
            <w:r>
              <w:t>0.5</w:t>
            </w:r>
          </w:p>
        </w:tc>
      </w:tr>
      <w:tr w:rsidR="00BE3869" w14:paraId="344E15FA" w14:textId="77777777" w:rsidTr="006341DA">
        <w:tc>
          <w:tcPr>
            <w:tcW w:w="0" w:type="auto"/>
            <w:hideMark/>
          </w:tcPr>
          <w:p w14:paraId="7F82A444" w14:textId="77777777" w:rsidR="00BE3869" w:rsidRDefault="00BE3869" w:rsidP="006341DA">
            <w:pPr>
              <w:pStyle w:val="NormalWeb"/>
            </w:pPr>
            <w:r>
              <w:t>Melioidosis</w:t>
            </w:r>
          </w:p>
        </w:tc>
        <w:tc>
          <w:tcPr>
            <w:tcW w:w="2357" w:type="dxa"/>
            <w:hideMark/>
          </w:tcPr>
          <w:p w14:paraId="51E4BD57" w14:textId="77777777" w:rsidR="00BE3869" w:rsidRDefault="00BE3869" w:rsidP="006341DA">
            <w:pPr>
              <w:pStyle w:val="NormalWeb"/>
              <w:jc w:val="center"/>
            </w:pPr>
            <w:r>
              <w:t>7.5</w:t>
            </w:r>
          </w:p>
        </w:tc>
        <w:tc>
          <w:tcPr>
            <w:tcW w:w="2357" w:type="dxa"/>
            <w:hideMark/>
          </w:tcPr>
          <w:p w14:paraId="4F408E18" w14:textId="77777777" w:rsidR="00BE3869" w:rsidRDefault="00BE3869" w:rsidP="006341DA">
            <w:pPr>
              <w:pStyle w:val="NormalWeb"/>
              <w:jc w:val="center"/>
            </w:pPr>
            <w:r>
              <w:t>5.5</w:t>
            </w:r>
          </w:p>
        </w:tc>
        <w:tc>
          <w:tcPr>
            <w:tcW w:w="2358" w:type="dxa"/>
            <w:hideMark/>
          </w:tcPr>
          <w:p w14:paraId="7A98003D" w14:textId="77777777" w:rsidR="00BE3869" w:rsidRDefault="00BE3869" w:rsidP="006341DA">
            <w:pPr>
              <w:pStyle w:val="NormalWeb"/>
              <w:jc w:val="center"/>
            </w:pPr>
            <w:r>
              <w:t>7</w:t>
            </w:r>
          </w:p>
        </w:tc>
      </w:tr>
      <w:tr w:rsidR="00BE3869" w14:paraId="3A8C946F"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32ADEE5D" w14:textId="77777777" w:rsidR="00BE3869" w:rsidRDefault="00BE3869" w:rsidP="006341DA">
            <w:pPr>
              <w:pStyle w:val="NormalWeb"/>
            </w:pPr>
            <w:r>
              <w:t>Meningococcal</w:t>
            </w:r>
          </w:p>
        </w:tc>
        <w:tc>
          <w:tcPr>
            <w:tcW w:w="2357" w:type="dxa"/>
            <w:hideMark/>
          </w:tcPr>
          <w:p w14:paraId="559E37C1" w14:textId="77777777" w:rsidR="00BE3869" w:rsidRDefault="00BE3869" w:rsidP="006341DA">
            <w:pPr>
              <w:pStyle w:val="NormalWeb"/>
              <w:jc w:val="center"/>
            </w:pPr>
            <w:r>
              <w:t>0</w:t>
            </w:r>
          </w:p>
        </w:tc>
        <w:tc>
          <w:tcPr>
            <w:tcW w:w="2357" w:type="dxa"/>
            <w:hideMark/>
          </w:tcPr>
          <w:p w14:paraId="31CDDC61" w14:textId="77777777" w:rsidR="00BE3869" w:rsidRDefault="00BE3869" w:rsidP="006341DA">
            <w:pPr>
              <w:pStyle w:val="NormalWeb"/>
              <w:jc w:val="center"/>
            </w:pPr>
            <w:r>
              <w:t>0</w:t>
            </w:r>
          </w:p>
        </w:tc>
        <w:tc>
          <w:tcPr>
            <w:tcW w:w="2358" w:type="dxa"/>
            <w:hideMark/>
          </w:tcPr>
          <w:p w14:paraId="418C32FB" w14:textId="77777777" w:rsidR="00BE3869" w:rsidRDefault="00BE3869" w:rsidP="006341DA">
            <w:pPr>
              <w:pStyle w:val="NormalWeb"/>
              <w:jc w:val="center"/>
            </w:pPr>
            <w:r>
              <w:t>0.5</w:t>
            </w:r>
          </w:p>
        </w:tc>
      </w:tr>
      <w:tr w:rsidR="00BE3869" w14:paraId="4CC58747" w14:textId="77777777" w:rsidTr="006341DA">
        <w:tc>
          <w:tcPr>
            <w:tcW w:w="0" w:type="auto"/>
            <w:hideMark/>
          </w:tcPr>
          <w:p w14:paraId="3E274A94" w14:textId="77777777" w:rsidR="00BE3869" w:rsidRDefault="00BE3869" w:rsidP="006341DA">
            <w:pPr>
              <w:pStyle w:val="NormalWeb"/>
            </w:pPr>
            <w:r>
              <w:t xml:space="preserve">Invasive </w:t>
            </w:r>
            <w:proofErr w:type="spellStart"/>
            <w:r>
              <w:t>pneumoccocal</w:t>
            </w:r>
            <w:proofErr w:type="spellEnd"/>
          </w:p>
        </w:tc>
        <w:tc>
          <w:tcPr>
            <w:tcW w:w="2357" w:type="dxa"/>
            <w:hideMark/>
          </w:tcPr>
          <w:p w14:paraId="0464EAF5" w14:textId="77777777" w:rsidR="00BE3869" w:rsidRDefault="00BE3869" w:rsidP="006341DA">
            <w:pPr>
              <w:pStyle w:val="NormalWeb"/>
              <w:jc w:val="center"/>
            </w:pPr>
            <w:r>
              <w:t>2.5</w:t>
            </w:r>
          </w:p>
        </w:tc>
        <w:tc>
          <w:tcPr>
            <w:tcW w:w="2357" w:type="dxa"/>
            <w:hideMark/>
          </w:tcPr>
          <w:p w14:paraId="2E966EA7" w14:textId="77777777" w:rsidR="00BE3869" w:rsidRDefault="00BE3869" w:rsidP="006341DA">
            <w:pPr>
              <w:pStyle w:val="NormalWeb"/>
              <w:jc w:val="center"/>
            </w:pPr>
            <w:r>
              <w:t>4</w:t>
            </w:r>
          </w:p>
        </w:tc>
        <w:tc>
          <w:tcPr>
            <w:tcW w:w="2358" w:type="dxa"/>
            <w:hideMark/>
          </w:tcPr>
          <w:p w14:paraId="5C1FD89B" w14:textId="77777777" w:rsidR="00BE3869" w:rsidRDefault="00BE3869" w:rsidP="006341DA">
            <w:pPr>
              <w:pStyle w:val="NormalWeb"/>
              <w:jc w:val="center"/>
            </w:pPr>
            <w:r>
              <w:t>4</w:t>
            </w:r>
          </w:p>
        </w:tc>
      </w:tr>
      <w:tr w:rsidR="00BE3869" w14:paraId="09079F45"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50E387E2" w14:textId="77777777" w:rsidR="00BE3869" w:rsidRDefault="00BE3869" w:rsidP="006341DA">
            <w:pPr>
              <w:pStyle w:val="NormalWeb"/>
            </w:pPr>
            <w:r>
              <w:t>Rheumatic fever</w:t>
            </w:r>
          </w:p>
        </w:tc>
        <w:tc>
          <w:tcPr>
            <w:tcW w:w="2357" w:type="dxa"/>
            <w:hideMark/>
          </w:tcPr>
          <w:p w14:paraId="43E0C1D1" w14:textId="77777777" w:rsidR="00BE3869" w:rsidRDefault="00BE3869" w:rsidP="006341DA">
            <w:pPr>
              <w:pStyle w:val="NormalWeb"/>
              <w:jc w:val="center"/>
            </w:pPr>
            <w:r>
              <w:t>9.5</w:t>
            </w:r>
          </w:p>
        </w:tc>
        <w:tc>
          <w:tcPr>
            <w:tcW w:w="2357" w:type="dxa"/>
            <w:hideMark/>
          </w:tcPr>
          <w:p w14:paraId="20784B2A" w14:textId="77777777" w:rsidR="00BE3869" w:rsidRDefault="00BE3869" w:rsidP="006341DA">
            <w:pPr>
              <w:pStyle w:val="NormalWeb"/>
              <w:jc w:val="center"/>
            </w:pPr>
            <w:r>
              <w:t>14</w:t>
            </w:r>
          </w:p>
        </w:tc>
        <w:tc>
          <w:tcPr>
            <w:tcW w:w="2358" w:type="dxa"/>
            <w:hideMark/>
          </w:tcPr>
          <w:p w14:paraId="41E854BD" w14:textId="77777777" w:rsidR="00BE3869" w:rsidRDefault="00BE3869" w:rsidP="006341DA">
            <w:pPr>
              <w:pStyle w:val="NormalWeb"/>
              <w:jc w:val="center"/>
            </w:pPr>
            <w:r>
              <w:t>10</w:t>
            </w:r>
          </w:p>
        </w:tc>
      </w:tr>
      <w:tr w:rsidR="00BE3869" w14:paraId="4A383F06" w14:textId="77777777" w:rsidTr="006341DA">
        <w:tc>
          <w:tcPr>
            <w:tcW w:w="0" w:type="auto"/>
            <w:hideMark/>
          </w:tcPr>
          <w:p w14:paraId="0475CDEC" w14:textId="77777777" w:rsidR="00BE3869" w:rsidRDefault="00BE3869" w:rsidP="006341DA">
            <w:pPr>
              <w:pStyle w:val="NormalWeb"/>
            </w:pPr>
            <w:r>
              <w:t>Ross River Virus</w:t>
            </w:r>
          </w:p>
        </w:tc>
        <w:tc>
          <w:tcPr>
            <w:tcW w:w="2357" w:type="dxa"/>
            <w:hideMark/>
          </w:tcPr>
          <w:p w14:paraId="36697E86" w14:textId="77777777" w:rsidR="00BE3869" w:rsidRDefault="00BE3869" w:rsidP="006341DA">
            <w:pPr>
              <w:pStyle w:val="NormalWeb"/>
              <w:jc w:val="center"/>
            </w:pPr>
            <w:r>
              <w:t>15.5</w:t>
            </w:r>
          </w:p>
        </w:tc>
        <w:tc>
          <w:tcPr>
            <w:tcW w:w="2357" w:type="dxa"/>
            <w:hideMark/>
          </w:tcPr>
          <w:p w14:paraId="08279F78" w14:textId="77777777" w:rsidR="00BE3869" w:rsidRDefault="00BE3869" w:rsidP="006341DA">
            <w:pPr>
              <w:pStyle w:val="NormalWeb"/>
              <w:jc w:val="center"/>
            </w:pPr>
            <w:r>
              <w:t>8</w:t>
            </w:r>
          </w:p>
        </w:tc>
        <w:tc>
          <w:tcPr>
            <w:tcW w:w="2358" w:type="dxa"/>
            <w:hideMark/>
          </w:tcPr>
          <w:p w14:paraId="731D6853" w14:textId="77777777" w:rsidR="00BE3869" w:rsidRDefault="00BE3869" w:rsidP="006341DA">
            <w:pPr>
              <w:pStyle w:val="NormalWeb"/>
              <w:jc w:val="center"/>
            </w:pPr>
            <w:r>
              <w:t>16.5</w:t>
            </w:r>
          </w:p>
        </w:tc>
      </w:tr>
      <w:tr w:rsidR="00BE3869" w14:paraId="4DBF0BB4"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6AD6A138" w14:textId="77777777" w:rsidR="00BE3869" w:rsidRDefault="00BE3869" w:rsidP="006341DA">
            <w:pPr>
              <w:pStyle w:val="NormalWeb"/>
            </w:pPr>
            <w:r>
              <w:t>Rotavirus</w:t>
            </w:r>
          </w:p>
        </w:tc>
        <w:tc>
          <w:tcPr>
            <w:tcW w:w="2357" w:type="dxa"/>
            <w:hideMark/>
          </w:tcPr>
          <w:p w14:paraId="46F3CB98" w14:textId="77777777" w:rsidR="00BE3869" w:rsidRDefault="00BE3869" w:rsidP="006341DA">
            <w:pPr>
              <w:pStyle w:val="NormalWeb"/>
              <w:jc w:val="center"/>
            </w:pPr>
            <w:r>
              <w:t>2</w:t>
            </w:r>
          </w:p>
        </w:tc>
        <w:tc>
          <w:tcPr>
            <w:tcW w:w="2357" w:type="dxa"/>
            <w:hideMark/>
          </w:tcPr>
          <w:p w14:paraId="11D64F94" w14:textId="77777777" w:rsidR="00BE3869" w:rsidRDefault="00BE3869" w:rsidP="006341DA">
            <w:pPr>
              <w:pStyle w:val="NormalWeb"/>
              <w:jc w:val="center"/>
            </w:pPr>
            <w:r>
              <w:t>15</w:t>
            </w:r>
          </w:p>
        </w:tc>
        <w:tc>
          <w:tcPr>
            <w:tcW w:w="2358" w:type="dxa"/>
            <w:hideMark/>
          </w:tcPr>
          <w:p w14:paraId="65B78D92" w14:textId="77777777" w:rsidR="00BE3869" w:rsidRDefault="00BE3869" w:rsidP="006341DA">
            <w:pPr>
              <w:pStyle w:val="NormalWeb"/>
              <w:jc w:val="center"/>
            </w:pPr>
            <w:r>
              <w:t>5.5</w:t>
            </w:r>
          </w:p>
        </w:tc>
      </w:tr>
      <w:tr w:rsidR="00BE3869" w14:paraId="6532148D" w14:textId="77777777" w:rsidTr="006341DA">
        <w:tc>
          <w:tcPr>
            <w:tcW w:w="0" w:type="auto"/>
            <w:hideMark/>
          </w:tcPr>
          <w:p w14:paraId="3530E749" w14:textId="77777777" w:rsidR="00BE3869" w:rsidRDefault="00BE3869" w:rsidP="006341DA">
            <w:pPr>
              <w:pStyle w:val="NormalWeb"/>
            </w:pPr>
            <w:r>
              <w:t>Salmonellosis</w:t>
            </w:r>
          </w:p>
        </w:tc>
        <w:tc>
          <w:tcPr>
            <w:tcW w:w="2357" w:type="dxa"/>
            <w:hideMark/>
          </w:tcPr>
          <w:p w14:paraId="3025AEC4" w14:textId="77777777" w:rsidR="00BE3869" w:rsidRDefault="00BE3869" w:rsidP="006341DA">
            <w:pPr>
              <w:pStyle w:val="NormalWeb"/>
              <w:jc w:val="center"/>
            </w:pPr>
            <w:r>
              <w:t>34</w:t>
            </w:r>
          </w:p>
        </w:tc>
        <w:tc>
          <w:tcPr>
            <w:tcW w:w="2357" w:type="dxa"/>
            <w:hideMark/>
          </w:tcPr>
          <w:p w14:paraId="30AE677A" w14:textId="77777777" w:rsidR="00BE3869" w:rsidRDefault="00BE3869" w:rsidP="006341DA">
            <w:pPr>
              <w:pStyle w:val="NormalWeb"/>
              <w:jc w:val="center"/>
            </w:pPr>
            <w:r>
              <w:t>48</w:t>
            </w:r>
          </w:p>
        </w:tc>
        <w:tc>
          <w:tcPr>
            <w:tcW w:w="2358" w:type="dxa"/>
            <w:hideMark/>
          </w:tcPr>
          <w:p w14:paraId="2DC477BB" w14:textId="77777777" w:rsidR="00BE3869" w:rsidRDefault="00BE3869" w:rsidP="006341DA">
            <w:pPr>
              <w:pStyle w:val="NormalWeb"/>
              <w:jc w:val="center"/>
            </w:pPr>
            <w:r>
              <w:t>58.5</w:t>
            </w:r>
          </w:p>
        </w:tc>
      </w:tr>
      <w:tr w:rsidR="00BE3869" w14:paraId="57D47513"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4D4B5A56" w14:textId="77777777" w:rsidR="00BE3869" w:rsidRDefault="00BE3869" w:rsidP="006341DA">
            <w:pPr>
              <w:pStyle w:val="NormalWeb"/>
            </w:pPr>
            <w:r>
              <w:t>Shigellosis</w:t>
            </w:r>
          </w:p>
        </w:tc>
        <w:tc>
          <w:tcPr>
            <w:tcW w:w="2357" w:type="dxa"/>
            <w:hideMark/>
          </w:tcPr>
          <w:p w14:paraId="5ED56B68" w14:textId="77777777" w:rsidR="00BE3869" w:rsidRDefault="00BE3869" w:rsidP="006341DA">
            <w:pPr>
              <w:pStyle w:val="NormalWeb"/>
              <w:jc w:val="center"/>
            </w:pPr>
            <w:r>
              <w:t>24.5</w:t>
            </w:r>
          </w:p>
        </w:tc>
        <w:tc>
          <w:tcPr>
            <w:tcW w:w="2357" w:type="dxa"/>
            <w:hideMark/>
          </w:tcPr>
          <w:p w14:paraId="3C8670A3" w14:textId="77777777" w:rsidR="00BE3869" w:rsidRDefault="00BE3869" w:rsidP="006341DA">
            <w:pPr>
              <w:pStyle w:val="NormalWeb"/>
              <w:jc w:val="center"/>
            </w:pPr>
            <w:r>
              <w:t>43</w:t>
            </w:r>
          </w:p>
        </w:tc>
        <w:tc>
          <w:tcPr>
            <w:tcW w:w="2358" w:type="dxa"/>
            <w:hideMark/>
          </w:tcPr>
          <w:p w14:paraId="0C9C00B9" w14:textId="77777777" w:rsidR="00BE3869" w:rsidRDefault="00BE3869" w:rsidP="006341DA">
            <w:pPr>
              <w:pStyle w:val="NormalWeb"/>
              <w:jc w:val="center"/>
            </w:pPr>
            <w:r>
              <w:t>30.5</w:t>
            </w:r>
          </w:p>
        </w:tc>
      </w:tr>
      <w:tr w:rsidR="00BE3869" w14:paraId="27845C8A" w14:textId="77777777" w:rsidTr="006341DA">
        <w:tc>
          <w:tcPr>
            <w:tcW w:w="0" w:type="auto"/>
            <w:hideMark/>
          </w:tcPr>
          <w:p w14:paraId="0C9C38C4" w14:textId="77777777" w:rsidR="00BE3869" w:rsidRDefault="00BE3869" w:rsidP="006341DA">
            <w:pPr>
              <w:pStyle w:val="NormalWeb"/>
            </w:pPr>
            <w:r>
              <w:t>Syphilis</w:t>
            </w:r>
          </w:p>
        </w:tc>
        <w:tc>
          <w:tcPr>
            <w:tcW w:w="2357" w:type="dxa"/>
            <w:hideMark/>
          </w:tcPr>
          <w:p w14:paraId="603A6907" w14:textId="77777777" w:rsidR="00BE3869" w:rsidRDefault="00BE3869" w:rsidP="006341DA">
            <w:pPr>
              <w:pStyle w:val="NormalWeb"/>
              <w:jc w:val="center"/>
            </w:pPr>
            <w:r>
              <w:t>30</w:t>
            </w:r>
          </w:p>
        </w:tc>
        <w:tc>
          <w:tcPr>
            <w:tcW w:w="2357" w:type="dxa"/>
            <w:hideMark/>
          </w:tcPr>
          <w:p w14:paraId="3BDC29BB" w14:textId="77777777" w:rsidR="00BE3869" w:rsidRDefault="00BE3869" w:rsidP="006341DA">
            <w:pPr>
              <w:pStyle w:val="NormalWeb"/>
              <w:jc w:val="center"/>
            </w:pPr>
            <w:r>
              <w:t>32</w:t>
            </w:r>
          </w:p>
        </w:tc>
        <w:tc>
          <w:tcPr>
            <w:tcW w:w="2358" w:type="dxa"/>
            <w:hideMark/>
          </w:tcPr>
          <w:p w14:paraId="0839ABE6" w14:textId="77777777" w:rsidR="00BE3869" w:rsidRDefault="00BE3869" w:rsidP="006341DA">
            <w:pPr>
              <w:pStyle w:val="NormalWeb"/>
              <w:jc w:val="center"/>
            </w:pPr>
            <w:r>
              <w:t>25.5</w:t>
            </w:r>
          </w:p>
        </w:tc>
      </w:tr>
      <w:tr w:rsidR="00BE3869" w14:paraId="4D4CEC4D"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1BDEE6A3" w14:textId="77777777" w:rsidR="00BE3869" w:rsidRDefault="00BE3869" w:rsidP="006341DA">
            <w:pPr>
              <w:pStyle w:val="NormalWeb"/>
            </w:pPr>
            <w:r>
              <w:t>Trichomoniasis</w:t>
            </w:r>
          </w:p>
        </w:tc>
        <w:tc>
          <w:tcPr>
            <w:tcW w:w="2357" w:type="dxa"/>
            <w:hideMark/>
          </w:tcPr>
          <w:p w14:paraId="5142C026" w14:textId="77777777" w:rsidR="00BE3869" w:rsidRDefault="00BE3869" w:rsidP="006341DA">
            <w:pPr>
              <w:pStyle w:val="NormalWeb"/>
              <w:jc w:val="center"/>
            </w:pPr>
            <w:r>
              <w:t>230</w:t>
            </w:r>
          </w:p>
        </w:tc>
        <w:tc>
          <w:tcPr>
            <w:tcW w:w="2357" w:type="dxa"/>
            <w:hideMark/>
          </w:tcPr>
          <w:p w14:paraId="08D24FD8" w14:textId="77777777" w:rsidR="00BE3869" w:rsidRDefault="00BE3869" w:rsidP="006341DA">
            <w:pPr>
              <w:pStyle w:val="NormalWeb"/>
              <w:jc w:val="center"/>
            </w:pPr>
            <w:r>
              <w:t>230.5</w:t>
            </w:r>
          </w:p>
        </w:tc>
        <w:tc>
          <w:tcPr>
            <w:tcW w:w="2358" w:type="dxa"/>
            <w:hideMark/>
          </w:tcPr>
          <w:p w14:paraId="074DC360" w14:textId="77777777" w:rsidR="00BE3869" w:rsidRDefault="00BE3869" w:rsidP="006341DA">
            <w:pPr>
              <w:pStyle w:val="NormalWeb"/>
              <w:jc w:val="center"/>
            </w:pPr>
            <w:r>
              <w:t>300.5</w:t>
            </w:r>
          </w:p>
        </w:tc>
      </w:tr>
      <w:tr w:rsidR="00BE3869" w14:paraId="237620A3" w14:textId="77777777" w:rsidTr="006341DA">
        <w:tc>
          <w:tcPr>
            <w:tcW w:w="0" w:type="auto"/>
            <w:hideMark/>
          </w:tcPr>
          <w:p w14:paraId="1B12292E" w14:textId="77777777" w:rsidR="00BE3869" w:rsidRDefault="00BE3869" w:rsidP="006341DA">
            <w:pPr>
              <w:pStyle w:val="NormalWeb"/>
            </w:pPr>
            <w:r>
              <w:t>Varicella</w:t>
            </w:r>
          </w:p>
        </w:tc>
        <w:tc>
          <w:tcPr>
            <w:tcW w:w="2357" w:type="dxa"/>
            <w:hideMark/>
          </w:tcPr>
          <w:p w14:paraId="22C29012" w14:textId="77777777" w:rsidR="00BE3869" w:rsidRDefault="00BE3869" w:rsidP="006341DA">
            <w:pPr>
              <w:pStyle w:val="NormalWeb"/>
              <w:jc w:val="center"/>
            </w:pPr>
            <w:r>
              <w:t>6</w:t>
            </w:r>
          </w:p>
        </w:tc>
        <w:tc>
          <w:tcPr>
            <w:tcW w:w="2357" w:type="dxa"/>
            <w:hideMark/>
          </w:tcPr>
          <w:p w14:paraId="1D1DCB86" w14:textId="77777777" w:rsidR="00BE3869" w:rsidRDefault="00BE3869" w:rsidP="006341DA">
            <w:pPr>
              <w:pStyle w:val="NormalWeb"/>
              <w:jc w:val="center"/>
            </w:pPr>
            <w:r>
              <w:t>8.5</w:t>
            </w:r>
          </w:p>
        </w:tc>
        <w:tc>
          <w:tcPr>
            <w:tcW w:w="2358" w:type="dxa"/>
            <w:hideMark/>
          </w:tcPr>
          <w:p w14:paraId="1B158403" w14:textId="77777777" w:rsidR="00BE3869" w:rsidRDefault="00BE3869" w:rsidP="006341DA">
            <w:pPr>
              <w:pStyle w:val="NormalWeb"/>
              <w:jc w:val="center"/>
            </w:pPr>
            <w:r>
              <w:t>7</w:t>
            </w:r>
          </w:p>
        </w:tc>
      </w:tr>
      <w:tr w:rsidR="00BE3869" w14:paraId="351E34AA" w14:textId="77777777" w:rsidTr="006341DA">
        <w:trPr>
          <w:cnfStyle w:val="000000010000" w:firstRow="0" w:lastRow="0" w:firstColumn="0" w:lastColumn="0" w:oddVBand="0" w:evenVBand="0" w:oddHBand="0" w:evenHBand="1" w:firstRowFirstColumn="0" w:firstRowLastColumn="0" w:lastRowFirstColumn="0" w:lastRowLastColumn="0"/>
        </w:trPr>
        <w:tc>
          <w:tcPr>
            <w:tcW w:w="0" w:type="auto"/>
            <w:hideMark/>
          </w:tcPr>
          <w:p w14:paraId="05CED3E0" w14:textId="77777777" w:rsidR="00BE3869" w:rsidRDefault="00BE3869" w:rsidP="006341DA">
            <w:pPr>
              <w:pStyle w:val="NormalWeb"/>
            </w:pPr>
            <w:r>
              <w:t>Yersiniosis</w:t>
            </w:r>
          </w:p>
        </w:tc>
        <w:tc>
          <w:tcPr>
            <w:tcW w:w="2357" w:type="dxa"/>
            <w:hideMark/>
          </w:tcPr>
          <w:p w14:paraId="6AA2F6DD" w14:textId="77777777" w:rsidR="00BE3869" w:rsidRDefault="00BE3869" w:rsidP="006341DA">
            <w:pPr>
              <w:pStyle w:val="NormalWeb"/>
              <w:jc w:val="center"/>
            </w:pPr>
            <w:r>
              <w:t>1</w:t>
            </w:r>
          </w:p>
        </w:tc>
        <w:tc>
          <w:tcPr>
            <w:tcW w:w="2357" w:type="dxa"/>
            <w:hideMark/>
          </w:tcPr>
          <w:p w14:paraId="08E568DC" w14:textId="77777777" w:rsidR="00BE3869" w:rsidRDefault="00BE3869" w:rsidP="006341DA">
            <w:pPr>
              <w:pStyle w:val="NormalWeb"/>
              <w:jc w:val="center"/>
            </w:pPr>
            <w:r>
              <w:t>1.5</w:t>
            </w:r>
          </w:p>
        </w:tc>
        <w:tc>
          <w:tcPr>
            <w:tcW w:w="2358" w:type="dxa"/>
            <w:hideMark/>
          </w:tcPr>
          <w:p w14:paraId="63F47AF7" w14:textId="77777777" w:rsidR="00BE3869" w:rsidRDefault="00BE3869" w:rsidP="006341DA">
            <w:pPr>
              <w:pStyle w:val="NormalWeb"/>
              <w:jc w:val="center"/>
            </w:pPr>
            <w:r>
              <w:t>1.5</w:t>
            </w:r>
          </w:p>
        </w:tc>
      </w:tr>
    </w:tbl>
    <w:p w14:paraId="62D73CEA" w14:textId="77777777" w:rsidR="00BE3869" w:rsidRDefault="00BE3869" w:rsidP="00BE3869">
      <w:pPr>
        <w:pStyle w:val="CDIFigures"/>
        <w:sectPr w:rsidR="00BE3869"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648D112" w14:textId="77777777" w:rsidR="00BE3869" w:rsidRDefault="00BE3869" w:rsidP="00BE3869">
      <w:pPr>
        <w:pStyle w:val="CDIFigures"/>
      </w:pPr>
      <w:r>
        <w:lastRenderedPageBreak/>
        <w:t xml:space="preserve">Table 2. Incidence and incidence rate ratios during period of NT physical distancing (15 March to 15 May 2020) compared to control </w:t>
      </w:r>
      <w:proofErr w:type="gramStart"/>
      <w:r>
        <w:t>periods</w:t>
      </w:r>
      <w:proofErr w:type="gramEnd"/>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shows the incidence, incidence rate ratios and 95% confidence intervals of communicable non-respiratory diseases during the period of physical distancing from 15 March to 15 May 2020 compared to the two control periods."/>
      </w:tblPr>
      <w:tblGrid>
        <w:gridCol w:w="2552"/>
        <w:gridCol w:w="2268"/>
        <w:gridCol w:w="1559"/>
        <w:gridCol w:w="1985"/>
        <w:gridCol w:w="1134"/>
        <w:gridCol w:w="1984"/>
        <w:gridCol w:w="425"/>
        <w:gridCol w:w="1134"/>
        <w:gridCol w:w="851"/>
        <w:gridCol w:w="1048"/>
      </w:tblGrid>
      <w:tr w:rsidR="00BE3869" w14:paraId="21421128" w14:textId="77777777" w:rsidTr="006341DA">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tcBorders>
              <w:bottom w:val="single" w:sz="2" w:space="0" w:color="FFFFFF" w:themeColor="background1"/>
              <w:right w:val="single" w:sz="2" w:space="0" w:color="FFFFFF" w:themeColor="background1"/>
            </w:tcBorders>
            <w:hideMark/>
          </w:tcPr>
          <w:p w14:paraId="6289873D" w14:textId="77777777" w:rsidR="00BE3869" w:rsidRPr="00291395" w:rsidRDefault="00BE3869" w:rsidP="006341DA">
            <w:pPr>
              <w:rPr>
                <w:color w:val="FFFFFF" w:themeColor="background1"/>
              </w:rPr>
            </w:pPr>
          </w:p>
        </w:tc>
        <w:tc>
          <w:tcPr>
            <w:tcW w:w="2268" w:type="dxa"/>
            <w:tcBorders>
              <w:left w:val="single" w:sz="2" w:space="0" w:color="FFFFFF" w:themeColor="background1"/>
              <w:bottom w:val="single" w:sz="2" w:space="0" w:color="FFFFFF" w:themeColor="background1"/>
              <w:right w:val="single" w:sz="2" w:space="0" w:color="FFFFFF" w:themeColor="background1"/>
            </w:tcBorders>
            <w:hideMark/>
          </w:tcPr>
          <w:p w14:paraId="511617FC" w14:textId="77777777" w:rsidR="00BE3869" w:rsidRPr="00291395" w:rsidRDefault="00BE3869" w:rsidP="006341DA">
            <w:pPr>
              <w:pStyle w:val="NormalWeb"/>
              <w:jc w:val="center"/>
              <w:rPr>
                <w:color w:val="FFFFFF" w:themeColor="background1"/>
                <w:sz w:val="24"/>
                <w:szCs w:val="24"/>
              </w:rPr>
            </w:pPr>
            <w:r w:rsidRPr="00291395">
              <w:rPr>
                <w:color w:val="FFFFFF" w:themeColor="background1"/>
              </w:rPr>
              <w:t>15 March – 15 May 2020</w:t>
            </w:r>
          </w:p>
        </w:tc>
        <w:tc>
          <w:tcPr>
            <w:tcW w:w="4678" w:type="dxa"/>
            <w:gridSpan w:val="3"/>
            <w:tcBorders>
              <w:left w:val="single" w:sz="2" w:space="0" w:color="FFFFFF" w:themeColor="background1"/>
              <w:bottom w:val="single" w:sz="2" w:space="0" w:color="FFFFFF" w:themeColor="background1"/>
              <w:right w:val="single" w:sz="2" w:space="0" w:color="FFFFFF" w:themeColor="background1"/>
            </w:tcBorders>
            <w:hideMark/>
          </w:tcPr>
          <w:p w14:paraId="57A2FCCE" w14:textId="77777777" w:rsidR="00BE3869" w:rsidRPr="00291395" w:rsidRDefault="00BE3869" w:rsidP="006341DA">
            <w:pPr>
              <w:pStyle w:val="NormalWeb"/>
              <w:jc w:val="center"/>
              <w:rPr>
                <w:color w:val="FFFFFF" w:themeColor="background1"/>
              </w:rPr>
            </w:pPr>
            <w:r w:rsidRPr="00291395">
              <w:rPr>
                <w:color w:val="FFFFFF" w:themeColor="background1"/>
              </w:rPr>
              <w:t>15 November 2019 – 14 March 2020</w:t>
            </w:r>
          </w:p>
        </w:tc>
        <w:tc>
          <w:tcPr>
            <w:tcW w:w="5442" w:type="dxa"/>
            <w:gridSpan w:val="5"/>
            <w:tcBorders>
              <w:left w:val="single" w:sz="2" w:space="0" w:color="FFFFFF" w:themeColor="background1"/>
              <w:bottom w:val="single" w:sz="2" w:space="0" w:color="FFFFFF" w:themeColor="background1"/>
            </w:tcBorders>
            <w:hideMark/>
          </w:tcPr>
          <w:p w14:paraId="22C95802" w14:textId="77777777" w:rsidR="00BE3869" w:rsidRPr="00291395" w:rsidRDefault="00BE3869" w:rsidP="006341DA">
            <w:pPr>
              <w:pStyle w:val="NormalWeb"/>
              <w:jc w:val="center"/>
              <w:rPr>
                <w:color w:val="FFFFFF" w:themeColor="background1"/>
              </w:rPr>
            </w:pPr>
            <w:r w:rsidRPr="00291395">
              <w:rPr>
                <w:color w:val="FFFFFF" w:themeColor="background1"/>
              </w:rPr>
              <w:t xml:space="preserve">5-year median between 15 March and 15 </w:t>
            </w:r>
            <w:proofErr w:type="gramStart"/>
            <w:r w:rsidRPr="00291395">
              <w:rPr>
                <w:color w:val="FFFFFF" w:themeColor="background1"/>
              </w:rPr>
              <w:t>May,</w:t>
            </w:r>
            <w:proofErr w:type="gramEnd"/>
            <w:r w:rsidRPr="00291395">
              <w:rPr>
                <w:color w:val="FFFFFF" w:themeColor="background1"/>
              </w:rPr>
              <w:t xml:space="preserve"> 2015–2019</w:t>
            </w:r>
          </w:p>
        </w:tc>
      </w:tr>
      <w:tr w:rsidR="00BE3869" w14:paraId="1A4E30E4" w14:textId="77777777" w:rsidTr="006341DA">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right w:val="single" w:sz="2" w:space="0" w:color="FFFFFF" w:themeColor="background1"/>
            </w:tcBorders>
            <w:hideMark/>
          </w:tcPr>
          <w:p w14:paraId="7E98E97E" w14:textId="77777777" w:rsidR="00BE3869" w:rsidRPr="00291395" w:rsidRDefault="00BE3869" w:rsidP="006341DA">
            <w:pPr>
              <w:rPr>
                <w:color w:val="FFFFFF" w:themeColor="background1"/>
                <w:sz w:val="24"/>
                <w:szCs w:val="24"/>
              </w:rPr>
            </w:pPr>
          </w:p>
        </w:tc>
        <w:tc>
          <w:tcPr>
            <w:tcW w:w="2268" w:type="dxa"/>
            <w:tcBorders>
              <w:top w:val="single" w:sz="2" w:space="0" w:color="FFFFFF" w:themeColor="background1"/>
              <w:left w:val="single" w:sz="2" w:space="0" w:color="FFFFFF" w:themeColor="background1"/>
              <w:right w:val="single" w:sz="2" w:space="0" w:color="FFFFFF" w:themeColor="background1"/>
            </w:tcBorders>
            <w:hideMark/>
          </w:tcPr>
          <w:p w14:paraId="4B428F4B" w14:textId="77777777" w:rsidR="00BE3869" w:rsidRPr="00291395" w:rsidRDefault="00BE3869" w:rsidP="006341DA">
            <w:pPr>
              <w:pStyle w:val="NormalWeb"/>
              <w:jc w:val="center"/>
              <w:rPr>
                <w:color w:val="FFFFFF" w:themeColor="background1"/>
              </w:rPr>
            </w:pPr>
            <w:r w:rsidRPr="00291395">
              <w:rPr>
                <w:color w:val="FFFFFF" w:themeColor="background1"/>
              </w:rPr>
              <w:t>Incidence per 100,000/month</w:t>
            </w:r>
          </w:p>
        </w:tc>
        <w:tc>
          <w:tcPr>
            <w:tcW w:w="1559" w:type="dxa"/>
            <w:tcBorders>
              <w:top w:val="single" w:sz="2" w:space="0" w:color="FFFFFF" w:themeColor="background1"/>
              <w:left w:val="single" w:sz="2" w:space="0" w:color="FFFFFF" w:themeColor="background1"/>
              <w:right w:val="single" w:sz="2" w:space="0" w:color="FFFFFF" w:themeColor="background1"/>
            </w:tcBorders>
            <w:hideMark/>
          </w:tcPr>
          <w:p w14:paraId="53800849" w14:textId="77777777" w:rsidR="00BE3869" w:rsidRPr="00291395" w:rsidRDefault="00BE3869" w:rsidP="006341DA">
            <w:pPr>
              <w:pStyle w:val="NormalWeb"/>
              <w:jc w:val="center"/>
              <w:rPr>
                <w:color w:val="FFFFFF" w:themeColor="background1"/>
              </w:rPr>
            </w:pPr>
            <w:r w:rsidRPr="00291395">
              <w:rPr>
                <w:color w:val="FFFFFF" w:themeColor="background1"/>
              </w:rPr>
              <w:t>Incidence per 100,000/month</w:t>
            </w:r>
          </w:p>
        </w:tc>
        <w:tc>
          <w:tcPr>
            <w:tcW w:w="1985" w:type="dxa"/>
            <w:tcBorders>
              <w:top w:val="single" w:sz="2" w:space="0" w:color="FFFFFF" w:themeColor="background1"/>
              <w:left w:val="single" w:sz="2" w:space="0" w:color="FFFFFF" w:themeColor="background1"/>
              <w:right w:val="single" w:sz="2" w:space="0" w:color="FFFFFF" w:themeColor="background1"/>
            </w:tcBorders>
            <w:hideMark/>
          </w:tcPr>
          <w:p w14:paraId="71CAC2C4" w14:textId="77777777" w:rsidR="00BE3869" w:rsidRPr="00291395" w:rsidRDefault="00BE3869" w:rsidP="006341DA">
            <w:pPr>
              <w:pStyle w:val="NormalWeb"/>
              <w:jc w:val="center"/>
              <w:rPr>
                <w:color w:val="FFFFFF" w:themeColor="background1"/>
              </w:rPr>
            </w:pPr>
            <w:r w:rsidRPr="00291395">
              <w:rPr>
                <w:color w:val="FFFFFF" w:themeColor="background1"/>
              </w:rPr>
              <w:t>Incidence rate ratio</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0A9EC8C6" w14:textId="77777777" w:rsidR="00BE3869" w:rsidRPr="00291395" w:rsidRDefault="00BE3869" w:rsidP="006341DA">
            <w:pPr>
              <w:pStyle w:val="NormalWeb"/>
              <w:jc w:val="center"/>
              <w:rPr>
                <w:color w:val="FFFFFF" w:themeColor="background1"/>
              </w:rPr>
            </w:pPr>
            <w:r w:rsidRPr="00291395">
              <w:rPr>
                <w:color w:val="FFFFFF" w:themeColor="background1"/>
              </w:rPr>
              <w:t>95% CI</w:t>
            </w:r>
          </w:p>
        </w:tc>
        <w:tc>
          <w:tcPr>
            <w:tcW w:w="2409" w:type="dxa"/>
            <w:gridSpan w:val="2"/>
            <w:tcBorders>
              <w:top w:val="single" w:sz="2" w:space="0" w:color="FFFFFF" w:themeColor="background1"/>
              <w:left w:val="single" w:sz="2" w:space="0" w:color="FFFFFF" w:themeColor="background1"/>
              <w:right w:val="single" w:sz="2" w:space="0" w:color="FFFFFF" w:themeColor="background1"/>
            </w:tcBorders>
            <w:hideMark/>
          </w:tcPr>
          <w:p w14:paraId="0889193E" w14:textId="77777777" w:rsidR="00BE3869" w:rsidRPr="00291395" w:rsidRDefault="00BE3869" w:rsidP="006341DA">
            <w:pPr>
              <w:pStyle w:val="NormalWeb"/>
              <w:jc w:val="center"/>
              <w:rPr>
                <w:color w:val="FFFFFF" w:themeColor="background1"/>
              </w:rPr>
            </w:pPr>
            <w:r w:rsidRPr="00291395">
              <w:rPr>
                <w:color w:val="FFFFFF" w:themeColor="background1"/>
              </w:rPr>
              <w:t>Incidence per 100,000/month</w:t>
            </w:r>
          </w:p>
        </w:tc>
        <w:tc>
          <w:tcPr>
            <w:tcW w:w="1985" w:type="dxa"/>
            <w:gridSpan w:val="2"/>
            <w:tcBorders>
              <w:top w:val="single" w:sz="2" w:space="0" w:color="FFFFFF" w:themeColor="background1"/>
              <w:left w:val="single" w:sz="2" w:space="0" w:color="FFFFFF" w:themeColor="background1"/>
              <w:right w:val="single" w:sz="2" w:space="0" w:color="FFFFFF" w:themeColor="background1"/>
            </w:tcBorders>
            <w:hideMark/>
          </w:tcPr>
          <w:p w14:paraId="0E9A13AD" w14:textId="77777777" w:rsidR="00BE3869" w:rsidRPr="00291395" w:rsidRDefault="00BE3869" w:rsidP="006341DA">
            <w:pPr>
              <w:pStyle w:val="NormalWeb"/>
              <w:jc w:val="center"/>
              <w:rPr>
                <w:color w:val="FFFFFF" w:themeColor="background1"/>
              </w:rPr>
            </w:pPr>
            <w:r w:rsidRPr="00291395">
              <w:rPr>
                <w:color w:val="FFFFFF" w:themeColor="background1"/>
              </w:rPr>
              <w:t>Incidence rate ratio</w:t>
            </w:r>
          </w:p>
        </w:tc>
        <w:tc>
          <w:tcPr>
            <w:tcW w:w="1048" w:type="dxa"/>
            <w:tcBorders>
              <w:top w:val="single" w:sz="2" w:space="0" w:color="FFFFFF" w:themeColor="background1"/>
              <w:left w:val="single" w:sz="2" w:space="0" w:color="FFFFFF" w:themeColor="background1"/>
            </w:tcBorders>
            <w:hideMark/>
          </w:tcPr>
          <w:p w14:paraId="47F19782" w14:textId="77777777" w:rsidR="00BE3869" w:rsidRPr="00291395" w:rsidRDefault="00BE3869" w:rsidP="006341DA">
            <w:pPr>
              <w:pStyle w:val="NormalWeb"/>
              <w:jc w:val="center"/>
              <w:rPr>
                <w:color w:val="FFFFFF" w:themeColor="background1"/>
              </w:rPr>
            </w:pPr>
            <w:r w:rsidRPr="00291395">
              <w:rPr>
                <w:color w:val="FFFFFF" w:themeColor="background1"/>
              </w:rPr>
              <w:t>95% CI</w:t>
            </w:r>
          </w:p>
        </w:tc>
      </w:tr>
      <w:tr w:rsidR="00BE3869" w14:paraId="7450AD38" w14:textId="77777777" w:rsidTr="006341DA">
        <w:tc>
          <w:tcPr>
            <w:tcW w:w="2552" w:type="dxa"/>
            <w:hideMark/>
          </w:tcPr>
          <w:p w14:paraId="44B66C6D" w14:textId="77777777" w:rsidR="00BE3869" w:rsidRDefault="00BE3869" w:rsidP="006341DA">
            <w:pPr>
              <w:pStyle w:val="NormalWeb"/>
            </w:pPr>
            <w:r>
              <w:t>Campylobacteriosis</w:t>
            </w:r>
          </w:p>
        </w:tc>
        <w:tc>
          <w:tcPr>
            <w:tcW w:w="2268" w:type="dxa"/>
            <w:hideMark/>
          </w:tcPr>
          <w:p w14:paraId="256A6405" w14:textId="77777777" w:rsidR="00BE3869" w:rsidRDefault="00BE3869" w:rsidP="006341DA">
            <w:pPr>
              <w:pStyle w:val="NormalWeb"/>
              <w:jc w:val="center"/>
            </w:pPr>
            <w:r>
              <w:t>15.05</w:t>
            </w:r>
          </w:p>
        </w:tc>
        <w:tc>
          <w:tcPr>
            <w:tcW w:w="1559" w:type="dxa"/>
            <w:hideMark/>
          </w:tcPr>
          <w:p w14:paraId="7D8BE629" w14:textId="77777777" w:rsidR="00BE3869" w:rsidRDefault="00BE3869" w:rsidP="006341DA">
            <w:pPr>
              <w:pStyle w:val="NormalWeb"/>
              <w:jc w:val="center"/>
            </w:pPr>
            <w:r>
              <w:t>13.02</w:t>
            </w:r>
          </w:p>
        </w:tc>
        <w:tc>
          <w:tcPr>
            <w:tcW w:w="1985" w:type="dxa"/>
            <w:hideMark/>
          </w:tcPr>
          <w:p w14:paraId="7B09A4A2" w14:textId="77777777" w:rsidR="00BE3869" w:rsidRDefault="00BE3869" w:rsidP="006341DA">
            <w:pPr>
              <w:pStyle w:val="NormalWeb"/>
              <w:jc w:val="center"/>
            </w:pPr>
            <w:r>
              <w:t>1.16</w:t>
            </w:r>
          </w:p>
        </w:tc>
        <w:tc>
          <w:tcPr>
            <w:tcW w:w="1134" w:type="dxa"/>
            <w:hideMark/>
          </w:tcPr>
          <w:p w14:paraId="3BFDD0DD" w14:textId="77777777" w:rsidR="00BE3869" w:rsidRDefault="00BE3869" w:rsidP="006341DA">
            <w:pPr>
              <w:pStyle w:val="NormalWeb"/>
              <w:jc w:val="center"/>
            </w:pPr>
            <w:r>
              <w:t>0.72–1.86</w:t>
            </w:r>
          </w:p>
        </w:tc>
        <w:tc>
          <w:tcPr>
            <w:tcW w:w="1984" w:type="dxa"/>
            <w:hideMark/>
          </w:tcPr>
          <w:p w14:paraId="13428B6D" w14:textId="77777777" w:rsidR="00BE3869" w:rsidRDefault="00BE3869" w:rsidP="006341DA">
            <w:pPr>
              <w:pStyle w:val="NormalWeb"/>
              <w:jc w:val="center"/>
            </w:pPr>
            <w:r>
              <w:t>13.83</w:t>
            </w:r>
          </w:p>
        </w:tc>
        <w:tc>
          <w:tcPr>
            <w:tcW w:w="1559" w:type="dxa"/>
            <w:gridSpan w:val="2"/>
            <w:hideMark/>
          </w:tcPr>
          <w:p w14:paraId="7AEB7F9A" w14:textId="77777777" w:rsidR="00BE3869" w:rsidRDefault="00BE3869" w:rsidP="006341DA">
            <w:pPr>
              <w:pStyle w:val="NormalWeb"/>
              <w:jc w:val="center"/>
            </w:pPr>
            <w:r>
              <w:t>1.09</w:t>
            </w:r>
          </w:p>
        </w:tc>
        <w:tc>
          <w:tcPr>
            <w:tcW w:w="1899" w:type="dxa"/>
            <w:gridSpan w:val="2"/>
            <w:hideMark/>
          </w:tcPr>
          <w:p w14:paraId="378B4130" w14:textId="77777777" w:rsidR="00BE3869" w:rsidRDefault="00BE3869" w:rsidP="006341DA">
            <w:pPr>
              <w:pStyle w:val="NormalWeb"/>
              <w:jc w:val="center"/>
            </w:pPr>
            <w:r>
              <w:t>0.68–1.73</w:t>
            </w:r>
          </w:p>
        </w:tc>
      </w:tr>
      <w:tr w:rsidR="00BE3869" w14:paraId="62033617" w14:textId="77777777" w:rsidTr="006341DA">
        <w:trPr>
          <w:cnfStyle w:val="000000010000" w:firstRow="0" w:lastRow="0" w:firstColumn="0" w:lastColumn="0" w:oddVBand="0" w:evenVBand="0" w:oddHBand="0" w:evenHBand="1" w:firstRowFirstColumn="0" w:firstRowLastColumn="0" w:lastRowFirstColumn="0" w:lastRowLastColumn="0"/>
        </w:trPr>
        <w:tc>
          <w:tcPr>
            <w:tcW w:w="2552" w:type="dxa"/>
            <w:hideMark/>
          </w:tcPr>
          <w:p w14:paraId="561234EE" w14:textId="77777777" w:rsidR="00BE3869" w:rsidRDefault="00BE3869" w:rsidP="006341DA">
            <w:pPr>
              <w:pStyle w:val="NormalWeb"/>
            </w:pPr>
            <w:r>
              <w:t>Chlamydia</w:t>
            </w:r>
          </w:p>
        </w:tc>
        <w:tc>
          <w:tcPr>
            <w:tcW w:w="2268" w:type="dxa"/>
            <w:hideMark/>
          </w:tcPr>
          <w:p w14:paraId="13856468" w14:textId="77777777" w:rsidR="00BE3869" w:rsidRDefault="00BE3869" w:rsidP="006341DA">
            <w:pPr>
              <w:pStyle w:val="NormalWeb"/>
              <w:jc w:val="center"/>
            </w:pPr>
            <w:r>
              <w:t>95.99</w:t>
            </w:r>
          </w:p>
        </w:tc>
        <w:tc>
          <w:tcPr>
            <w:tcW w:w="1559" w:type="dxa"/>
            <w:hideMark/>
          </w:tcPr>
          <w:p w14:paraId="7F69AA5E" w14:textId="77777777" w:rsidR="00BE3869" w:rsidRDefault="00BE3869" w:rsidP="006341DA">
            <w:pPr>
              <w:pStyle w:val="NormalWeb"/>
              <w:jc w:val="center"/>
            </w:pPr>
            <w:r>
              <w:t>100.05</w:t>
            </w:r>
          </w:p>
        </w:tc>
        <w:tc>
          <w:tcPr>
            <w:tcW w:w="1985" w:type="dxa"/>
            <w:hideMark/>
          </w:tcPr>
          <w:p w14:paraId="13B9C805" w14:textId="77777777" w:rsidR="00BE3869" w:rsidRDefault="00BE3869" w:rsidP="006341DA">
            <w:pPr>
              <w:pStyle w:val="NormalWeb"/>
              <w:jc w:val="center"/>
            </w:pPr>
            <w:r>
              <w:t>0.96</w:t>
            </w:r>
          </w:p>
        </w:tc>
        <w:tc>
          <w:tcPr>
            <w:tcW w:w="1134" w:type="dxa"/>
            <w:hideMark/>
          </w:tcPr>
          <w:p w14:paraId="593B22A2" w14:textId="77777777" w:rsidR="00BE3869" w:rsidRDefault="00BE3869" w:rsidP="006341DA">
            <w:pPr>
              <w:pStyle w:val="NormalWeb"/>
              <w:jc w:val="center"/>
            </w:pPr>
            <w:r>
              <w:t>0.80–1.15</w:t>
            </w:r>
          </w:p>
        </w:tc>
        <w:tc>
          <w:tcPr>
            <w:tcW w:w="1984" w:type="dxa"/>
            <w:hideMark/>
          </w:tcPr>
          <w:p w14:paraId="4CAC913E" w14:textId="77777777" w:rsidR="00BE3869" w:rsidRDefault="00BE3869" w:rsidP="006341DA">
            <w:pPr>
              <w:pStyle w:val="NormalWeb"/>
              <w:jc w:val="center"/>
            </w:pPr>
            <w:r>
              <w:t>100.46</w:t>
            </w:r>
          </w:p>
        </w:tc>
        <w:tc>
          <w:tcPr>
            <w:tcW w:w="1559" w:type="dxa"/>
            <w:gridSpan w:val="2"/>
            <w:hideMark/>
          </w:tcPr>
          <w:p w14:paraId="134CE30C" w14:textId="77777777" w:rsidR="00BE3869" w:rsidRDefault="00BE3869" w:rsidP="006341DA">
            <w:pPr>
              <w:pStyle w:val="NormalWeb"/>
              <w:jc w:val="center"/>
            </w:pPr>
            <w:r>
              <w:t>0.96</w:t>
            </w:r>
          </w:p>
        </w:tc>
        <w:tc>
          <w:tcPr>
            <w:tcW w:w="1899" w:type="dxa"/>
            <w:gridSpan w:val="2"/>
            <w:hideMark/>
          </w:tcPr>
          <w:p w14:paraId="07AF0FF1" w14:textId="77777777" w:rsidR="00BE3869" w:rsidRDefault="00BE3869" w:rsidP="006341DA">
            <w:pPr>
              <w:pStyle w:val="NormalWeb"/>
              <w:jc w:val="center"/>
            </w:pPr>
            <w:r>
              <w:t>0.80–1.15</w:t>
            </w:r>
          </w:p>
        </w:tc>
      </w:tr>
      <w:tr w:rsidR="00BE3869" w14:paraId="7DC1A97A" w14:textId="77777777" w:rsidTr="006341DA">
        <w:tc>
          <w:tcPr>
            <w:tcW w:w="2552" w:type="dxa"/>
            <w:hideMark/>
          </w:tcPr>
          <w:p w14:paraId="303EEA45" w14:textId="77777777" w:rsidR="00BE3869" w:rsidRDefault="00BE3869" w:rsidP="006341DA">
            <w:pPr>
              <w:pStyle w:val="NormalWeb"/>
            </w:pPr>
            <w:r>
              <w:t>Chlamydial conjunctivitis</w:t>
            </w:r>
          </w:p>
        </w:tc>
        <w:tc>
          <w:tcPr>
            <w:tcW w:w="2268" w:type="dxa"/>
            <w:hideMark/>
          </w:tcPr>
          <w:p w14:paraId="78AE31B4" w14:textId="77777777" w:rsidR="00BE3869" w:rsidRDefault="00BE3869" w:rsidP="006341DA">
            <w:pPr>
              <w:pStyle w:val="NormalWeb"/>
              <w:jc w:val="center"/>
            </w:pPr>
            <w:r>
              <w:t>8.95</w:t>
            </w:r>
          </w:p>
        </w:tc>
        <w:tc>
          <w:tcPr>
            <w:tcW w:w="1559" w:type="dxa"/>
            <w:hideMark/>
          </w:tcPr>
          <w:p w14:paraId="4DB5C206" w14:textId="77777777" w:rsidR="00BE3869" w:rsidRDefault="00BE3869" w:rsidP="006341DA">
            <w:pPr>
              <w:pStyle w:val="NormalWeb"/>
              <w:jc w:val="center"/>
            </w:pPr>
            <w:r>
              <w:t>1.63</w:t>
            </w:r>
          </w:p>
        </w:tc>
        <w:tc>
          <w:tcPr>
            <w:tcW w:w="1985" w:type="dxa"/>
            <w:hideMark/>
          </w:tcPr>
          <w:p w14:paraId="50E12EEE" w14:textId="77777777" w:rsidR="00BE3869" w:rsidRDefault="00BE3869" w:rsidP="006341DA">
            <w:pPr>
              <w:pStyle w:val="NormalWeb"/>
              <w:jc w:val="center"/>
            </w:pPr>
            <w:r>
              <w:t>5.50</w:t>
            </w:r>
          </w:p>
        </w:tc>
        <w:tc>
          <w:tcPr>
            <w:tcW w:w="1134" w:type="dxa"/>
            <w:hideMark/>
          </w:tcPr>
          <w:p w14:paraId="69D236A0" w14:textId="77777777" w:rsidR="00BE3869" w:rsidRDefault="00BE3869" w:rsidP="006341DA">
            <w:pPr>
              <w:pStyle w:val="NormalWeb"/>
              <w:jc w:val="center"/>
            </w:pPr>
            <w:r>
              <w:t>1.90–15.96</w:t>
            </w:r>
          </w:p>
        </w:tc>
        <w:tc>
          <w:tcPr>
            <w:tcW w:w="1984" w:type="dxa"/>
            <w:hideMark/>
          </w:tcPr>
          <w:p w14:paraId="408693FB" w14:textId="77777777" w:rsidR="00BE3869" w:rsidRDefault="00BE3869" w:rsidP="006341DA">
            <w:pPr>
              <w:pStyle w:val="NormalWeb"/>
              <w:jc w:val="center"/>
            </w:pPr>
            <w:r>
              <w:t>0.81</w:t>
            </w:r>
          </w:p>
        </w:tc>
        <w:tc>
          <w:tcPr>
            <w:tcW w:w="1559" w:type="dxa"/>
            <w:gridSpan w:val="2"/>
            <w:hideMark/>
          </w:tcPr>
          <w:p w14:paraId="05E7E7B1" w14:textId="77777777" w:rsidR="00BE3869" w:rsidRDefault="00BE3869" w:rsidP="006341DA">
            <w:pPr>
              <w:pStyle w:val="NormalWeb"/>
              <w:jc w:val="center"/>
            </w:pPr>
            <w:r>
              <w:t>11.00</w:t>
            </w:r>
          </w:p>
        </w:tc>
        <w:tc>
          <w:tcPr>
            <w:tcW w:w="1899" w:type="dxa"/>
            <w:gridSpan w:val="2"/>
            <w:hideMark/>
          </w:tcPr>
          <w:p w14:paraId="2CB02D2C" w14:textId="77777777" w:rsidR="00BE3869" w:rsidRDefault="00BE3869" w:rsidP="006341DA">
            <w:pPr>
              <w:pStyle w:val="NormalWeb"/>
              <w:jc w:val="center"/>
            </w:pPr>
            <w:r>
              <w:t>2.59–46.78</w:t>
            </w:r>
          </w:p>
        </w:tc>
      </w:tr>
      <w:tr w:rsidR="00BE3869" w14:paraId="6C79E324" w14:textId="77777777" w:rsidTr="006341DA">
        <w:trPr>
          <w:cnfStyle w:val="000000010000" w:firstRow="0" w:lastRow="0" w:firstColumn="0" w:lastColumn="0" w:oddVBand="0" w:evenVBand="0" w:oddHBand="0" w:evenHBand="1" w:firstRowFirstColumn="0" w:firstRowLastColumn="0" w:lastRowFirstColumn="0" w:lastRowLastColumn="0"/>
        </w:trPr>
        <w:tc>
          <w:tcPr>
            <w:tcW w:w="2552" w:type="dxa"/>
            <w:hideMark/>
          </w:tcPr>
          <w:p w14:paraId="098FABE1" w14:textId="77777777" w:rsidR="00BE3869" w:rsidRDefault="00BE3869" w:rsidP="006341DA">
            <w:pPr>
              <w:pStyle w:val="NormalWeb"/>
            </w:pPr>
            <w:proofErr w:type="spellStart"/>
            <w:r>
              <w:t>Cryptospordiosis</w:t>
            </w:r>
            <w:proofErr w:type="spellEnd"/>
          </w:p>
        </w:tc>
        <w:tc>
          <w:tcPr>
            <w:tcW w:w="2268" w:type="dxa"/>
            <w:hideMark/>
          </w:tcPr>
          <w:p w14:paraId="67C18245" w14:textId="77777777" w:rsidR="00BE3869" w:rsidRDefault="00BE3869" w:rsidP="006341DA">
            <w:pPr>
              <w:pStyle w:val="NormalWeb"/>
              <w:jc w:val="center"/>
            </w:pPr>
            <w:r>
              <w:t>2.85</w:t>
            </w:r>
          </w:p>
        </w:tc>
        <w:tc>
          <w:tcPr>
            <w:tcW w:w="1559" w:type="dxa"/>
            <w:hideMark/>
          </w:tcPr>
          <w:p w14:paraId="05AF7F5D" w14:textId="77777777" w:rsidR="00BE3869" w:rsidRDefault="00BE3869" w:rsidP="006341DA">
            <w:pPr>
              <w:pStyle w:val="NormalWeb"/>
              <w:jc w:val="center"/>
            </w:pPr>
            <w:r>
              <w:t>4.07</w:t>
            </w:r>
          </w:p>
        </w:tc>
        <w:tc>
          <w:tcPr>
            <w:tcW w:w="1985" w:type="dxa"/>
            <w:hideMark/>
          </w:tcPr>
          <w:p w14:paraId="38B5D4A6" w14:textId="77777777" w:rsidR="00BE3869" w:rsidRDefault="00BE3869" w:rsidP="006341DA">
            <w:pPr>
              <w:pStyle w:val="NormalWeb"/>
              <w:jc w:val="center"/>
            </w:pPr>
            <w:r>
              <w:t>0.70</w:t>
            </w:r>
          </w:p>
        </w:tc>
        <w:tc>
          <w:tcPr>
            <w:tcW w:w="1134" w:type="dxa"/>
            <w:hideMark/>
          </w:tcPr>
          <w:p w14:paraId="32ABB12F" w14:textId="77777777" w:rsidR="00BE3869" w:rsidRDefault="00BE3869" w:rsidP="006341DA">
            <w:pPr>
              <w:pStyle w:val="NormalWeb"/>
              <w:jc w:val="center"/>
            </w:pPr>
            <w:r>
              <w:t>0.27–1.84</w:t>
            </w:r>
          </w:p>
        </w:tc>
        <w:tc>
          <w:tcPr>
            <w:tcW w:w="1984" w:type="dxa"/>
            <w:hideMark/>
          </w:tcPr>
          <w:p w14:paraId="7FB9197C" w14:textId="77777777" w:rsidR="00BE3869" w:rsidRDefault="00BE3869" w:rsidP="006341DA">
            <w:pPr>
              <w:pStyle w:val="NormalWeb"/>
              <w:jc w:val="center"/>
            </w:pPr>
            <w:r>
              <w:t>7.73</w:t>
            </w:r>
          </w:p>
        </w:tc>
        <w:tc>
          <w:tcPr>
            <w:tcW w:w="1559" w:type="dxa"/>
            <w:gridSpan w:val="2"/>
            <w:hideMark/>
          </w:tcPr>
          <w:p w14:paraId="7B1399D6" w14:textId="77777777" w:rsidR="00BE3869" w:rsidRDefault="00BE3869" w:rsidP="006341DA">
            <w:pPr>
              <w:pStyle w:val="NormalWeb"/>
              <w:jc w:val="center"/>
            </w:pPr>
            <w:r>
              <w:t>0.37</w:t>
            </w:r>
          </w:p>
        </w:tc>
        <w:tc>
          <w:tcPr>
            <w:tcW w:w="1899" w:type="dxa"/>
            <w:gridSpan w:val="2"/>
            <w:hideMark/>
          </w:tcPr>
          <w:p w14:paraId="3A01A73F" w14:textId="77777777" w:rsidR="00BE3869" w:rsidRDefault="00BE3869" w:rsidP="006341DA">
            <w:pPr>
              <w:pStyle w:val="NormalWeb"/>
              <w:jc w:val="center"/>
            </w:pPr>
            <w:r>
              <w:t>0.15–0.88</w:t>
            </w:r>
          </w:p>
        </w:tc>
      </w:tr>
      <w:tr w:rsidR="00BE3869" w14:paraId="1B876E55" w14:textId="77777777" w:rsidTr="006341DA">
        <w:tc>
          <w:tcPr>
            <w:tcW w:w="2552" w:type="dxa"/>
            <w:hideMark/>
          </w:tcPr>
          <w:p w14:paraId="1B0BD251" w14:textId="77777777" w:rsidR="00BE3869" w:rsidRDefault="00BE3869" w:rsidP="006341DA">
            <w:pPr>
              <w:pStyle w:val="NormalWeb"/>
            </w:pPr>
            <w:r>
              <w:t>Gonococcal infection</w:t>
            </w:r>
          </w:p>
        </w:tc>
        <w:tc>
          <w:tcPr>
            <w:tcW w:w="2268" w:type="dxa"/>
            <w:hideMark/>
          </w:tcPr>
          <w:p w14:paraId="2F90392E" w14:textId="77777777" w:rsidR="00BE3869" w:rsidRDefault="00BE3869" w:rsidP="006341DA">
            <w:pPr>
              <w:pStyle w:val="NormalWeb"/>
              <w:jc w:val="center"/>
            </w:pPr>
            <w:r>
              <w:t>38.64</w:t>
            </w:r>
          </w:p>
        </w:tc>
        <w:tc>
          <w:tcPr>
            <w:tcW w:w="1559" w:type="dxa"/>
            <w:hideMark/>
          </w:tcPr>
          <w:p w14:paraId="4AEE65B0" w14:textId="77777777" w:rsidR="00BE3869" w:rsidRDefault="00BE3869" w:rsidP="006341DA">
            <w:pPr>
              <w:pStyle w:val="NormalWeb"/>
              <w:jc w:val="center"/>
            </w:pPr>
            <w:r>
              <w:t>39.05</w:t>
            </w:r>
          </w:p>
        </w:tc>
        <w:tc>
          <w:tcPr>
            <w:tcW w:w="1985" w:type="dxa"/>
            <w:hideMark/>
          </w:tcPr>
          <w:p w14:paraId="36BFF1D2" w14:textId="77777777" w:rsidR="00BE3869" w:rsidRDefault="00BE3869" w:rsidP="006341DA">
            <w:pPr>
              <w:pStyle w:val="NormalWeb"/>
              <w:jc w:val="center"/>
            </w:pPr>
            <w:r>
              <w:t>0.99</w:t>
            </w:r>
          </w:p>
        </w:tc>
        <w:tc>
          <w:tcPr>
            <w:tcW w:w="1134" w:type="dxa"/>
            <w:hideMark/>
          </w:tcPr>
          <w:p w14:paraId="7CACD9CE" w14:textId="77777777" w:rsidR="00BE3869" w:rsidRDefault="00BE3869" w:rsidP="006341DA">
            <w:pPr>
              <w:pStyle w:val="NormalWeb"/>
              <w:jc w:val="center"/>
            </w:pPr>
            <w:r>
              <w:t>0.75–1.31</w:t>
            </w:r>
          </w:p>
        </w:tc>
        <w:tc>
          <w:tcPr>
            <w:tcW w:w="1984" w:type="dxa"/>
            <w:hideMark/>
          </w:tcPr>
          <w:p w14:paraId="0E2CAFD8" w14:textId="77777777" w:rsidR="00BE3869" w:rsidRDefault="00BE3869" w:rsidP="006341DA">
            <w:pPr>
              <w:pStyle w:val="NormalWeb"/>
              <w:jc w:val="center"/>
            </w:pPr>
            <w:r>
              <w:t>65.48</w:t>
            </w:r>
          </w:p>
        </w:tc>
        <w:tc>
          <w:tcPr>
            <w:tcW w:w="1559" w:type="dxa"/>
            <w:gridSpan w:val="2"/>
            <w:hideMark/>
          </w:tcPr>
          <w:p w14:paraId="6362BC9F" w14:textId="77777777" w:rsidR="00BE3869" w:rsidRDefault="00BE3869" w:rsidP="006341DA">
            <w:pPr>
              <w:pStyle w:val="NormalWeb"/>
              <w:jc w:val="center"/>
            </w:pPr>
            <w:r>
              <w:t>0.59</w:t>
            </w:r>
          </w:p>
        </w:tc>
        <w:tc>
          <w:tcPr>
            <w:tcW w:w="1899" w:type="dxa"/>
            <w:gridSpan w:val="2"/>
            <w:hideMark/>
          </w:tcPr>
          <w:p w14:paraId="5DEB00B8" w14:textId="77777777" w:rsidR="00BE3869" w:rsidRDefault="00BE3869" w:rsidP="006341DA">
            <w:pPr>
              <w:pStyle w:val="NormalWeb"/>
              <w:jc w:val="center"/>
            </w:pPr>
            <w:r>
              <w:t>0.46–0.76</w:t>
            </w:r>
          </w:p>
        </w:tc>
      </w:tr>
      <w:tr w:rsidR="00BE3869" w14:paraId="426EE096" w14:textId="77777777" w:rsidTr="006341DA">
        <w:trPr>
          <w:cnfStyle w:val="000000010000" w:firstRow="0" w:lastRow="0" w:firstColumn="0" w:lastColumn="0" w:oddVBand="0" w:evenVBand="0" w:oddHBand="0" w:evenHBand="1" w:firstRowFirstColumn="0" w:firstRowLastColumn="0" w:lastRowFirstColumn="0" w:lastRowLastColumn="0"/>
        </w:trPr>
        <w:tc>
          <w:tcPr>
            <w:tcW w:w="2552" w:type="dxa"/>
            <w:hideMark/>
          </w:tcPr>
          <w:p w14:paraId="35A08467" w14:textId="77777777" w:rsidR="00BE3869" w:rsidRDefault="00BE3869" w:rsidP="006341DA">
            <w:pPr>
              <w:pStyle w:val="NormalWeb"/>
            </w:pPr>
            <w:r>
              <w:t>Rheumatic fever</w:t>
            </w:r>
          </w:p>
        </w:tc>
        <w:tc>
          <w:tcPr>
            <w:tcW w:w="2268" w:type="dxa"/>
            <w:hideMark/>
          </w:tcPr>
          <w:p w14:paraId="6A042EDE" w14:textId="77777777" w:rsidR="00BE3869" w:rsidRDefault="00BE3869" w:rsidP="006341DA">
            <w:pPr>
              <w:pStyle w:val="NormalWeb"/>
              <w:jc w:val="center"/>
            </w:pPr>
            <w:r>
              <w:t>4.07</w:t>
            </w:r>
          </w:p>
        </w:tc>
        <w:tc>
          <w:tcPr>
            <w:tcW w:w="1559" w:type="dxa"/>
            <w:hideMark/>
          </w:tcPr>
          <w:p w14:paraId="3D86F77B" w14:textId="77777777" w:rsidR="00BE3869" w:rsidRDefault="00BE3869" w:rsidP="006341DA">
            <w:pPr>
              <w:pStyle w:val="NormalWeb"/>
              <w:jc w:val="center"/>
            </w:pPr>
            <w:r>
              <w:t>5.70</w:t>
            </w:r>
          </w:p>
        </w:tc>
        <w:tc>
          <w:tcPr>
            <w:tcW w:w="1985" w:type="dxa"/>
            <w:hideMark/>
          </w:tcPr>
          <w:p w14:paraId="7DD0F4AF" w14:textId="77777777" w:rsidR="00BE3869" w:rsidRDefault="00BE3869" w:rsidP="006341DA">
            <w:pPr>
              <w:pStyle w:val="NormalWeb"/>
              <w:jc w:val="center"/>
            </w:pPr>
            <w:r>
              <w:t>0.71</w:t>
            </w:r>
          </w:p>
        </w:tc>
        <w:tc>
          <w:tcPr>
            <w:tcW w:w="1134" w:type="dxa"/>
            <w:hideMark/>
          </w:tcPr>
          <w:p w14:paraId="5447D6F5" w14:textId="77777777" w:rsidR="00BE3869" w:rsidRDefault="00BE3869" w:rsidP="006341DA">
            <w:pPr>
              <w:pStyle w:val="NormalWeb"/>
              <w:jc w:val="center"/>
            </w:pPr>
            <w:r>
              <w:t>0.32–1.61</w:t>
            </w:r>
          </w:p>
        </w:tc>
        <w:tc>
          <w:tcPr>
            <w:tcW w:w="1984" w:type="dxa"/>
            <w:hideMark/>
          </w:tcPr>
          <w:p w14:paraId="630E58BB" w14:textId="77777777" w:rsidR="00BE3869" w:rsidRDefault="00BE3869" w:rsidP="006341DA">
            <w:pPr>
              <w:pStyle w:val="NormalWeb"/>
              <w:jc w:val="center"/>
            </w:pPr>
            <w:r>
              <w:t>4.07</w:t>
            </w:r>
          </w:p>
        </w:tc>
        <w:tc>
          <w:tcPr>
            <w:tcW w:w="1559" w:type="dxa"/>
            <w:gridSpan w:val="2"/>
            <w:hideMark/>
          </w:tcPr>
          <w:p w14:paraId="386EF512" w14:textId="77777777" w:rsidR="00BE3869" w:rsidRDefault="00BE3869" w:rsidP="006341DA">
            <w:pPr>
              <w:pStyle w:val="NormalWeb"/>
              <w:jc w:val="center"/>
            </w:pPr>
            <w:r>
              <w:t>1.00</w:t>
            </w:r>
          </w:p>
        </w:tc>
        <w:tc>
          <w:tcPr>
            <w:tcW w:w="1899" w:type="dxa"/>
            <w:gridSpan w:val="2"/>
            <w:hideMark/>
          </w:tcPr>
          <w:p w14:paraId="13BC860A" w14:textId="77777777" w:rsidR="00BE3869" w:rsidRDefault="00BE3869" w:rsidP="006341DA">
            <w:pPr>
              <w:pStyle w:val="NormalWeb"/>
              <w:jc w:val="center"/>
            </w:pPr>
            <w:r>
              <w:t>0.42–2.40</w:t>
            </w:r>
          </w:p>
        </w:tc>
      </w:tr>
      <w:tr w:rsidR="00BE3869" w14:paraId="12A91BCE" w14:textId="77777777" w:rsidTr="006341DA">
        <w:tc>
          <w:tcPr>
            <w:tcW w:w="2552" w:type="dxa"/>
            <w:hideMark/>
          </w:tcPr>
          <w:p w14:paraId="32AAA1C0" w14:textId="77777777" w:rsidR="00BE3869" w:rsidRDefault="00BE3869" w:rsidP="006341DA">
            <w:pPr>
              <w:pStyle w:val="NormalWeb"/>
            </w:pPr>
            <w:r>
              <w:t>Ross River Virus</w:t>
            </w:r>
          </w:p>
        </w:tc>
        <w:tc>
          <w:tcPr>
            <w:tcW w:w="2268" w:type="dxa"/>
            <w:hideMark/>
          </w:tcPr>
          <w:p w14:paraId="570C129F" w14:textId="77777777" w:rsidR="00BE3869" w:rsidRDefault="00BE3869" w:rsidP="006341DA">
            <w:pPr>
              <w:pStyle w:val="NormalWeb"/>
              <w:jc w:val="center"/>
            </w:pPr>
            <w:r>
              <w:t>6.51</w:t>
            </w:r>
          </w:p>
        </w:tc>
        <w:tc>
          <w:tcPr>
            <w:tcW w:w="1559" w:type="dxa"/>
            <w:hideMark/>
          </w:tcPr>
          <w:p w14:paraId="05334FBB" w14:textId="77777777" w:rsidR="00BE3869" w:rsidRDefault="00BE3869" w:rsidP="006341DA">
            <w:pPr>
              <w:pStyle w:val="NormalWeb"/>
              <w:jc w:val="center"/>
            </w:pPr>
            <w:r>
              <w:t>3.25</w:t>
            </w:r>
          </w:p>
        </w:tc>
        <w:tc>
          <w:tcPr>
            <w:tcW w:w="1985" w:type="dxa"/>
            <w:hideMark/>
          </w:tcPr>
          <w:p w14:paraId="1C8676FA" w14:textId="77777777" w:rsidR="00BE3869" w:rsidRDefault="00BE3869" w:rsidP="006341DA">
            <w:pPr>
              <w:pStyle w:val="NormalWeb"/>
              <w:jc w:val="center"/>
            </w:pPr>
            <w:r>
              <w:t>2.00</w:t>
            </w:r>
          </w:p>
        </w:tc>
        <w:tc>
          <w:tcPr>
            <w:tcW w:w="1134" w:type="dxa"/>
            <w:hideMark/>
          </w:tcPr>
          <w:p w14:paraId="6D8F1794" w14:textId="77777777" w:rsidR="00BE3869" w:rsidRDefault="00BE3869" w:rsidP="006341DA">
            <w:pPr>
              <w:pStyle w:val="NormalWeb"/>
              <w:jc w:val="center"/>
            </w:pPr>
            <w:r>
              <w:t>0.86–4.67</w:t>
            </w:r>
          </w:p>
        </w:tc>
        <w:tc>
          <w:tcPr>
            <w:tcW w:w="1984" w:type="dxa"/>
            <w:hideMark/>
          </w:tcPr>
          <w:p w14:paraId="258882E7" w14:textId="77777777" w:rsidR="00BE3869" w:rsidRDefault="00BE3869" w:rsidP="006341DA">
            <w:pPr>
              <w:pStyle w:val="NormalWeb"/>
              <w:jc w:val="center"/>
            </w:pPr>
            <w:r>
              <w:t>6.91</w:t>
            </w:r>
          </w:p>
        </w:tc>
        <w:tc>
          <w:tcPr>
            <w:tcW w:w="1559" w:type="dxa"/>
            <w:gridSpan w:val="2"/>
            <w:hideMark/>
          </w:tcPr>
          <w:p w14:paraId="01128E65" w14:textId="77777777" w:rsidR="00BE3869" w:rsidRDefault="00BE3869" w:rsidP="006341DA">
            <w:pPr>
              <w:pStyle w:val="NormalWeb"/>
              <w:jc w:val="center"/>
            </w:pPr>
            <w:r>
              <w:t>0.94</w:t>
            </w:r>
          </w:p>
        </w:tc>
        <w:tc>
          <w:tcPr>
            <w:tcW w:w="1899" w:type="dxa"/>
            <w:gridSpan w:val="2"/>
            <w:hideMark/>
          </w:tcPr>
          <w:p w14:paraId="3FED6E31" w14:textId="77777777" w:rsidR="00BE3869" w:rsidRDefault="00BE3869" w:rsidP="006341DA">
            <w:pPr>
              <w:pStyle w:val="NormalWeb"/>
              <w:jc w:val="center"/>
            </w:pPr>
            <w:r>
              <w:t>0.48–1.86</w:t>
            </w:r>
          </w:p>
        </w:tc>
      </w:tr>
      <w:tr w:rsidR="00BE3869" w14:paraId="1E7583E9" w14:textId="77777777" w:rsidTr="006341DA">
        <w:trPr>
          <w:cnfStyle w:val="000000010000" w:firstRow="0" w:lastRow="0" w:firstColumn="0" w:lastColumn="0" w:oddVBand="0" w:evenVBand="0" w:oddHBand="0" w:evenHBand="1" w:firstRowFirstColumn="0" w:firstRowLastColumn="0" w:lastRowFirstColumn="0" w:lastRowLastColumn="0"/>
        </w:trPr>
        <w:tc>
          <w:tcPr>
            <w:tcW w:w="2552" w:type="dxa"/>
            <w:hideMark/>
          </w:tcPr>
          <w:p w14:paraId="7C9C7025" w14:textId="77777777" w:rsidR="00BE3869" w:rsidRDefault="00BE3869" w:rsidP="006341DA">
            <w:pPr>
              <w:pStyle w:val="NormalWeb"/>
            </w:pPr>
            <w:r>
              <w:t>Rotavirus</w:t>
            </w:r>
          </w:p>
        </w:tc>
        <w:tc>
          <w:tcPr>
            <w:tcW w:w="2268" w:type="dxa"/>
            <w:hideMark/>
          </w:tcPr>
          <w:p w14:paraId="18873221" w14:textId="77777777" w:rsidR="00BE3869" w:rsidRDefault="00BE3869" w:rsidP="006341DA">
            <w:pPr>
              <w:pStyle w:val="NormalWeb"/>
              <w:jc w:val="center"/>
            </w:pPr>
            <w:r>
              <w:t>0.80</w:t>
            </w:r>
          </w:p>
        </w:tc>
        <w:tc>
          <w:tcPr>
            <w:tcW w:w="1559" w:type="dxa"/>
            <w:hideMark/>
          </w:tcPr>
          <w:p w14:paraId="159AEB0A" w14:textId="77777777" w:rsidR="00BE3869" w:rsidRDefault="00BE3869" w:rsidP="006341DA">
            <w:pPr>
              <w:pStyle w:val="NormalWeb"/>
              <w:jc w:val="center"/>
            </w:pPr>
            <w:r>
              <w:t>6.10</w:t>
            </w:r>
          </w:p>
        </w:tc>
        <w:tc>
          <w:tcPr>
            <w:tcW w:w="1985" w:type="dxa"/>
            <w:hideMark/>
          </w:tcPr>
          <w:p w14:paraId="7337AA4F" w14:textId="77777777" w:rsidR="00BE3869" w:rsidRDefault="00BE3869" w:rsidP="006341DA">
            <w:pPr>
              <w:pStyle w:val="NormalWeb"/>
              <w:jc w:val="center"/>
            </w:pPr>
            <w:r>
              <w:t>0.13</w:t>
            </w:r>
          </w:p>
        </w:tc>
        <w:tc>
          <w:tcPr>
            <w:tcW w:w="1134" w:type="dxa"/>
            <w:hideMark/>
          </w:tcPr>
          <w:p w14:paraId="398D8412" w14:textId="77777777" w:rsidR="00BE3869" w:rsidRDefault="00BE3869" w:rsidP="006341DA">
            <w:pPr>
              <w:pStyle w:val="NormalWeb"/>
              <w:jc w:val="center"/>
            </w:pPr>
            <w:r>
              <w:t>0.03–0.58</w:t>
            </w:r>
          </w:p>
        </w:tc>
        <w:tc>
          <w:tcPr>
            <w:tcW w:w="1984" w:type="dxa"/>
            <w:hideMark/>
          </w:tcPr>
          <w:p w14:paraId="05108B9F" w14:textId="77777777" w:rsidR="00BE3869" w:rsidRDefault="00BE3869" w:rsidP="006341DA">
            <w:pPr>
              <w:pStyle w:val="NormalWeb"/>
              <w:jc w:val="center"/>
            </w:pPr>
            <w:r>
              <w:t>2.44</w:t>
            </w:r>
          </w:p>
        </w:tc>
        <w:tc>
          <w:tcPr>
            <w:tcW w:w="1559" w:type="dxa"/>
            <w:gridSpan w:val="2"/>
            <w:hideMark/>
          </w:tcPr>
          <w:p w14:paraId="66C90782" w14:textId="77777777" w:rsidR="00BE3869" w:rsidRDefault="00BE3869" w:rsidP="006341DA">
            <w:pPr>
              <w:pStyle w:val="NormalWeb"/>
              <w:jc w:val="center"/>
            </w:pPr>
            <w:r>
              <w:t>0.33</w:t>
            </w:r>
          </w:p>
        </w:tc>
        <w:tc>
          <w:tcPr>
            <w:tcW w:w="1899" w:type="dxa"/>
            <w:gridSpan w:val="2"/>
            <w:hideMark/>
          </w:tcPr>
          <w:p w14:paraId="493201A2" w14:textId="77777777" w:rsidR="00BE3869" w:rsidRDefault="00BE3869" w:rsidP="006341DA">
            <w:pPr>
              <w:pStyle w:val="NormalWeb"/>
              <w:jc w:val="center"/>
            </w:pPr>
            <w:r>
              <w:t>0.67–1.65</w:t>
            </w:r>
          </w:p>
        </w:tc>
      </w:tr>
      <w:tr w:rsidR="00BE3869" w14:paraId="4D225A77" w14:textId="77777777" w:rsidTr="006341DA">
        <w:tc>
          <w:tcPr>
            <w:tcW w:w="2552" w:type="dxa"/>
            <w:hideMark/>
          </w:tcPr>
          <w:p w14:paraId="1D52563E" w14:textId="77777777" w:rsidR="00BE3869" w:rsidRDefault="00BE3869" w:rsidP="006341DA">
            <w:pPr>
              <w:pStyle w:val="NormalWeb"/>
            </w:pPr>
            <w:r>
              <w:t>Salmonellosis</w:t>
            </w:r>
          </w:p>
        </w:tc>
        <w:tc>
          <w:tcPr>
            <w:tcW w:w="2268" w:type="dxa"/>
            <w:hideMark/>
          </w:tcPr>
          <w:p w14:paraId="7AC33EC5" w14:textId="77777777" w:rsidR="00BE3869" w:rsidRDefault="00BE3869" w:rsidP="006341DA">
            <w:pPr>
              <w:pStyle w:val="NormalWeb"/>
              <w:jc w:val="center"/>
            </w:pPr>
            <w:r>
              <w:t>13.83</w:t>
            </w:r>
          </w:p>
        </w:tc>
        <w:tc>
          <w:tcPr>
            <w:tcW w:w="1559" w:type="dxa"/>
            <w:hideMark/>
          </w:tcPr>
          <w:p w14:paraId="2F4BF8E3" w14:textId="77777777" w:rsidR="00BE3869" w:rsidRDefault="00BE3869" w:rsidP="006341DA">
            <w:pPr>
              <w:pStyle w:val="NormalWeb"/>
              <w:jc w:val="center"/>
            </w:pPr>
            <w:r>
              <w:t>19.52</w:t>
            </w:r>
          </w:p>
        </w:tc>
        <w:tc>
          <w:tcPr>
            <w:tcW w:w="1985" w:type="dxa"/>
            <w:hideMark/>
          </w:tcPr>
          <w:p w14:paraId="1097F6E8" w14:textId="77777777" w:rsidR="00BE3869" w:rsidRDefault="00BE3869" w:rsidP="006341DA">
            <w:pPr>
              <w:pStyle w:val="NormalWeb"/>
              <w:jc w:val="center"/>
            </w:pPr>
            <w:r>
              <w:t>0.71</w:t>
            </w:r>
          </w:p>
        </w:tc>
        <w:tc>
          <w:tcPr>
            <w:tcW w:w="1134" w:type="dxa"/>
            <w:hideMark/>
          </w:tcPr>
          <w:p w14:paraId="30E7DEF9" w14:textId="77777777" w:rsidR="00BE3869" w:rsidRDefault="00BE3869" w:rsidP="006341DA">
            <w:pPr>
              <w:pStyle w:val="NormalWeb"/>
              <w:jc w:val="center"/>
            </w:pPr>
            <w:r>
              <w:t>0.46–1.10</w:t>
            </w:r>
          </w:p>
        </w:tc>
        <w:tc>
          <w:tcPr>
            <w:tcW w:w="1984" w:type="dxa"/>
            <w:hideMark/>
          </w:tcPr>
          <w:p w14:paraId="4A61D53E" w14:textId="77777777" w:rsidR="00BE3869" w:rsidRDefault="00BE3869" w:rsidP="006341DA">
            <w:pPr>
              <w:pStyle w:val="NormalWeb"/>
              <w:jc w:val="center"/>
            </w:pPr>
            <w:r>
              <w:t>24</w:t>
            </w:r>
          </w:p>
        </w:tc>
        <w:tc>
          <w:tcPr>
            <w:tcW w:w="1559" w:type="dxa"/>
            <w:gridSpan w:val="2"/>
            <w:hideMark/>
          </w:tcPr>
          <w:p w14:paraId="263E7CBF" w14:textId="77777777" w:rsidR="00BE3869" w:rsidRDefault="00BE3869" w:rsidP="006341DA">
            <w:pPr>
              <w:pStyle w:val="NormalWeb"/>
              <w:jc w:val="center"/>
            </w:pPr>
            <w:r>
              <w:t>0.58</w:t>
            </w:r>
          </w:p>
        </w:tc>
        <w:tc>
          <w:tcPr>
            <w:tcW w:w="1899" w:type="dxa"/>
            <w:gridSpan w:val="2"/>
            <w:hideMark/>
          </w:tcPr>
          <w:p w14:paraId="46448154" w14:textId="77777777" w:rsidR="00BE3869" w:rsidRDefault="00BE3869" w:rsidP="006341DA">
            <w:pPr>
              <w:pStyle w:val="NormalWeb"/>
              <w:jc w:val="center"/>
            </w:pPr>
            <w:r>
              <w:t>0.38–0.88</w:t>
            </w:r>
          </w:p>
        </w:tc>
      </w:tr>
      <w:tr w:rsidR="00BE3869" w14:paraId="6077980B" w14:textId="77777777" w:rsidTr="006341DA">
        <w:trPr>
          <w:cnfStyle w:val="000000010000" w:firstRow="0" w:lastRow="0" w:firstColumn="0" w:lastColumn="0" w:oddVBand="0" w:evenVBand="0" w:oddHBand="0" w:evenHBand="1" w:firstRowFirstColumn="0" w:firstRowLastColumn="0" w:lastRowFirstColumn="0" w:lastRowLastColumn="0"/>
        </w:trPr>
        <w:tc>
          <w:tcPr>
            <w:tcW w:w="2552" w:type="dxa"/>
            <w:hideMark/>
          </w:tcPr>
          <w:p w14:paraId="39F57719" w14:textId="77777777" w:rsidR="00BE3869" w:rsidRDefault="00BE3869" w:rsidP="006341DA">
            <w:pPr>
              <w:pStyle w:val="NormalWeb"/>
            </w:pPr>
            <w:r>
              <w:t>Shigellosis</w:t>
            </w:r>
          </w:p>
        </w:tc>
        <w:tc>
          <w:tcPr>
            <w:tcW w:w="2268" w:type="dxa"/>
            <w:hideMark/>
          </w:tcPr>
          <w:p w14:paraId="18E6DB31" w14:textId="77777777" w:rsidR="00BE3869" w:rsidRDefault="00BE3869" w:rsidP="006341DA">
            <w:pPr>
              <w:pStyle w:val="NormalWeb"/>
              <w:jc w:val="center"/>
            </w:pPr>
            <w:r>
              <w:t>10.17</w:t>
            </w:r>
          </w:p>
        </w:tc>
        <w:tc>
          <w:tcPr>
            <w:tcW w:w="1559" w:type="dxa"/>
            <w:hideMark/>
          </w:tcPr>
          <w:p w14:paraId="6B73A9DC" w14:textId="77777777" w:rsidR="00BE3869" w:rsidRDefault="00BE3869" w:rsidP="006341DA">
            <w:pPr>
              <w:pStyle w:val="NormalWeb"/>
              <w:jc w:val="center"/>
            </w:pPr>
            <w:r>
              <w:t>17.49</w:t>
            </w:r>
          </w:p>
        </w:tc>
        <w:tc>
          <w:tcPr>
            <w:tcW w:w="1985" w:type="dxa"/>
            <w:hideMark/>
          </w:tcPr>
          <w:p w14:paraId="4F484C90" w14:textId="77777777" w:rsidR="00BE3869" w:rsidRDefault="00BE3869" w:rsidP="006341DA">
            <w:pPr>
              <w:pStyle w:val="NormalWeb"/>
              <w:jc w:val="center"/>
            </w:pPr>
            <w:r>
              <w:t>0.58</w:t>
            </w:r>
          </w:p>
        </w:tc>
        <w:tc>
          <w:tcPr>
            <w:tcW w:w="1134" w:type="dxa"/>
            <w:hideMark/>
          </w:tcPr>
          <w:p w14:paraId="23AE2308" w14:textId="77777777" w:rsidR="00BE3869" w:rsidRDefault="00BE3869" w:rsidP="006341DA">
            <w:pPr>
              <w:pStyle w:val="NormalWeb"/>
              <w:jc w:val="center"/>
            </w:pPr>
            <w:r>
              <w:t>0.36–0.95</w:t>
            </w:r>
          </w:p>
        </w:tc>
        <w:tc>
          <w:tcPr>
            <w:tcW w:w="1984" w:type="dxa"/>
            <w:hideMark/>
          </w:tcPr>
          <w:p w14:paraId="6A82A0E7" w14:textId="77777777" w:rsidR="00BE3869" w:rsidRDefault="00BE3869" w:rsidP="006341DA">
            <w:pPr>
              <w:pStyle w:val="NormalWeb"/>
              <w:jc w:val="center"/>
            </w:pPr>
            <w:r>
              <w:t>12.61</w:t>
            </w:r>
          </w:p>
        </w:tc>
        <w:tc>
          <w:tcPr>
            <w:tcW w:w="1559" w:type="dxa"/>
            <w:gridSpan w:val="2"/>
            <w:hideMark/>
          </w:tcPr>
          <w:p w14:paraId="3063A432" w14:textId="77777777" w:rsidR="00BE3869" w:rsidRDefault="00BE3869" w:rsidP="006341DA">
            <w:pPr>
              <w:pStyle w:val="NormalWeb"/>
              <w:jc w:val="center"/>
            </w:pPr>
            <w:r>
              <w:t>0.81</w:t>
            </w:r>
          </w:p>
        </w:tc>
        <w:tc>
          <w:tcPr>
            <w:tcW w:w="1899" w:type="dxa"/>
            <w:gridSpan w:val="2"/>
            <w:hideMark/>
          </w:tcPr>
          <w:p w14:paraId="799EE9AD" w14:textId="77777777" w:rsidR="00BE3869" w:rsidRDefault="00BE3869" w:rsidP="006341DA">
            <w:pPr>
              <w:pStyle w:val="NormalWeb"/>
              <w:jc w:val="center"/>
            </w:pPr>
            <w:r>
              <w:t>0.48–1.37</w:t>
            </w:r>
          </w:p>
        </w:tc>
      </w:tr>
      <w:tr w:rsidR="00BE3869" w14:paraId="499428DB" w14:textId="77777777" w:rsidTr="006341DA">
        <w:tc>
          <w:tcPr>
            <w:tcW w:w="2552" w:type="dxa"/>
            <w:hideMark/>
          </w:tcPr>
          <w:p w14:paraId="6710C41F" w14:textId="77777777" w:rsidR="00BE3869" w:rsidRDefault="00BE3869" w:rsidP="006341DA">
            <w:pPr>
              <w:pStyle w:val="NormalWeb"/>
            </w:pPr>
            <w:r>
              <w:t>Syphilis</w:t>
            </w:r>
          </w:p>
        </w:tc>
        <w:tc>
          <w:tcPr>
            <w:tcW w:w="2268" w:type="dxa"/>
            <w:hideMark/>
          </w:tcPr>
          <w:p w14:paraId="0940C935" w14:textId="77777777" w:rsidR="00BE3869" w:rsidRDefault="00BE3869" w:rsidP="006341DA">
            <w:pPr>
              <w:pStyle w:val="NormalWeb"/>
              <w:jc w:val="center"/>
            </w:pPr>
            <w:r>
              <w:t>12.20</w:t>
            </w:r>
          </w:p>
        </w:tc>
        <w:tc>
          <w:tcPr>
            <w:tcW w:w="1559" w:type="dxa"/>
            <w:hideMark/>
          </w:tcPr>
          <w:p w14:paraId="1573B7F8" w14:textId="77777777" w:rsidR="00BE3869" w:rsidRDefault="00BE3869" w:rsidP="006341DA">
            <w:pPr>
              <w:pStyle w:val="NormalWeb"/>
              <w:jc w:val="center"/>
            </w:pPr>
            <w:r>
              <w:t>13.02</w:t>
            </w:r>
          </w:p>
        </w:tc>
        <w:tc>
          <w:tcPr>
            <w:tcW w:w="1985" w:type="dxa"/>
            <w:hideMark/>
          </w:tcPr>
          <w:p w14:paraId="13656409" w14:textId="77777777" w:rsidR="00BE3869" w:rsidRDefault="00BE3869" w:rsidP="006341DA">
            <w:pPr>
              <w:pStyle w:val="NormalWeb"/>
              <w:jc w:val="center"/>
            </w:pPr>
            <w:r>
              <w:t>0.94</w:t>
            </w:r>
          </w:p>
        </w:tc>
        <w:tc>
          <w:tcPr>
            <w:tcW w:w="1134" w:type="dxa"/>
            <w:hideMark/>
          </w:tcPr>
          <w:p w14:paraId="33BB76ED" w14:textId="77777777" w:rsidR="00BE3869" w:rsidRDefault="00BE3869" w:rsidP="006341DA">
            <w:pPr>
              <w:pStyle w:val="NormalWeb"/>
              <w:jc w:val="center"/>
            </w:pPr>
            <w:r>
              <w:t>0.57–1.54</w:t>
            </w:r>
          </w:p>
        </w:tc>
        <w:tc>
          <w:tcPr>
            <w:tcW w:w="1984" w:type="dxa"/>
            <w:hideMark/>
          </w:tcPr>
          <w:p w14:paraId="39CE2AC7" w14:textId="77777777" w:rsidR="00BE3869" w:rsidRDefault="00BE3869" w:rsidP="006341DA">
            <w:pPr>
              <w:pStyle w:val="NormalWeb"/>
              <w:jc w:val="center"/>
            </w:pPr>
            <w:r>
              <w:t>10.57</w:t>
            </w:r>
          </w:p>
        </w:tc>
        <w:tc>
          <w:tcPr>
            <w:tcW w:w="1559" w:type="dxa"/>
            <w:gridSpan w:val="2"/>
            <w:hideMark/>
          </w:tcPr>
          <w:p w14:paraId="354BF57A" w14:textId="77777777" w:rsidR="00BE3869" w:rsidRDefault="00BE3869" w:rsidP="006341DA">
            <w:pPr>
              <w:pStyle w:val="NormalWeb"/>
              <w:jc w:val="center"/>
            </w:pPr>
            <w:r>
              <w:t>1.15</w:t>
            </w:r>
          </w:p>
        </w:tc>
        <w:tc>
          <w:tcPr>
            <w:tcW w:w="1899" w:type="dxa"/>
            <w:gridSpan w:val="2"/>
            <w:hideMark/>
          </w:tcPr>
          <w:p w14:paraId="3E15135A" w14:textId="77777777" w:rsidR="00BE3869" w:rsidRDefault="00BE3869" w:rsidP="006341DA">
            <w:pPr>
              <w:pStyle w:val="NormalWeb"/>
              <w:jc w:val="center"/>
            </w:pPr>
            <w:r>
              <w:t>0.68–1.95</w:t>
            </w:r>
          </w:p>
        </w:tc>
      </w:tr>
      <w:tr w:rsidR="00BE3869" w14:paraId="4A4CE5C3" w14:textId="77777777" w:rsidTr="006341DA">
        <w:trPr>
          <w:cnfStyle w:val="000000010000" w:firstRow="0" w:lastRow="0" w:firstColumn="0" w:lastColumn="0" w:oddVBand="0" w:evenVBand="0" w:oddHBand="0" w:evenHBand="1" w:firstRowFirstColumn="0" w:firstRowLastColumn="0" w:lastRowFirstColumn="0" w:lastRowLastColumn="0"/>
        </w:trPr>
        <w:tc>
          <w:tcPr>
            <w:tcW w:w="2552" w:type="dxa"/>
            <w:hideMark/>
          </w:tcPr>
          <w:p w14:paraId="53F02622" w14:textId="77777777" w:rsidR="00BE3869" w:rsidRDefault="00BE3869" w:rsidP="006341DA">
            <w:pPr>
              <w:pStyle w:val="NormalWeb"/>
            </w:pPr>
            <w:r>
              <w:t>Trichomoniasis</w:t>
            </w:r>
          </w:p>
        </w:tc>
        <w:tc>
          <w:tcPr>
            <w:tcW w:w="2268" w:type="dxa"/>
            <w:hideMark/>
          </w:tcPr>
          <w:p w14:paraId="3EF3D89E" w14:textId="77777777" w:rsidR="00BE3869" w:rsidRDefault="00BE3869" w:rsidP="006341DA">
            <w:pPr>
              <w:pStyle w:val="NormalWeb"/>
              <w:jc w:val="center"/>
            </w:pPr>
            <w:r>
              <w:t>93.55</w:t>
            </w:r>
          </w:p>
        </w:tc>
        <w:tc>
          <w:tcPr>
            <w:tcW w:w="1559" w:type="dxa"/>
            <w:hideMark/>
          </w:tcPr>
          <w:p w14:paraId="2BC9FF50" w14:textId="77777777" w:rsidR="00BE3869" w:rsidRDefault="00BE3869" w:rsidP="006341DA">
            <w:pPr>
              <w:pStyle w:val="NormalWeb"/>
              <w:jc w:val="center"/>
            </w:pPr>
            <w:r>
              <w:t>93.95</w:t>
            </w:r>
          </w:p>
        </w:tc>
        <w:tc>
          <w:tcPr>
            <w:tcW w:w="1985" w:type="dxa"/>
            <w:hideMark/>
          </w:tcPr>
          <w:p w14:paraId="7F5478B3" w14:textId="77777777" w:rsidR="00BE3869" w:rsidRDefault="00BE3869" w:rsidP="006341DA">
            <w:pPr>
              <w:pStyle w:val="NormalWeb"/>
              <w:jc w:val="center"/>
            </w:pPr>
            <w:r>
              <w:t>1.00</w:t>
            </w:r>
          </w:p>
        </w:tc>
        <w:tc>
          <w:tcPr>
            <w:tcW w:w="1134" w:type="dxa"/>
            <w:hideMark/>
          </w:tcPr>
          <w:p w14:paraId="66A766A8" w14:textId="77777777" w:rsidR="00BE3869" w:rsidRDefault="00BE3869" w:rsidP="006341DA">
            <w:pPr>
              <w:pStyle w:val="NormalWeb"/>
              <w:jc w:val="center"/>
            </w:pPr>
            <w:r>
              <w:t>0.83–1.20</w:t>
            </w:r>
          </w:p>
        </w:tc>
        <w:tc>
          <w:tcPr>
            <w:tcW w:w="1984" w:type="dxa"/>
            <w:hideMark/>
          </w:tcPr>
          <w:p w14:paraId="3F1A3025" w14:textId="77777777" w:rsidR="00BE3869" w:rsidRDefault="00BE3869" w:rsidP="006341DA">
            <w:pPr>
              <w:pStyle w:val="NormalWeb"/>
              <w:jc w:val="center"/>
            </w:pPr>
            <w:r>
              <w:t>122.42</w:t>
            </w:r>
          </w:p>
        </w:tc>
        <w:tc>
          <w:tcPr>
            <w:tcW w:w="1559" w:type="dxa"/>
            <w:gridSpan w:val="2"/>
            <w:hideMark/>
          </w:tcPr>
          <w:p w14:paraId="6AB5D19B" w14:textId="77777777" w:rsidR="00BE3869" w:rsidRDefault="00BE3869" w:rsidP="006341DA">
            <w:pPr>
              <w:pStyle w:val="NormalWeb"/>
              <w:jc w:val="center"/>
            </w:pPr>
            <w:r>
              <w:t>0.76</w:t>
            </w:r>
          </w:p>
        </w:tc>
        <w:tc>
          <w:tcPr>
            <w:tcW w:w="1899" w:type="dxa"/>
            <w:gridSpan w:val="2"/>
            <w:hideMark/>
          </w:tcPr>
          <w:p w14:paraId="5C37232A" w14:textId="77777777" w:rsidR="00BE3869" w:rsidRDefault="00BE3869" w:rsidP="006341DA">
            <w:pPr>
              <w:pStyle w:val="NormalWeb"/>
              <w:jc w:val="center"/>
            </w:pPr>
            <w:r>
              <w:t>0.64–0.91</w:t>
            </w:r>
          </w:p>
        </w:tc>
      </w:tr>
    </w:tbl>
    <w:p w14:paraId="03174C13" w14:textId="77777777" w:rsidR="00BE3869" w:rsidRDefault="00BE3869" w:rsidP="00BE3869">
      <w:pPr>
        <w:sectPr w:rsidR="00BE3869" w:rsidSect="00291395">
          <w:pgSz w:w="16838" w:h="11906" w:orient="landscape"/>
          <w:pgMar w:top="720" w:right="720" w:bottom="720" w:left="1134" w:header="709" w:footer="284" w:gutter="0"/>
          <w:cols w:space="708"/>
          <w:titlePg/>
          <w:docGrid w:linePitch="360"/>
        </w:sectPr>
      </w:pPr>
    </w:p>
    <w:p w14:paraId="2FCE2D66" w14:textId="77777777" w:rsidR="00BE3869" w:rsidRDefault="00BE3869" w:rsidP="00BE3869">
      <w:r>
        <w:lastRenderedPageBreak/>
        <w:t xml:space="preserve">There was an increase in chlamydial conjunctivitis to 8.95 cases per 100,000 population per month compared to the preceding 4 months and the 5-year median of 1.63 (IRR 5.50; 95% CI 1.90–15.96) and 0.81 cases per 100,000 population per month (IRR 11.00; 95% CI 2.59–46.78) respectively. During the period of interest there were 44 cases, of which 27 (61%) were in the Alice Springs region and 13 (30%) in the Katherine region. The median age of cases was 9.5 years (IQR 4, 19). All cases were in Aboriginal or Torres Strait Islander people. This increase is the subject of a separate investigation. </w:t>
      </w:r>
    </w:p>
    <w:p w14:paraId="13B07A40" w14:textId="77777777" w:rsidR="00BE3869" w:rsidRDefault="00BE3869" w:rsidP="00BE3869">
      <w:r>
        <w:t xml:space="preserve">There was a trend towards lower incidences of gonococcal infection and trichomoniasis compared to the 5-year median. However, the incidence did not differ compared to the 4 months prior. Rates of syphilis and chlamydia did not differ across the periods. </w:t>
      </w:r>
    </w:p>
    <w:p w14:paraId="744EABB5" w14:textId="77777777" w:rsidR="00BE3869" w:rsidRDefault="00BE3869" w:rsidP="00BE3869">
      <w:r>
        <w:t xml:space="preserve">The incidence of iGAS, acute post-streptococcal glomerulonephritis (APSGN), and rheumatic fever was similar compared to the two control periods. The incidence of crusted scabies and melioidosis was also similar. </w:t>
      </w:r>
    </w:p>
    <w:p w14:paraId="091E4361" w14:textId="77777777" w:rsidR="00BE3869" w:rsidRDefault="00BE3869" w:rsidP="00BE3869">
      <w:r>
        <w:t xml:space="preserve">Incidence of imported illnesses such as dengue and malaria remained low. </w:t>
      </w:r>
    </w:p>
    <w:p w14:paraId="690BA731" w14:textId="77777777" w:rsidR="00BE3869" w:rsidRPr="00291395" w:rsidRDefault="00BE3869" w:rsidP="00BE3869">
      <w:pPr>
        <w:pStyle w:val="Heading1"/>
      </w:pPr>
      <w:r w:rsidRPr="00291395">
        <w:t xml:space="preserve">Discussion </w:t>
      </w:r>
    </w:p>
    <w:p w14:paraId="7F1A0386" w14:textId="77777777" w:rsidR="00BE3869" w:rsidRDefault="00BE3869" w:rsidP="00BE3869">
      <w:r>
        <w:t xml:space="preserve">During the period of most restrictive physical distancing, there was a decline in enteric illnesses which are predominantly transmitted person-to-person, such as rotavirus and shigellosis, compared to the 4 months of the NT wet season immediately prior. The decline for salmonellosis and cryptosporidium, for which person-to-person transmission plays a minor role, was less marked and there was no change for campylobacteriosis. </w:t>
      </w:r>
    </w:p>
    <w:p w14:paraId="24062E22" w14:textId="77777777" w:rsidR="00BE3869" w:rsidRDefault="00BE3869" w:rsidP="00BE3869">
      <w:r>
        <w:t xml:space="preserve">Compared to the same period from the previous 5 years, the decline in rotavirus and shigellosis was less marked but there was a decline in salmonellosis and cryptosporidium. While hygiene measures may have contributed, the decline in salmonella and cryptosporidium—where environmental acquisition predominates—cannot be readily attributed to physical distancing measures and may be due to yearly variation. </w:t>
      </w:r>
    </w:p>
    <w:p w14:paraId="1C248AF9" w14:textId="77777777" w:rsidR="00BE3869" w:rsidRDefault="00BE3869" w:rsidP="00BE3869">
      <w:r>
        <w:t xml:space="preserve">There was an increase in chlamydial conjunctivitis, which remains under </w:t>
      </w:r>
      <w:proofErr w:type="gramStart"/>
      <w:r>
        <w:t>investigation</w:t>
      </w:r>
      <w:proofErr w:type="gramEnd"/>
      <w:r>
        <w:t xml:space="preserve"> and which occurred in areas known to be endemic for trachoma.</w:t>
      </w:r>
      <w:r>
        <w:rPr>
          <w:vertAlign w:val="superscript"/>
        </w:rPr>
        <w:t>11</w:t>
      </w:r>
      <w:r>
        <w:t xml:space="preserve"> It has not clearly been linked with physical distancing measures. </w:t>
      </w:r>
    </w:p>
    <w:p w14:paraId="40F423E9" w14:textId="77777777" w:rsidR="00BE3869" w:rsidRDefault="00BE3869" w:rsidP="00BE3869">
      <w:r>
        <w:t xml:space="preserve">There is a disproportionate burden of communicable diseases in the Aboriginal and Torres Strait Islander population in the NT. In addition to enteric illnesses, up to 8 times the incidence of iGAS occur in the Aboriginal and Torres Strait Islander population compared to the </w:t>
      </w:r>
      <w:proofErr w:type="gramStart"/>
      <w:r>
        <w:t>Non-Indigenous</w:t>
      </w:r>
      <w:proofErr w:type="gramEnd"/>
      <w:r>
        <w:t xml:space="preserve"> population, particularly in remote settings.</w:t>
      </w:r>
      <w:r>
        <w:rPr>
          <w:vertAlign w:val="superscript"/>
        </w:rPr>
        <w:t>5,6</w:t>
      </w:r>
      <w:r>
        <w:t xml:space="preserve"> Concerns regarding travel restrictions, return of residents to remote communities, and stay-at-home orders leading to an increase in crowding and to group A streptococcal (GAS)-related diseases or crusted scabies were not observed. However, APSGN or rheumatic fever occurs several weeks after GAS infection and therefore effects may be delayed. </w:t>
      </w:r>
    </w:p>
    <w:p w14:paraId="711276FC" w14:textId="77777777" w:rsidR="00BE3869" w:rsidRDefault="00BE3869" w:rsidP="00BE3869">
      <w:r>
        <w:t xml:space="preserve">Rates of sexually transmitted infections (STI) did not change significantly from the preceding 4 months, suggesting little effect of physical distancing measures. However, data on STI testing were not available to account for differences in testing rates. </w:t>
      </w:r>
    </w:p>
    <w:p w14:paraId="6C6B9D7A" w14:textId="77777777" w:rsidR="00BE3869" w:rsidRDefault="00BE3869" w:rsidP="00BE3869">
      <w:r>
        <w:t xml:space="preserve">The incident rates of imported illnesses, such as dengue, were low in the setting of international travel restrictions. During the observed period, only 1 case of dengue was notified compared to a median of 6 cases over the same period in the previous 5 years. </w:t>
      </w:r>
    </w:p>
    <w:p w14:paraId="77853BF1" w14:textId="77777777" w:rsidR="00BE3869" w:rsidRDefault="00BE3869" w:rsidP="00BE3869">
      <w:r>
        <w:t>Limitations of this study include a possible unmeasured effect of reduced testing and healthcare presentations. It has been observed that restrictions have resulted in lower presentations to healthcare in other settings.</w:t>
      </w:r>
      <w:r>
        <w:rPr>
          <w:vertAlign w:val="superscript"/>
        </w:rPr>
        <w:t>12</w:t>
      </w:r>
      <w:r>
        <w:t xml:space="preserve"> </w:t>
      </w:r>
    </w:p>
    <w:p w14:paraId="4D5978AC" w14:textId="77777777" w:rsidR="00BE3869" w:rsidRPr="00291395" w:rsidRDefault="00BE3869" w:rsidP="00BE3869">
      <w:pPr>
        <w:pStyle w:val="Heading1"/>
      </w:pPr>
      <w:r w:rsidRPr="00291395">
        <w:t xml:space="preserve">Conclusion </w:t>
      </w:r>
    </w:p>
    <w:p w14:paraId="7C773C84" w14:textId="77777777" w:rsidR="00BE3869" w:rsidRDefault="00BE3869" w:rsidP="00BE3869">
      <w:r>
        <w:lastRenderedPageBreak/>
        <w:t xml:space="preserve">Physical distancing, and promotion of other non-pharmaceutical interventions such as hand hygiene and environmental cleaning, coincided with a decrease in enteric illnesses (except campylobacteriosis) in the NT, suggesting a possible unintended benefit. There was an increase in chlamydial conjunctivitis but may be unrelated to physical distancing measures. There was no observed increase in conditions associated with crowding such as those related to GAS infection. Ongoing surveillance of trends in non-respiratory disease notifications may provide further information regarding the influence of these public health measures, particularly with easing of restrictions and approaching future NT wet seasons. </w:t>
      </w:r>
    </w:p>
    <w:p w14:paraId="05599296" w14:textId="77777777" w:rsidR="00BE3869" w:rsidRPr="00291395" w:rsidRDefault="00BE3869" w:rsidP="00BE3869">
      <w:pPr>
        <w:pStyle w:val="Heading1"/>
      </w:pPr>
      <w:r w:rsidRPr="00291395">
        <w:t xml:space="preserve">Author details </w:t>
      </w:r>
    </w:p>
    <w:p w14:paraId="58593711" w14:textId="77777777" w:rsidR="00BE3869" w:rsidRDefault="00BE3869" w:rsidP="00BE3869">
      <w:r>
        <w:t xml:space="preserve">Dr </w:t>
      </w:r>
      <w:proofErr w:type="spellStart"/>
      <w:r>
        <w:t>Ouli</w:t>
      </w:r>
      <w:proofErr w:type="spellEnd"/>
      <w:r>
        <w:t xml:space="preserve"> Xie</w:t>
      </w:r>
      <w:r>
        <w:rPr>
          <w:vertAlign w:val="superscript"/>
        </w:rPr>
        <w:t xml:space="preserve">1,2 </w:t>
      </w:r>
      <w:r>
        <w:t>Dr Peter G Markey</w:t>
      </w:r>
      <w:r>
        <w:rPr>
          <w:vertAlign w:val="superscript"/>
        </w:rPr>
        <w:t xml:space="preserve">1 </w:t>
      </w:r>
      <w:r>
        <w:t>Mr Anthony D K Draper</w:t>
      </w:r>
      <w:r>
        <w:rPr>
          <w:vertAlign w:val="superscript"/>
        </w:rPr>
        <w:t xml:space="preserve">1,2 </w:t>
      </w:r>
      <w:r>
        <w:t>Dr Vicki L Krause</w:t>
      </w:r>
      <w:r>
        <w:rPr>
          <w:vertAlign w:val="superscript"/>
        </w:rPr>
        <w:t xml:space="preserve">1 </w:t>
      </w:r>
    </w:p>
    <w:p w14:paraId="71A27851" w14:textId="77777777" w:rsidR="00BE3869" w:rsidRPr="00291395" w:rsidRDefault="00BE3869" w:rsidP="009A2C4A">
      <w:pPr>
        <w:pStyle w:val="ListParagraph"/>
        <w:numPr>
          <w:ilvl w:val="0"/>
          <w:numId w:val="9"/>
        </w:numPr>
        <w:rPr>
          <w:rFonts w:eastAsia="Times New Roman"/>
        </w:rPr>
      </w:pPr>
      <w:r w:rsidRPr="00291395">
        <w:rPr>
          <w:rFonts w:eastAsia="Times New Roman"/>
        </w:rPr>
        <w:t xml:space="preserve">Centre for Disease Control, Public Health Unit, Top End Health Service, Darwin, Northern Territory, Australia </w:t>
      </w:r>
    </w:p>
    <w:p w14:paraId="00EE9FE9" w14:textId="77777777" w:rsidR="00BE3869" w:rsidRPr="00291395" w:rsidRDefault="00BE3869" w:rsidP="009A2C4A">
      <w:pPr>
        <w:pStyle w:val="ListParagraph"/>
        <w:numPr>
          <w:ilvl w:val="0"/>
          <w:numId w:val="9"/>
        </w:numPr>
        <w:rPr>
          <w:rFonts w:eastAsia="Times New Roman"/>
        </w:rPr>
      </w:pPr>
      <w:r w:rsidRPr="00291395">
        <w:rPr>
          <w:rFonts w:eastAsia="Times New Roman"/>
        </w:rPr>
        <w:t xml:space="preserve">Menzies School of Health Research, Darwin, Northern Territory, Australia </w:t>
      </w:r>
    </w:p>
    <w:p w14:paraId="5D795116" w14:textId="77777777" w:rsidR="00BE3869" w:rsidRPr="00291395" w:rsidRDefault="00BE3869" w:rsidP="00BE3869">
      <w:pPr>
        <w:pStyle w:val="Heading2"/>
      </w:pPr>
      <w:r w:rsidRPr="00291395">
        <w:t xml:space="preserve">Corresponding author </w:t>
      </w:r>
    </w:p>
    <w:p w14:paraId="12288F9D" w14:textId="77777777" w:rsidR="00BE3869" w:rsidRDefault="00BE3869" w:rsidP="00BE3869">
      <w:r>
        <w:t xml:space="preserve">Dr </w:t>
      </w:r>
      <w:proofErr w:type="spellStart"/>
      <w:r>
        <w:t>Ouli</w:t>
      </w:r>
      <w:proofErr w:type="spellEnd"/>
      <w:r>
        <w:t xml:space="preserve"> Xie Centre for Disease Control, Public Health Unit, Top End Health Service, PO Box 45096, Casuarina NT 0811 Telephone: +61 8 8922 8888 Fax: +61 8 8922 8310 Email: ouli.xie@nt.gov.au </w:t>
      </w:r>
    </w:p>
    <w:p w14:paraId="391A3814" w14:textId="77777777" w:rsidR="00BE3869" w:rsidRPr="00291395" w:rsidRDefault="00BE3869" w:rsidP="00BE3869">
      <w:pPr>
        <w:pStyle w:val="Heading1"/>
      </w:pPr>
      <w:r w:rsidRPr="00291395">
        <w:t xml:space="preserve">References </w:t>
      </w:r>
    </w:p>
    <w:p w14:paraId="3DE61A07"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World Health Organization (WHO). WHO Director-General’s opening remarks at the media briefing on COVID-19 - 11 March 2020. [Internet.] Geneva: WHO; 11 March 2020. [Accessed on 26 July 2020.] Available from: https://www.who.int/dg/speeches/detail/who-director-general-s-opening-remarks-at-the-media-briefing-on-covid-19---11-march-2020. </w:t>
      </w:r>
    </w:p>
    <w:p w14:paraId="3F815250"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WHO. Transmission of SARS-CoV-2: implications for infection prevention precautions. Scientific brief. [Internet.] Geneva: WHO; 9 July 2020. [Accessed on 26 July 2020.] Available from: https://www.who.int/publications/i/item/modes-of-transmission-of-virus-causing-covid-19-implications-for-ipc-precaution-recommendations. </w:t>
      </w:r>
    </w:p>
    <w:p w14:paraId="5F3FA3BF"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Northern Territory Government. Coronavirus (COVID-19): Chief Health Officer Directions. [Internet.] Darwin: Northern Territory Government; 2020. [Accessed on 26 July 2020.] Available from: https://coronavirus.nt.gov.au/chief-health-officer-directions. </w:t>
      </w:r>
    </w:p>
    <w:p w14:paraId="2779CAAD"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Australian Bureau of Statistics. 2016 Census </w:t>
      </w:r>
      <w:proofErr w:type="spellStart"/>
      <w:r w:rsidRPr="00291395">
        <w:rPr>
          <w:rFonts w:eastAsia="Times New Roman"/>
        </w:rPr>
        <w:t>QuickStats</w:t>
      </w:r>
      <w:proofErr w:type="spellEnd"/>
      <w:r w:rsidRPr="00291395">
        <w:rPr>
          <w:rFonts w:eastAsia="Times New Roman"/>
        </w:rPr>
        <w:t xml:space="preserve">: Northern Territory. [Internet.] Canberra: Australian </w:t>
      </w:r>
      <w:proofErr w:type="spellStart"/>
      <w:r w:rsidRPr="00291395">
        <w:rPr>
          <w:rFonts w:eastAsia="Times New Roman"/>
        </w:rPr>
        <w:t>Burea</w:t>
      </w:r>
      <w:proofErr w:type="spellEnd"/>
      <w:r w:rsidRPr="00291395">
        <w:rPr>
          <w:rFonts w:eastAsia="Times New Roman"/>
        </w:rPr>
        <w:t xml:space="preserve"> of Statistics; 12 July 2019. [Accessed on 26 July 2020.] Available from: https://quickstats.censusdata.abs.gov.au/census_services/getproduct/census/2016/quickstat/7. </w:t>
      </w:r>
    </w:p>
    <w:p w14:paraId="06612518"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Draper A., Markey P. </w:t>
      </w:r>
      <w:r w:rsidRPr="00291395">
        <w:rPr>
          <w:rStyle w:val="Emphasis"/>
          <w:rFonts w:eastAsia="Times New Roman"/>
          <w:b w:val="0"/>
        </w:rPr>
        <w:t>Shigella flexneri</w:t>
      </w:r>
      <w:r w:rsidRPr="00291395">
        <w:rPr>
          <w:rFonts w:eastAsia="Times New Roman"/>
        </w:rPr>
        <w:t xml:space="preserve"> 2b in the Northern Territory in 2017. </w:t>
      </w:r>
      <w:r w:rsidRPr="00291395">
        <w:rPr>
          <w:rStyle w:val="Emphasis"/>
          <w:rFonts w:eastAsia="Times New Roman"/>
          <w:b w:val="0"/>
        </w:rPr>
        <w:t>N T Dis Control Bull</w:t>
      </w:r>
      <w:r w:rsidRPr="00291395">
        <w:rPr>
          <w:rFonts w:eastAsia="Times New Roman"/>
        </w:rPr>
        <w:t xml:space="preserve">. 2017;24(4):1–6. </w:t>
      </w:r>
    </w:p>
    <w:p w14:paraId="57D8BFD1"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Boyd R, Patel M, Currie BJ, Holt DC, Harris T, Krause V. High burden of invasive group A streptococcal disease in the Northern Territory of Australia. </w:t>
      </w:r>
      <w:r w:rsidRPr="00291395">
        <w:rPr>
          <w:rStyle w:val="Emphasis"/>
          <w:rFonts w:eastAsia="Times New Roman"/>
          <w:b w:val="0"/>
        </w:rPr>
        <w:t>Epidemiol Infect</w:t>
      </w:r>
      <w:r w:rsidRPr="00291395">
        <w:rPr>
          <w:rFonts w:eastAsia="Times New Roman"/>
        </w:rPr>
        <w:t xml:space="preserve">. 2016;144(5):1018–27. </w:t>
      </w:r>
    </w:p>
    <w:p w14:paraId="31439450"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Cheng AC, Currie BJ. Melioidosis: epidemiology, pathophysiology, and management. </w:t>
      </w:r>
      <w:r w:rsidRPr="00291395">
        <w:rPr>
          <w:rStyle w:val="Emphasis"/>
          <w:rFonts w:eastAsia="Times New Roman"/>
          <w:b w:val="0"/>
        </w:rPr>
        <w:t>Clin Microbiol Rev</w:t>
      </w:r>
      <w:r w:rsidRPr="00291395">
        <w:rPr>
          <w:rFonts w:eastAsia="Times New Roman"/>
        </w:rPr>
        <w:t xml:space="preserve">. 2005;18(2):383–416. </w:t>
      </w:r>
    </w:p>
    <w:p w14:paraId="089D7D4F" w14:textId="77777777" w:rsidR="00BE3869" w:rsidRPr="00291395" w:rsidRDefault="00BE3869" w:rsidP="00BE3869">
      <w:pPr>
        <w:pStyle w:val="ListParagraph"/>
        <w:numPr>
          <w:ilvl w:val="0"/>
          <w:numId w:val="8"/>
        </w:numPr>
        <w:rPr>
          <w:rFonts w:eastAsia="Times New Roman"/>
        </w:rPr>
      </w:pPr>
      <w:proofErr w:type="spellStart"/>
      <w:r w:rsidRPr="00291395">
        <w:rPr>
          <w:rFonts w:eastAsia="Times New Roman"/>
        </w:rPr>
        <w:t>Quilty</w:t>
      </w:r>
      <w:proofErr w:type="spellEnd"/>
      <w:r w:rsidRPr="00291395">
        <w:rPr>
          <w:rFonts w:eastAsia="Times New Roman"/>
        </w:rPr>
        <w:t xml:space="preserve"> S, Kaye TS, Currie BJ. Crusted scabies in northern and central Australia – now is the time for eradication. </w:t>
      </w:r>
      <w:r w:rsidRPr="00291395">
        <w:rPr>
          <w:rStyle w:val="Emphasis"/>
          <w:rFonts w:eastAsia="Times New Roman"/>
          <w:b w:val="0"/>
        </w:rPr>
        <w:t>Med J Aust</w:t>
      </w:r>
      <w:r w:rsidRPr="00291395">
        <w:rPr>
          <w:rFonts w:eastAsia="Times New Roman"/>
        </w:rPr>
        <w:t xml:space="preserve">. 2017;206(2):96. </w:t>
      </w:r>
    </w:p>
    <w:p w14:paraId="1CDCF4AD"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Cowling BJ, Ali ST, Ng TWY, Tsang TK, Li JCM, Fong MW et al. Impact assessment of non-pharmaceutical interventions against coronavirus disease 2019 and influenza in Hong Kong: an observational study. </w:t>
      </w:r>
      <w:r w:rsidRPr="00291395">
        <w:rPr>
          <w:rStyle w:val="Emphasis"/>
          <w:rFonts w:eastAsia="Times New Roman"/>
          <w:b w:val="0"/>
        </w:rPr>
        <w:t>Lancet Public Health</w:t>
      </w:r>
      <w:r w:rsidRPr="00291395">
        <w:rPr>
          <w:rFonts w:eastAsia="Times New Roman"/>
        </w:rPr>
        <w:t xml:space="preserve">. 2020;5(5):e279–88. </w:t>
      </w:r>
    </w:p>
    <w:p w14:paraId="63A3546E" w14:textId="77777777" w:rsidR="00BE3869" w:rsidRPr="00291395" w:rsidRDefault="00BE3869" w:rsidP="00BE3869">
      <w:pPr>
        <w:pStyle w:val="ListParagraph"/>
        <w:numPr>
          <w:ilvl w:val="0"/>
          <w:numId w:val="8"/>
        </w:numPr>
        <w:rPr>
          <w:rFonts w:eastAsia="Times New Roman"/>
        </w:rPr>
      </w:pPr>
      <w:r w:rsidRPr="00291395">
        <w:rPr>
          <w:rFonts w:eastAsia="Times New Roman"/>
        </w:rPr>
        <w:lastRenderedPageBreak/>
        <w:t xml:space="preserve">Northern Territory Government. Northern Territory Legislation. </w:t>
      </w:r>
      <w:r w:rsidRPr="00291395">
        <w:rPr>
          <w:rStyle w:val="Emphasis"/>
          <w:rFonts w:eastAsia="Times New Roman"/>
          <w:b w:val="0"/>
        </w:rPr>
        <w:t>Public and Environmental Health Act 2011</w:t>
      </w:r>
      <w:r w:rsidRPr="00291395">
        <w:rPr>
          <w:rFonts w:eastAsia="Times New Roman"/>
        </w:rPr>
        <w:t xml:space="preserve">. [Internet.] Darwin: Northern Territory Government; 2020. [Accessed on 26 July 2020.] Available from: https://legislation.nt.gov.au/en/Legislation/PUBLIC-AND-ENVIRONMENTAL-HEALTH-ACT-2011. </w:t>
      </w:r>
    </w:p>
    <w:p w14:paraId="0BEAFA06"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National Trachoma Surveillance and Reporting Unit. </w:t>
      </w:r>
      <w:r w:rsidRPr="00291395">
        <w:rPr>
          <w:rStyle w:val="Emphasis"/>
          <w:rFonts w:eastAsia="Times New Roman"/>
          <w:b w:val="0"/>
        </w:rPr>
        <w:t>Australian Trachoma Surveillance Report 2018</w:t>
      </w:r>
      <w:r w:rsidRPr="00291395">
        <w:rPr>
          <w:rFonts w:eastAsia="Times New Roman"/>
        </w:rPr>
        <w:t xml:space="preserve">. Sydney: The Kirby Institute, UNSW; 2019. Available from: https://www1.health.gov.au/internet/main/publishing.nsf/Content/1B9028E9FD71332ACA257BF00018CCD6/$File/Australian%20Trachoma%20Surveillance%20Report%202018.pdf. </w:t>
      </w:r>
    </w:p>
    <w:p w14:paraId="50866789" w14:textId="77777777" w:rsidR="00BE3869" w:rsidRPr="00291395" w:rsidRDefault="00BE3869" w:rsidP="00BE3869">
      <w:pPr>
        <w:pStyle w:val="ListParagraph"/>
        <w:numPr>
          <w:ilvl w:val="0"/>
          <w:numId w:val="8"/>
        </w:numPr>
        <w:rPr>
          <w:rFonts w:eastAsia="Times New Roman"/>
        </w:rPr>
      </w:pPr>
      <w:r w:rsidRPr="00291395">
        <w:rPr>
          <w:rFonts w:eastAsia="Times New Roman"/>
        </w:rPr>
        <w:t xml:space="preserve">De Filippo O, </w:t>
      </w:r>
      <w:proofErr w:type="spellStart"/>
      <w:r w:rsidRPr="00291395">
        <w:rPr>
          <w:rFonts w:eastAsia="Times New Roman"/>
        </w:rPr>
        <w:t>D’Ascenzo</w:t>
      </w:r>
      <w:proofErr w:type="spellEnd"/>
      <w:r w:rsidRPr="00291395">
        <w:rPr>
          <w:rFonts w:eastAsia="Times New Roman"/>
        </w:rPr>
        <w:t xml:space="preserve"> F, Angelini F, </w:t>
      </w:r>
      <w:proofErr w:type="spellStart"/>
      <w:r w:rsidRPr="00291395">
        <w:rPr>
          <w:rFonts w:eastAsia="Times New Roman"/>
        </w:rPr>
        <w:t>Bocchino</w:t>
      </w:r>
      <w:proofErr w:type="spellEnd"/>
      <w:r w:rsidRPr="00291395">
        <w:rPr>
          <w:rFonts w:eastAsia="Times New Roman"/>
        </w:rPr>
        <w:t xml:space="preserve"> PP, </w:t>
      </w:r>
      <w:proofErr w:type="spellStart"/>
      <w:r w:rsidRPr="00291395">
        <w:rPr>
          <w:rFonts w:eastAsia="Times New Roman"/>
        </w:rPr>
        <w:t>Conrotto</w:t>
      </w:r>
      <w:proofErr w:type="spellEnd"/>
      <w:r w:rsidRPr="00291395">
        <w:rPr>
          <w:rFonts w:eastAsia="Times New Roman"/>
        </w:rPr>
        <w:t xml:space="preserve"> F, </w:t>
      </w:r>
      <w:proofErr w:type="spellStart"/>
      <w:r w:rsidRPr="00291395">
        <w:rPr>
          <w:rFonts w:eastAsia="Times New Roman"/>
        </w:rPr>
        <w:t>Saglietto</w:t>
      </w:r>
      <w:proofErr w:type="spellEnd"/>
      <w:r w:rsidRPr="00291395">
        <w:rPr>
          <w:rFonts w:eastAsia="Times New Roman"/>
        </w:rPr>
        <w:t xml:space="preserve"> A et al. Reduced rate of hospital admissions for ACS during Covid-19 outbreak in northern Italy. </w:t>
      </w:r>
      <w:r w:rsidRPr="00291395">
        <w:rPr>
          <w:rStyle w:val="Emphasis"/>
          <w:rFonts w:eastAsia="Times New Roman"/>
          <w:b w:val="0"/>
        </w:rPr>
        <w:t>N Engl J Med</w:t>
      </w:r>
      <w:r w:rsidRPr="00291395">
        <w:rPr>
          <w:rFonts w:eastAsia="Times New Roman"/>
        </w:rPr>
        <w:t>. 2020;383(1):88–9.</w:t>
      </w:r>
    </w:p>
    <w:p w14:paraId="4F3EC4D1" w14:textId="77777777" w:rsidR="008B5348" w:rsidRDefault="008B5348">
      <w:pPr>
        <w:rPr>
          <w:rStyle w:val="A10"/>
        </w:rPr>
        <w:sectPr w:rsidR="008B534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14:paraId="36115BC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2FB5ABA"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FD48590" w14:textId="77777777" w:rsidR="000A5F42" w:rsidRPr="000606CC" w:rsidRDefault="000A5F42" w:rsidP="000A5F42">
      <w:pPr>
        <w:pStyle w:val="NoSpacing"/>
        <w:rPr>
          <w:rStyle w:val="URI"/>
          <w:rFonts w:cstheme="minorHAnsi"/>
          <w:sz w:val="20"/>
          <w:szCs w:val="18"/>
        </w:rPr>
      </w:pPr>
    </w:p>
    <w:p w14:paraId="67149FA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D3EC329" w14:textId="77777777" w:rsidR="000A5F42" w:rsidRPr="000606CC" w:rsidRDefault="000A5F42" w:rsidP="000A5F42">
      <w:pPr>
        <w:pStyle w:val="NoSpacing"/>
        <w:rPr>
          <w:rStyle w:val="Strong"/>
          <w:rFonts w:cstheme="minorHAnsi"/>
          <w:sz w:val="20"/>
          <w:szCs w:val="18"/>
        </w:rPr>
      </w:pPr>
    </w:p>
    <w:p w14:paraId="0BD1B36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06DCDA3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1ABB78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3ADCB6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0D612230" w14:textId="77777777" w:rsidR="000A5F42" w:rsidRPr="000606CC" w:rsidRDefault="000A5F42" w:rsidP="000A5F42">
      <w:pPr>
        <w:pStyle w:val="NoSpacing"/>
        <w:rPr>
          <w:rStyle w:val="Strong"/>
          <w:rFonts w:cstheme="minorHAnsi"/>
          <w:sz w:val="20"/>
          <w:szCs w:val="18"/>
        </w:rPr>
      </w:pPr>
    </w:p>
    <w:p w14:paraId="626930E6" w14:textId="1CFF2EE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885E0DC" w14:textId="77777777" w:rsidR="000A5F42" w:rsidRPr="000606CC" w:rsidRDefault="000A5F42" w:rsidP="000A5F42">
      <w:pPr>
        <w:pStyle w:val="NoSpacing"/>
        <w:rPr>
          <w:rStyle w:val="Strong"/>
          <w:rFonts w:cstheme="minorHAnsi"/>
          <w:sz w:val="20"/>
          <w:szCs w:val="18"/>
        </w:rPr>
      </w:pPr>
    </w:p>
    <w:p w14:paraId="43105B0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581B067" w14:textId="77777777" w:rsidR="000A5F42" w:rsidRPr="000606CC" w:rsidRDefault="000A5F42" w:rsidP="000A5F42">
      <w:pPr>
        <w:pStyle w:val="NoSpacing"/>
        <w:rPr>
          <w:rStyle w:val="Strong"/>
          <w:rFonts w:cstheme="minorHAnsi"/>
          <w:sz w:val="20"/>
          <w:szCs w:val="18"/>
        </w:rPr>
      </w:pPr>
    </w:p>
    <w:p w14:paraId="3B593F7A" w14:textId="2B333AD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9E4FFEA" w14:textId="77777777" w:rsidR="000A5F42" w:rsidRPr="000606CC" w:rsidRDefault="000A5F42" w:rsidP="000A5F42">
      <w:pPr>
        <w:pStyle w:val="NoSpacing"/>
        <w:rPr>
          <w:rStyle w:val="Strong"/>
          <w:rFonts w:cstheme="minorHAnsi"/>
          <w:sz w:val="20"/>
          <w:szCs w:val="18"/>
        </w:rPr>
      </w:pPr>
    </w:p>
    <w:p w14:paraId="113A909F" w14:textId="7E225AEC"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ECAEAB9" w14:textId="155C9B2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199B6F36" w14:textId="77777777" w:rsidR="000A5F42" w:rsidRPr="000606CC" w:rsidRDefault="000A5F42" w:rsidP="000A5F42">
      <w:pPr>
        <w:pStyle w:val="NoSpacing"/>
        <w:pBdr>
          <w:bottom w:val="single" w:sz="6" w:space="1" w:color="auto"/>
        </w:pBdr>
        <w:rPr>
          <w:rStyle w:val="Strong"/>
          <w:rFonts w:cstheme="minorHAnsi"/>
          <w:sz w:val="12"/>
          <w:szCs w:val="18"/>
        </w:rPr>
      </w:pPr>
    </w:p>
    <w:p w14:paraId="7B062056" w14:textId="77777777" w:rsidR="000A5F42" w:rsidRPr="000606CC" w:rsidRDefault="000A5F42" w:rsidP="000A5F42">
      <w:pPr>
        <w:pStyle w:val="NoSpacing"/>
        <w:rPr>
          <w:rFonts w:cstheme="minorHAnsi"/>
          <w:sz w:val="20"/>
          <w:szCs w:val="18"/>
        </w:rPr>
      </w:pPr>
    </w:p>
    <w:p w14:paraId="35138C8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A024E70" w14:textId="77777777" w:rsidR="000A5F42" w:rsidRPr="000606CC" w:rsidRDefault="000A5F42" w:rsidP="000A5F42">
      <w:pPr>
        <w:pStyle w:val="NoSpacing"/>
        <w:rPr>
          <w:rFonts w:cstheme="minorHAnsi"/>
          <w:sz w:val="20"/>
          <w:szCs w:val="18"/>
        </w:rPr>
      </w:pPr>
    </w:p>
    <w:p w14:paraId="5587F82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C47C55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486B486B" w14:textId="21D3A70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6C5FD39" w14:textId="77777777" w:rsidR="000A5F42" w:rsidRPr="000606CC" w:rsidRDefault="000A5F42" w:rsidP="000A5F42">
      <w:pPr>
        <w:pStyle w:val="NoSpacing"/>
        <w:rPr>
          <w:rFonts w:cstheme="minorHAnsi"/>
          <w:sz w:val="20"/>
          <w:szCs w:val="18"/>
        </w:rPr>
      </w:pPr>
    </w:p>
    <w:p w14:paraId="0490511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F82DF74" w14:textId="40F2D09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AC33CA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3EFAD8D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85E7C5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BD4D83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F77A22D" w14:textId="77777777" w:rsidR="000A5F42" w:rsidRPr="000606CC" w:rsidRDefault="000A5F42" w:rsidP="000A5F42">
      <w:pPr>
        <w:pStyle w:val="NoSpacing"/>
        <w:rPr>
          <w:rStyle w:val="Strong"/>
          <w:rFonts w:cstheme="minorHAnsi"/>
          <w:sz w:val="20"/>
          <w:szCs w:val="18"/>
        </w:rPr>
      </w:pPr>
    </w:p>
    <w:p w14:paraId="3B957D4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0F3D9F7" w14:textId="77777777" w:rsidR="000A5F42" w:rsidRPr="000606CC" w:rsidRDefault="000A5F42" w:rsidP="000A5F42">
      <w:pPr>
        <w:pStyle w:val="NoSpacing"/>
        <w:rPr>
          <w:rStyle w:val="Strong"/>
          <w:rFonts w:cstheme="minorHAnsi"/>
          <w:sz w:val="20"/>
          <w:szCs w:val="18"/>
        </w:rPr>
      </w:pPr>
    </w:p>
    <w:p w14:paraId="55FDDC61" w14:textId="3B02446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6FC54A0" w14:textId="77777777" w:rsidR="000A5F42" w:rsidRPr="000606CC" w:rsidRDefault="000A5F42" w:rsidP="000A5F42">
      <w:pPr>
        <w:pStyle w:val="NoSpacing"/>
        <w:rPr>
          <w:rStyle w:val="URI"/>
          <w:rFonts w:cstheme="minorHAnsi"/>
          <w:sz w:val="20"/>
          <w:szCs w:val="18"/>
        </w:rPr>
      </w:pPr>
    </w:p>
    <w:p w14:paraId="19473A5F" w14:textId="2A60983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5C97037C"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FAC5C" w14:textId="77777777" w:rsidR="00A23BB5" w:rsidRDefault="00A23BB5" w:rsidP="00E54DBA">
      <w:r>
        <w:separator/>
      </w:r>
    </w:p>
    <w:p w14:paraId="2A744447" w14:textId="77777777" w:rsidR="00A23BB5" w:rsidRDefault="00A23BB5"/>
    <w:p w14:paraId="496C1F33" w14:textId="77777777" w:rsidR="00A23BB5" w:rsidRDefault="00A23BB5" w:rsidP="008714B0"/>
  </w:endnote>
  <w:endnote w:type="continuationSeparator" w:id="0">
    <w:p w14:paraId="16A05DF8" w14:textId="77777777" w:rsidR="00A23BB5" w:rsidRDefault="00A23BB5" w:rsidP="00E54DBA">
      <w:r>
        <w:continuationSeparator/>
      </w:r>
    </w:p>
    <w:p w14:paraId="2141B1E3" w14:textId="77777777" w:rsidR="00A23BB5" w:rsidRDefault="00A23BB5"/>
    <w:p w14:paraId="70520D2E" w14:textId="77777777" w:rsidR="00A23BB5" w:rsidRDefault="00A23BB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D90A" w14:textId="77777777" w:rsidR="00BE3869" w:rsidRPr="0042435E" w:rsidRDefault="00BE3869"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A2C4A">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A2C4A">
      <w:rPr>
        <w:noProof/>
        <w:sz w:val="18"/>
      </w:rPr>
      <w:t>8</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29139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B6C47">
      <w:rPr>
        <w:sz w:val="18"/>
      </w:rPr>
      <w:t>https://doi.org/10.33321/cdi.2020.44.90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DB6C47">
      <w:rPr>
        <w:sz w:val="18"/>
      </w:rPr>
      <w:t>25/11/2020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E4C5" w14:textId="77777777" w:rsidR="00BE3869" w:rsidRPr="00BB5378" w:rsidRDefault="00BE3869"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23BB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A23BB5">
      <w:rPr>
        <w:noProof/>
        <w:sz w:val="18"/>
      </w:rPr>
      <w:t>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291395">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DB6C47">
      <w:rPr>
        <w:sz w:val="18"/>
      </w:rPr>
      <w:t>https://doi.org/10.33321/cdi.2020.44.90</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DB6C47">
      <w:rPr>
        <w:sz w:val="18"/>
      </w:rPr>
      <w:t>25/11/2020</w:t>
    </w:r>
    <w:r>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535C"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A2C4A">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A2C4A">
      <w:rPr>
        <w:noProof/>
        <w:sz w:val="18"/>
      </w:rPr>
      <w:t>8</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E3869">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E3869">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B6C47">
      <w:rPr>
        <w:sz w:val="18"/>
      </w:rPr>
      <w:t>https://doi.org/10.33321/cdi.2020.44.90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B6C47">
      <w:rPr>
        <w:sz w:val="18"/>
      </w:rPr>
      <w:t>25/11/2020</w:t>
    </w:r>
    <w:r w:rsidR="00CE342B">
      <w:rPr>
        <w:sz w:val="18"/>
      </w:rPr>
      <w:fldChar w:fldCharType="end"/>
    </w:r>
    <w:r>
      <w:rPr>
        <w:sz w:val="18"/>
      </w:rPr>
      <w:ptab w:relativeTo="margin" w:alignment="right" w:leader="none"/>
    </w:r>
    <w:r w:rsidRPr="00155582">
      <w:rPr>
        <w:sz w:val="18"/>
      </w:rPr>
      <w:t>health.gov.au/cdi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D76B"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A2C4A">
      <w:rPr>
        <w:noProof/>
        <w:sz w:val="18"/>
      </w:rPr>
      <w:t>5</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A2C4A">
      <w:rPr>
        <w:noProof/>
        <w:sz w:val="18"/>
      </w:rPr>
      <w:t>8</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E3869">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E3869">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B6C47">
      <w:rPr>
        <w:sz w:val="18"/>
      </w:rPr>
      <w:t>https://doi.org/10.33321/cdi.2020.44.90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DB6C47">
      <w:rPr>
        <w:sz w:val="18"/>
      </w:rPr>
      <w:t>25/11/2020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95FF" w14:textId="77777777" w:rsidR="00A23BB5" w:rsidRDefault="00A23BB5" w:rsidP="00E54DBA">
      <w:r>
        <w:separator/>
      </w:r>
    </w:p>
  </w:footnote>
  <w:footnote w:type="continuationSeparator" w:id="0">
    <w:p w14:paraId="602B3198" w14:textId="77777777" w:rsidR="00A23BB5" w:rsidRDefault="00A23BB5" w:rsidP="00E54DBA">
      <w:r>
        <w:continuationSeparator/>
      </w:r>
    </w:p>
  </w:footnote>
  <w:footnote w:type="continuationNotice" w:id="1">
    <w:p w14:paraId="3991D25B" w14:textId="77777777" w:rsidR="00A23BB5" w:rsidRPr="00224EFF" w:rsidRDefault="00A23BB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DB11" w14:textId="77777777" w:rsidR="00BE3869" w:rsidRPr="00A153B6" w:rsidRDefault="00501CD1" w:rsidP="00A153B6">
    <w:pPr>
      <w:pStyle w:val="Header"/>
      <w:pBdr>
        <w:bottom w:val="single" w:sz="6" w:space="1" w:color="auto"/>
      </w:pBdr>
    </w:pPr>
    <w:sdt>
      <w:sdtPr>
        <w:alias w:val="Category"/>
        <w:tag w:val=""/>
        <w:id w:val="-1131320672"/>
        <w:dataBinding w:prefixMappings="xmlns:ns0='http://purl.org/dc/elements/1.1/' xmlns:ns1='http://schemas.openxmlformats.org/package/2006/metadata/core-properties' " w:xpath="/ns1:coreProperties[1]/ns1:category[1]" w:storeItemID="{6C3C8BC8-F283-45AE-878A-BAB7291924A1}"/>
        <w:text/>
      </w:sdtPr>
      <w:sdtEndPr/>
      <w:sdtContent>
        <w:r w:rsidR="00507558">
          <w:t>Short report</w:t>
        </w:r>
      </w:sdtContent>
    </w:sdt>
    <w:r w:rsidR="00BE3869">
      <w:ptab w:relativeTo="margin" w:alignment="right" w:leader="none"/>
    </w:r>
    <w:r w:rsidR="00BE3869"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F5C1" w14:textId="77777777" w:rsidR="00257484" w:rsidRPr="00A153B6" w:rsidRDefault="00501CD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07558">
          <w:t>Short report</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8141"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04880BD"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2D"/>
    <w:multiLevelType w:val="hybridMultilevel"/>
    <w:tmpl w:val="483A4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923AA2"/>
    <w:multiLevelType w:val="hybridMultilevel"/>
    <w:tmpl w:val="14CC1F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EB4AC3"/>
    <w:multiLevelType w:val="hybridMultilevel"/>
    <w:tmpl w:val="A904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4512854">
    <w:abstractNumId w:val="2"/>
  </w:num>
  <w:num w:numId="2" w16cid:durableId="1867329628">
    <w:abstractNumId w:val="3"/>
  </w:num>
  <w:num w:numId="3" w16cid:durableId="1607537179">
    <w:abstractNumId w:val="4"/>
  </w:num>
  <w:num w:numId="4" w16cid:durableId="35933357">
    <w:abstractNumId w:val="1"/>
  </w:num>
  <w:num w:numId="5" w16cid:durableId="1199850676">
    <w:abstractNumId w:val="6"/>
  </w:num>
  <w:num w:numId="6" w16cid:durableId="522402905">
    <w:abstractNumId w:val="7"/>
  </w:num>
  <w:num w:numId="7" w16cid:durableId="1665549640">
    <w:abstractNumId w:val="8"/>
  </w:num>
  <w:num w:numId="8" w16cid:durableId="184245757">
    <w:abstractNumId w:val="0"/>
  </w:num>
  <w:num w:numId="9" w16cid:durableId="1900440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69"/>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65CDE"/>
    <w:rsid w:val="00073D77"/>
    <w:rsid w:val="00081655"/>
    <w:rsid w:val="000864E0"/>
    <w:rsid w:val="000969B3"/>
    <w:rsid w:val="000A5F42"/>
    <w:rsid w:val="000D4B4D"/>
    <w:rsid w:val="00113D58"/>
    <w:rsid w:val="001200CB"/>
    <w:rsid w:val="001378A3"/>
    <w:rsid w:val="00140BB4"/>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1CD1"/>
    <w:rsid w:val="00507558"/>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44388"/>
    <w:rsid w:val="00656427"/>
    <w:rsid w:val="00660255"/>
    <w:rsid w:val="006971F3"/>
    <w:rsid w:val="006A7FC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2C4A"/>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3BB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3869"/>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1E25"/>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B6C47"/>
    <w:rsid w:val="00DC24E5"/>
    <w:rsid w:val="00DC6705"/>
    <w:rsid w:val="00DD2DE8"/>
    <w:rsid w:val="00DE38B4"/>
    <w:rsid w:val="00DE5D02"/>
    <w:rsid w:val="00E005A9"/>
    <w:rsid w:val="00E1166E"/>
    <w:rsid w:val="00E24DC0"/>
    <w:rsid w:val="00E2519C"/>
    <w:rsid w:val="00E25F2A"/>
    <w:rsid w:val="00E34085"/>
    <w:rsid w:val="00E41455"/>
    <w:rsid w:val="00E42AD2"/>
    <w:rsid w:val="00E50856"/>
    <w:rsid w:val="00E5267A"/>
    <w:rsid w:val="00E538CC"/>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AFB225"/>
  <w15:docId w15:val="{3F31D5AA-A85C-4FD8-88B8-8C529414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E5267A"/>
    <w:rPr>
      <w:sz w:val="16"/>
      <w:szCs w:val="16"/>
    </w:rPr>
  </w:style>
  <w:style w:type="paragraph" w:styleId="CommentText">
    <w:name w:val="annotation text"/>
    <w:basedOn w:val="Normal"/>
    <w:link w:val="CommentTextChar"/>
    <w:uiPriority w:val="99"/>
    <w:semiHidden/>
    <w:unhideWhenUsed/>
    <w:rsid w:val="00E5267A"/>
    <w:pPr>
      <w:spacing w:line="240" w:lineRule="auto"/>
    </w:pPr>
    <w:rPr>
      <w:sz w:val="20"/>
      <w:szCs w:val="20"/>
    </w:rPr>
  </w:style>
  <w:style w:type="character" w:customStyle="1" w:styleId="CommentTextChar">
    <w:name w:val="Comment Text Char"/>
    <w:basedOn w:val="DefaultParagraphFont"/>
    <w:link w:val="CommentText"/>
    <w:uiPriority w:val="99"/>
    <w:semiHidden/>
    <w:rsid w:val="00E5267A"/>
    <w:rPr>
      <w:sz w:val="20"/>
      <w:szCs w:val="20"/>
    </w:rPr>
  </w:style>
  <w:style w:type="paragraph" w:styleId="CommentSubject">
    <w:name w:val="annotation subject"/>
    <w:basedOn w:val="CommentText"/>
    <w:next w:val="CommentText"/>
    <w:link w:val="CommentSubjectChar"/>
    <w:uiPriority w:val="99"/>
    <w:semiHidden/>
    <w:unhideWhenUsed/>
    <w:rsid w:val="00E5267A"/>
    <w:rPr>
      <w:b/>
      <w:bCs/>
    </w:rPr>
  </w:style>
  <w:style w:type="character" w:customStyle="1" w:styleId="CommentSubjectChar">
    <w:name w:val="Comment Subject Char"/>
    <w:basedOn w:val="CommentTextChar"/>
    <w:link w:val="CommentSubject"/>
    <w:uiPriority w:val="99"/>
    <w:semiHidden/>
    <w:rsid w:val="00E52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health.gov.au/cdn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EF0CCB-7955-49A5-8C2E-CB650422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0</TotalTime>
  <Pages>8</Pages>
  <Words>2496</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Communicable Diseases Intelligence 2020 - Physical distancing and non-respiratory notifiable diseases in the Northern Territory, March-May 2020</vt:lpstr>
    </vt:vector>
  </TitlesOfParts>
  <Company>Australian Government, Department of Health</Company>
  <LinksUpToDate>false</LinksUpToDate>
  <CharactersWithSpaces>18077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Physical distancing and non-respiratory notifiable diseases in the Northern Territory, March-May 2020</dc:title>
  <dc:subject>It is unknown what effect physical distancing measures introduced to reduce the spread of Coronavirus Disease 2019 (COVID-19) have on non-respiratory communicable diseases. This report compares the incidence of notifiable non-respiratory communicable diseases in the Northern Territory from 15 March 2020 to 15 May 2020, the period of most restrictive physical distancing, with two control periods: (i) the 4 months immediately prior (wet season), 15 November 2019 to 14 March 2020, and (ii) the same period of 15 March to 15 May from the 5 years prior.</dc:subject>
  <dc:creator>Ouli Xie;Peter G Markey;Anthony D K Draper;Vicki L Krause</dc:creator>
  <cp:keywords>epidemiology; COVID-19; physical distancing; Northern Territory; Australia</cp:keywords>
  <dc:description>© Commonwealth of Australia CC BY-NC-ND ISSN: 2209-6051 (Online)</dc:description>
  <cp:lastPrinted>2018-05-10T02:19:00Z</cp:lastPrinted>
  <dcterms:created xsi:type="dcterms:W3CDTF">2024-08-29T02:52:00Z</dcterms:created>
  <dcterms:modified xsi:type="dcterms:W3CDTF">2024-08-29T02:52:00Z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25/11/2020</vt:lpwstr>
  </property>
  <property fmtid="{D5CDD505-2E9C-101B-9397-08002B2CF9AE}" pid="5" name="DOI">
    <vt:lpwstr>https://doi.org/10.33321/cdi.2020.44.90</vt:lpwstr>
  </property>
</Properties>
</file>