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65BB2" w14:textId="77777777" w:rsidR="0035117A" w:rsidRPr="00001D62" w:rsidRDefault="0035117A" w:rsidP="00001D62">
      <w:pPr>
        <w:pStyle w:val="Title"/>
      </w:pPr>
      <w:r w:rsidRPr="00001D62">
        <w:t>Gaps in maternal influenza vaccine uptake in Northern Territory: A need for a year-round influenza vaccination</w:t>
      </w:r>
      <w:r w:rsidR="00601D07">
        <w:t> </w:t>
      </w:r>
      <w:r w:rsidRPr="00001D62">
        <w:t xml:space="preserve">campaign </w:t>
      </w:r>
    </w:p>
    <w:p w14:paraId="4A38BEA3" w14:textId="77777777" w:rsidR="0035117A" w:rsidRDefault="0035117A" w:rsidP="00347F73">
      <w:r>
        <w:t xml:space="preserve">Priya </w:t>
      </w:r>
      <w:proofErr w:type="spellStart"/>
      <w:r>
        <w:t>Darshene</w:t>
      </w:r>
      <w:proofErr w:type="spellEnd"/>
      <w:r>
        <w:t xml:space="preserve"> </w:t>
      </w:r>
      <w:proofErr w:type="spellStart"/>
      <w:r>
        <w:t>Janagaraj</w:t>
      </w:r>
      <w:proofErr w:type="spellEnd"/>
      <w:r>
        <w:t xml:space="preserve">, Pari </w:t>
      </w:r>
      <w:proofErr w:type="spellStart"/>
      <w:r>
        <w:t>Shanmuga</w:t>
      </w:r>
      <w:proofErr w:type="spellEnd"/>
      <w:r>
        <w:t xml:space="preserve"> Raman </w:t>
      </w:r>
      <w:proofErr w:type="spellStart"/>
      <w:r>
        <w:t>Gurusamy</w:t>
      </w:r>
      <w:proofErr w:type="spellEnd"/>
      <w:r>
        <w:t xml:space="preserve"> and Rosalind Webby </w:t>
      </w:r>
    </w:p>
    <w:p w14:paraId="7DF66088" w14:textId="77777777" w:rsidR="0035117A" w:rsidRPr="00E27BF5" w:rsidRDefault="0035117A" w:rsidP="00E27BF5">
      <w:pPr>
        <w:pStyle w:val="Heading1"/>
      </w:pPr>
      <w:r w:rsidRPr="00E27BF5">
        <w:t xml:space="preserve">Abstract </w:t>
      </w:r>
    </w:p>
    <w:p w14:paraId="6FE24221" w14:textId="77777777" w:rsidR="0035117A" w:rsidRPr="00E27BF5" w:rsidRDefault="0035117A" w:rsidP="00E27BF5">
      <w:pPr>
        <w:pStyle w:val="Heading2"/>
      </w:pPr>
      <w:r w:rsidRPr="00E27BF5">
        <w:t xml:space="preserve">Introduction </w:t>
      </w:r>
    </w:p>
    <w:p w14:paraId="560FEE96" w14:textId="77777777" w:rsidR="0035117A" w:rsidRDefault="0035117A" w:rsidP="00E27BF5">
      <w:r>
        <w:t xml:space="preserve">Maternal influenza vaccination was introduced in 2010 due to the high morbidity and mortality associated with influenza in pregnancy. The aim of this study was to assess the maternal influenza vaccination uptake in Northern Territory public hospitals and identify gaps to improve uptake. </w:t>
      </w:r>
    </w:p>
    <w:p w14:paraId="3C40E169" w14:textId="77777777" w:rsidR="0035117A" w:rsidRPr="00E27BF5" w:rsidRDefault="0035117A" w:rsidP="00E27BF5">
      <w:pPr>
        <w:pStyle w:val="Heading2"/>
      </w:pPr>
      <w:r w:rsidRPr="00E27BF5">
        <w:t xml:space="preserve">Methods </w:t>
      </w:r>
    </w:p>
    <w:p w14:paraId="201448B8" w14:textId="77777777" w:rsidR="0035117A" w:rsidRDefault="0035117A" w:rsidP="00E27BF5">
      <w:r>
        <w:t xml:space="preserve">Birth data from Northern Territory (NT) public hospitals obtained from the Perinatal Register for deliveries in 2016 were merged with vaccination records from the NT immunisation register. </w:t>
      </w:r>
    </w:p>
    <w:p w14:paraId="453690F0" w14:textId="77777777" w:rsidR="0035117A" w:rsidRPr="00E27BF5" w:rsidRDefault="0035117A" w:rsidP="00E27BF5">
      <w:pPr>
        <w:pStyle w:val="Heading2"/>
      </w:pPr>
      <w:r w:rsidRPr="00E27BF5">
        <w:t xml:space="preserve">Results </w:t>
      </w:r>
    </w:p>
    <w:p w14:paraId="596315B6" w14:textId="77777777" w:rsidR="0035117A" w:rsidRDefault="0035117A" w:rsidP="00E27BF5">
      <w:r>
        <w:t>There were 3,392 viable pregnancies in NT public hospitals in 2016 with 45.6% vaccination coverage against influenza. There was a statistically significant difference in coverage with 68.5% in Indigenous vs 31.7% in non-Indigenous deliveries (</w:t>
      </w:r>
      <w:r w:rsidRPr="0096652E">
        <w:rPr>
          <w:rStyle w:val="Emphasis"/>
          <w:b w:val="0"/>
        </w:rPr>
        <w:t>p</w:t>
      </w:r>
      <w:r>
        <w:t>&lt;0.001), yielding an odds ratio of 4.67 (95% CI 4.02, 5.42) for maternal influenza vaccination across Indigenous status. Influenza vaccination coverage for preterm births (&lt;37 weeks) was low especially in non–Indigenous mothers at 27.2% vs 65.05% in Indigenous mothers (</w:t>
      </w:r>
      <w:r w:rsidRPr="0096652E">
        <w:rPr>
          <w:rStyle w:val="Emphasis"/>
          <w:b w:val="0"/>
        </w:rPr>
        <w:t>p</w:t>
      </w:r>
      <w:r>
        <w:t xml:space="preserve">&lt;0.001). A distinct immunisation administration pattern was noted for 2016 with 58.9% of vaccinations occurring between April and June regardless of Indigenous status and maternal gestational age. This correlated with the annual influenza immunisation campaign by the NT and Commonwealth. </w:t>
      </w:r>
    </w:p>
    <w:p w14:paraId="4944CEBE" w14:textId="77777777" w:rsidR="0035117A" w:rsidRPr="00E27BF5" w:rsidRDefault="0035117A" w:rsidP="00E27BF5">
      <w:pPr>
        <w:pStyle w:val="Heading2"/>
      </w:pPr>
      <w:r w:rsidRPr="00E27BF5">
        <w:t xml:space="preserve">Conclusion </w:t>
      </w:r>
    </w:p>
    <w:p w14:paraId="6FBC30E1" w14:textId="77777777" w:rsidR="0035117A" w:rsidRDefault="0035117A" w:rsidP="00E27BF5">
      <w:r>
        <w:t xml:space="preserve">A year-round maternal influenza vaccination campaign is crucial to avoid missed opportunities and increase vaccination protection for mother and baby. Antenatal influenza vaccination campaign with health care workers education and increasing patient awareness should continue throughout the year. </w:t>
      </w:r>
    </w:p>
    <w:p w14:paraId="21AC0A1F" w14:textId="77777777" w:rsidR="0035117A" w:rsidRDefault="0035117A" w:rsidP="00E27BF5">
      <w:r>
        <w:t xml:space="preserve">Keywords: Maternal, pregnancy, influenza, Aboriginal, vaccination, Northern Territory, uptake, gaps </w:t>
      </w:r>
    </w:p>
    <w:p w14:paraId="600D0DC5" w14:textId="77777777" w:rsidR="0035117A" w:rsidRPr="00E27BF5" w:rsidRDefault="0035117A" w:rsidP="00E27BF5">
      <w:pPr>
        <w:pStyle w:val="Heading1"/>
      </w:pPr>
      <w:r w:rsidRPr="00E27BF5">
        <w:t xml:space="preserve">Introduction </w:t>
      </w:r>
    </w:p>
    <w:p w14:paraId="6FD6157B" w14:textId="77777777" w:rsidR="0035117A" w:rsidRDefault="0035117A" w:rsidP="00E27BF5">
      <w:r>
        <w:t>Maternal immunisation has a crucial role in protecting mothers and their newborn infants from influenza infection.</w:t>
      </w:r>
      <w:r>
        <w:rPr>
          <w:vertAlign w:val="superscript"/>
        </w:rPr>
        <w:t>1</w:t>
      </w:r>
      <w:r w:rsidR="007A69A0">
        <w:rPr>
          <w:vertAlign w:val="superscript"/>
        </w:rPr>
        <w:t>-</w:t>
      </w:r>
      <w:r>
        <w:rPr>
          <w:vertAlign w:val="superscript"/>
        </w:rPr>
        <w:t>3</w:t>
      </w:r>
      <w:r>
        <w:t xml:space="preserve"> Influenza is a viral illness causing millions of hospitalisations and deaths globally.</w:t>
      </w:r>
      <w:r>
        <w:rPr>
          <w:vertAlign w:val="superscript"/>
        </w:rPr>
        <w:t>4</w:t>
      </w:r>
      <w:r>
        <w:t xml:space="preserve"> Influenza infection in pregnancy, especially in the 3rd trimester, is associated with increased morbidity and mortality.</w:t>
      </w:r>
      <w:r>
        <w:rPr>
          <w:vertAlign w:val="superscript"/>
        </w:rPr>
        <w:t>5–7</w:t>
      </w:r>
      <w:r>
        <w:t xml:space="preserve"> Pregnant women are at increased risk of influenza complications due to the physiological changes of pregnancy, including immune suppression.</w:t>
      </w:r>
      <w:r>
        <w:rPr>
          <w:vertAlign w:val="superscript"/>
        </w:rPr>
        <w:t>8,9</w:t>
      </w:r>
      <w:r>
        <w:t xml:space="preserve"> The only protection against influenza is the yearly seasonal influenza vaccine. In addition to protecting the mothers, the vaccine protects their newborn infants via antenatal in-utero-transplacental transfer of antibodies.</w:t>
      </w:r>
      <w:r>
        <w:rPr>
          <w:vertAlign w:val="superscript"/>
        </w:rPr>
        <w:t>2,10,</w:t>
      </w:r>
      <w:proofErr w:type="gramStart"/>
      <w:r>
        <w:rPr>
          <w:vertAlign w:val="superscript"/>
        </w:rPr>
        <w:t>11</w:t>
      </w:r>
      <w:proofErr w:type="gramEnd"/>
      <w:r>
        <w:rPr>
          <w:vertAlign w:val="superscript"/>
        </w:rPr>
        <w:t xml:space="preserve"> </w:t>
      </w:r>
    </w:p>
    <w:p w14:paraId="03030480" w14:textId="77777777" w:rsidR="0035117A" w:rsidRDefault="0035117A" w:rsidP="00EE3BBA">
      <w:r>
        <w:lastRenderedPageBreak/>
        <w:t>The World Health Organi</w:t>
      </w:r>
      <w:r w:rsidR="006C4F86">
        <w:t>z</w:t>
      </w:r>
      <w:r>
        <w:t>ation (WHO) designated pregnant women as a priority group for influenza vaccination after the 2009 influenza pandemic, which resulted in severe influenza in pregnant women.</w:t>
      </w:r>
      <w:r>
        <w:rPr>
          <w:vertAlign w:val="superscript"/>
        </w:rPr>
        <w:t>12</w:t>
      </w:r>
      <w:r>
        <w:t xml:space="preserve"> Maternal influenza vaccination was introduced in Australia in 2010 on the National Immunisation Program (NIP).</w:t>
      </w:r>
      <w:r>
        <w:rPr>
          <w:vertAlign w:val="superscript"/>
        </w:rPr>
        <w:t>13</w:t>
      </w:r>
      <w:r>
        <w:t xml:space="preserve"> Vaccination is currently available to pregnant women at any gestational age (GA) and is endorsed by The Royal Australian and New Zealand College of Obstetricians and Gynaecologists (RANZCOG).</w:t>
      </w:r>
      <w:r>
        <w:rPr>
          <w:vertAlign w:val="superscript"/>
        </w:rPr>
        <w:t>13</w:t>
      </w:r>
      <w:r>
        <w:t xml:space="preserve"> Additionally, the NIP provides an annual influenza vaccination for all Indigenous people 15 years and above.</w:t>
      </w:r>
      <w:r>
        <w:rPr>
          <w:vertAlign w:val="superscript"/>
        </w:rPr>
        <w:t>13</w:t>
      </w:r>
      <w:r>
        <w:t xml:space="preserve"> However, despite well-founded recommendations and a good safety profile, the uptake of influenza vaccination in pregnancy remains sub-optimal.</w:t>
      </w:r>
      <w:r w:rsidR="005100D5">
        <w:rPr>
          <w:rStyle w:val="FootnoteReference"/>
        </w:rPr>
        <w:footnoteReference w:id="2"/>
      </w:r>
      <w:r>
        <w:t xml:space="preserve"> </w:t>
      </w:r>
    </w:p>
    <w:p w14:paraId="25D05CDF" w14:textId="77777777" w:rsidR="0035117A" w:rsidRDefault="0035117A" w:rsidP="00EE3BBA">
      <w:r>
        <w:t xml:space="preserve">The aim of this study is to assess the coverage of maternal influenza vaccination in the Northern Territory (NT) and identify factors impacting coverage. </w:t>
      </w:r>
    </w:p>
    <w:p w14:paraId="45879D99" w14:textId="77777777" w:rsidR="0035117A" w:rsidRPr="00EE3BBA" w:rsidRDefault="0035117A" w:rsidP="00EE3BBA">
      <w:pPr>
        <w:pStyle w:val="Heading1"/>
      </w:pPr>
      <w:r w:rsidRPr="00EE3BBA">
        <w:t xml:space="preserve">Methods </w:t>
      </w:r>
    </w:p>
    <w:p w14:paraId="7EB5C51A" w14:textId="77777777" w:rsidR="0035117A" w:rsidRPr="00EE3BBA" w:rsidRDefault="0035117A" w:rsidP="00EE3BBA">
      <w:pPr>
        <w:pStyle w:val="Heading2"/>
      </w:pPr>
      <w:r w:rsidRPr="00EE3BBA">
        <w:t xml:space="preserve">Population and Setting </w:t>
      </w:r>
    </w:p>
    <w:p w14:paraId="1E578470" w14:textId="77777777" w:rsidR="0035117A" w:rsidRDefault="0035117A" w:rsidP="00EE3BBA">
      <w:r>
        <w:t>NT has a population of 244,048, with the highest proportion of Indigenous residents in any Australian state at 25%.</w:t>
      </w:r>
      <w:r>
        <w:rPr>
          <w:vertAlign w:val="superscript"/>
        </w:rPr>
        <w:t>14</w:t>
      </w:r>
      <w:r>
        <w:t xml:space="preserve"> There are approximately 4,000 births annually in NT.</w:t>
      </w:r>
      <w:r>
        <w:rPr>
          <w:vertAlign w:val="superscript"/>
        </w:rPr>
        <w:t xml:space="preserve">15 </w:t>
      </w:r>
    </w:p>
    <w:p w14:paraId="1E807842" w14:textId="77777777" w:rsidR="0035117A" w:rsidRPr="00EE3BBA" w:rsidRDefault="0035117A" w:rsidP="00EE3BBA">
      <w:pPr>
        <w:pStyle w:val="Heading2"/>
      </w:pPr>
      <w:r w:rsidRPr="00EE3BBA">
        <w:t xml:space="preserve">Data Collection </w:t>
      </w:r>
    </w:p>
    <w:p w14:paraId="41923EF6" w14:textId="77777777" w:rsidR="0035117A" w:rsidRDefault="0035117A" w:rsidP="00EE3BBA">
      <w:r>
        <w:t xml:space="preserve">We retrospectively reviewed the influenza immunisation coverage rates for all births in NT public hospitals in 2016. Birth data was obtained from the Northern Territory Perinatal Register (NTPR), which records all births in the NT. Influenza immunisation records were obtained from January 2015 to December 2017 for women aged between 13 to 55 years old from the NT immunisation register (NTIR), a state-based immunisation register. Data on postpartum vaccination up to 6 months post-delivery were also collected to analyse timing of vaccination. The mother’s name, age, hospital record number (HRN), Indigenous status, suburb of residency, date of delivery, place of delivery and GA at delivery were obtained from the perinatal register. These data were linked to the NTIR using a unique identifier (HRN) and cross checked manually to ensure data integrity. This allowed us to determine the vaccination status and timing of vaccine administration during pregnancy for each woman. </w:t>
      </w:r>
    </w:p>
    <w:p w14:paraId="22864C0B" w14:textId="77777777" w:rsidR="0035117A" w:rsidRPr="00EE3BBA" w:rsidRDefault="0035117A" w:rsidP="00EE3BBA">
      <w:pPr>
        <w:pStyle w:val="Heading2"/>
      </w:pPr>
      <w:r w:rsidRPr="00EE3BBA">
        <w:t xml:space="preserve">Ethics Approval </w:t>
      </w:r>
    </w:p>
    <w:p w14:paraId="15201252" w14:textId="77777777" w:rsidR="0035117A" w:rsidRDefault="0035117A" w:rsidP="00EE3BBA">
      <w:r>
        <w:t xml:space="preserve">The study design and access to registry data was approved by and registered with the Human Research Ethics Committee (HREC) of the NT Department of Health and Menzies School of Health Research (reference number 2015/2485). The proposal was also approved by the Central Australian HREC (reference number HREC-16-436). </w:t>
      </w:r>
    </w:p>
    <w:p w14:paraId="0A6BA2D8" w14:textId="77777777" w:rsidR="0035117A" w:rsidRPr="00EE3BBA" w:rsidRDefault="0035117A" w:rsidP="00EE3BBA">
      <w:pPr>
        <w:pStyle w:val="Heading2"/>
      </w:pPr>
      <w:r w:rsidRPr="00EE3BBA">
        <w:t xml:space="preserve">Definition for valid immunisation </w:t>
      </w:r>
    </w:p>
    <w:p w14:paraId="5E52DDC8" w14:textId="77777777" w:rsidR="0035117A" w:rsidRDefault="0035117A" w:rsidP="00EE3BBA">
      <w:r>
        <w:t xml:space="preserve">As per the current RANZCOG and Australian Immunisation guidelines, a valid influenza vaccination status in pregnancy was defined as receiving 1 dose of inactivated influenza vaccine at any GA. Influenza vaccine was available in 2016 from April. Mothers who delivered from January to May 2016 were considered to have had a valid immunisation if they had received an influenza vaccine for the 2015 flu season, even if it was prior to their conception. Current guidelines do not recommend a second dose of influenza vaccination in pregnancy and therefore mothers who received 2015 influenza vaccine whilst pregnant were included. Post-partum vaccination was defined as an immunisation during the first 180 days following delivery, for women who did not receive a valid antenatal or pre-conception immunisation. Post-partum vaccination was not included in the coverage data but was </w:t>
      </w:r>
      <w:r>
        <w:lastRenderedPageBreak/>
        <w:t>used to assess trend in uptake, as there has been increasing evidence on the benefit of maternal vaccination in protecting infants up to 6 months of age via immunoglobulin A (IgA) transfer through breastmilk.</w:t>
      </w:r>
      <w:r w:rsidR="004426C8">
        <w:rPr>
          <w:rStyle w:val="FootnoteReference"/>
        </w:rPr>
        <w:footnoteReference w:id="3"/>
      </w:r>
      <w:r>
        <w:t xml:space="preserve"> </w:t>
      </w:r>
    </w:p>
    <w:p w14:paraId="2C132D08" w14:textId="77777777" w:rsidR="0035117A" w:rsidRPr="00EE3BBA" w:rsidRDefault="0035117A" w:rsidP="00EE3BBA">
      <w:pPr>
        <w:pStyle w:val="Heading2"/>
      </w:pPr>
      <w:r w:rsidRPr="00EE3BBA">
        <w:t xml:space="preserve">Statistical Analysis </w:t>
      </w:r>
    </w:p>
    <w:p w14:paraId="76B34A8B" w14:textId="77777777" w:rsidR="0035117A" w:rsidRDefault="0035117A" w:rsidP="00EE3BBA">
      <w:r>
        <w:t xml:space="preserve">Data were entered into SPSS v.25 and Microsoft Excel, and both were used to perform the statistical analysis. </w:t>
      </w:r>
    </w:p>
    <w:p w14:paraId="573FB101" w14:textId="77777777" w:rsidR="0035117A" w:rsidRDefault="0035117A" w:rsidP="00EE3BBA">
      <w:r>
        <w:t xml:space="preserve">Vaccinations received were coded into three categories based on time of vaccination related to pregnancy: pre-conception, during pregnancy and postpartum. Pre-conception vaccination is a valid 2015 influenza season vaccination (prior to conception) without a vaccine during pregnancy for mothers who delivered in January to May 2016, prior to active roll out of 2016 immunisation in late April. Mothers who did not receive any vaccination during pregnancy but received both 2015 and 2016 influenza vaccination were coded as the ‘pre-conception and postpartum vaccination’ group. </w:t>
      </w:r>
    </w:p>
    <w:p w14:paraId="41764C9A" w14:textId="77777777" w:rsidR="0035117A" w:rsidRDefault="0035117A" w:rsidP="00EE3BBA">
      <w:r>
        <w:t xml:space="preserve">Residential location, obtained from the perinatal registry, was coded into the 4 regions of Darwin, Katherine, East Arnhem and Alice Springs. Births delivered in Barkly were coded as Alice Springs due to small sample size. Indigenous status was coded as Indigenous or non-Indigenous. Maternal age was grouped as under 25 years, 25–34 years, and 35 years and above. </w:t>
      </w:r>
    </w:p>
    <w:p w14:paraId="72659698" w14:textId="77777777" w:rsidR="0035117A" w:rsidRDefault="0035117A" w:rsidP="00EE3BBA">
      <w:r>
        <w:t xml:space="preserve">Preterm births were defined as live births before 37 weeks of GA and sub-classified as extreme preterm (less than 28 weeks), very preterm (28 to 31 weeks) and moderate to late preterm (32 to 36 weeks) based on WHO classification. </w:t>
      </w:r>
    </w:p>
    <w:p w14:paraId="3E4F3F94" w14:textId="77777777" w:rsidR="0035117A" w:rsidRDefault="0035117A" w:rsidP="00EE3BBA">
      <w:r>
        <w:t xml:space="preserve">Urban locality was defined as births in Alice Springs and Darwin with all other births classified as remote locality. The linkage of data obtained from the NTPR and NTIR allowed for calculation of maternal age at the time of delivery and gestational age of pregnancy during administration of the influenza vaccine. </w:t>
      </w:r>
    </w:p>
    <w:p w14:paraId="0146DC13" w14:textId="77777777" w:rsidR="0035117A" w:rsidRDefault="0035117A" w:rsidP="00EE3BBA">
      <w:r>
        <w:t xml:space="preserve">Mean maternal age and gestational age at delivery in the vaccinated cohort were compared using two-sided </w:t>
      </w:r>
      <w:r w:rsidRPr="0096652E">
        <w:rPr>
          <w:rStyle w:val="Emphasis"/>
          <w:b w:val="0"/>
        </w:rPr>
        <w:t>t-</w:t>
      </w:r>
      <w:r>
        <w:t xml:space="preserve">tests assuming equal variances between Indigenous and non-Indigenous mothers. Coverage between Indigenous and non-Indigenous mothers was compared using a chi-squared test. </w:t>
      </w:r>
    </w:p>
    <w:p w14:paraId="16756713" w14:textId="77777777" w:rsidR="0035117A" w:rsidRDefault="0035117A" w:rsidP="00EE3BBA">
      <w:r>
        <w:t>Socio-demographic factors affecting uptake of maternal influenza vaccination were explored using a binary logistic regression model. Individual binary logistic regression models were used for each variable and the data were controlled for Indigenous status to reduce the confounding effect. Adjusted odds ratios (AOR) and 95 % confidence intervals (CI) were calculated. A </w:t>
      </w:r>
      <w:r w:rsidRPr="0096652E">
        <w:rPr>
          <w:rStyle w:val="Emphasis"/>
          <w:b w:val="0"/>
        </w:rPr>
        <w:t>p</w:t>
      </w:r>
      <w:r>
        <w:t xml:space="preserve">-value of &lt;0.05 was considered statistically significant. </w:t>
      </w:r>
    </w:p>
    <w:p w14:paraId="30FFF0C9" w14:textId="77777777" w:rsidR="0035117A" w:rsidRDefault="0035117A" w:rsidP="00EE3BBA">
      <w:r>
        <w:t xml:space="preserve">Significance of the logistic regression model was tested using the chi-squared test. </w:t>
      </w:r>
    </w:p>
    <w:p w14:paraId="65C52CCA" w14:textId="77777777" w:rsidR="0035117A" w:rsidRPr="00EE3BBA" w:rsidRDefault="0035117A" w:rsidP="00EE3BBA">
      <w:pPr>
        <w:pStyle w:val="Heading1"/>
      </w:pPr>
      <w:r w:rsidRPr="00EE3BBA">
        <w:t xml:space="preserve">Results </w:t>
      </w:r>
    </w:p>
    <w:p w14:paraId="58543ACE" w14:textId="77777777" w:rsidR="0035117A" w:rsidRDefault="0035117A" w:rsidP="00EE3BBA">
      <w:r>
        <w:t>In 2016, there were 3,392 viable births (GA≥24), including 40 twin births, in NT public hospitals. Baseline socio-demographic characteristics of the mothers who delivered in 2016 are summarised in Table 1.</w:t>
      </w:r>
    </w:p>
    <w:p w14:paraId="3260C4E8" w14:textId="77777777" w:rsidR="00607E5A" w:rsidRDefault="00607E5A">
      <w:pPr>
        <w:rPr>
          <w:b/>
        </w:rPr>
      </w:pPr>
      <w:r>
        <w:br w:type="page"/>
      </w:r>
    </w:p>
    <w:p w14:paraId="456ECA7A" w14:textId="77777777" w:rsidR="0035117A" w:rsidRDefault="0035117A" w:rsidP="00EE3BBA">
      <w:pPr>
        <w:pStyle w:val="CDIFigures"/>
      </w:pPr>
      <w:r>
        <w:lastRenderedPageBreak/>
        <w:t xml:space="preserve">Table 1. Baseline characteristics of births in Northern Territory in 2016 based on maternal influenza vaccination status. </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1 shows the baseline characteristics of births in Northern Territory in 2016, including maternal influenza vaccination status, indigenous status, maternal age, region of birth and timing of maternal influenza vaccination. "/>
      </w:tblPr>
      <w:tblGrid>
        <w:gridCol w:w="276"/>
        <w:gridCol w:w="3277"/>
        <w:gridCol w:w="1728"/>
        <w:gridCol w:w="1728"/>
        <w:gridCol w:w="1728"/>
        <w:gridCol w:w="1729"/>
      </w:tblGrid>
      <w:tr w:rsidR="0035117A" w14:paraId="7DA2835E" w14:textId="77777777" w:rsidTr="00820788">
        <w:trPr>
          <w:cnfStyle w:val="100000000000" w:firstRow="1" w:lastRow="0" w:firstColumn="0" w:lastColumn="0" w:oddVBand="0" w:evenVBand="0" w:oddHBand="0" w:evenHBand="0" w:firstRowFirstColumn="0" w:firstRowLastColumn="0" w:lastRowFirstColumn="0" w:lastRowLastColumn="0"/>
          <w:tblHeader/>
        </w:trPr>
        <w:tc>
          <w:tcPr>
            <w:tcW w:w="0" w:type="auto"/>
            <w:gridSpan w:val="2"/>
            <w:vMerge w:val="restart"/>
            <w:tcBorders>
              <w:bottom w:val="single" w:sz="2" w:space="0" w:color="FFFFFF" w:themeColor="background1"/>
              <w:right w:val="single" w:sz="2" w:space="0" w:color="FFFFFF" w:themeColor="background1"/>
            </w:tcBorders>
            <w:hideMark/>
          </w:tcPr>
          <w:p w14:paraId="465A8E20" w14:textId="77777777" w:rsidR="0035117A" w:rsidRPr="0096652E" w:rsidRDefault="0035117A" w:rsidP="00820788">
            <w:pPr>
              <w:jc w:val="center"/>
              <w:rPr>
                <w:color w:val="FFFFFF" w:themeColor="background1"/>
              </w:rPr>
            </w:pPr>
          </w:p>
        </w:tc>
        <w:tc>
          <w:tcPr>
            <w:tcW w:w="3456" w:type="dxa"/>
            <w:gridSpan w:val="2"/>
            <w:tcBorders>
              <w:left w:val="single" w:sz="2" w:space="0" w:color="FFFFFF" w:themeColor="background1"/>
              <w:bottom w:val="single" w:sz="2" w:space="0" w:color="FFFFFF" w:themeColor="background1"/>
              <w:right w:val="single" w:sz="2" w:space="0" w:color="FFFFFF" w:themeColor="background1"/>
            </w:tcBorders>
            <w:hideMark/>
          </w:tcPr>
          <w:p w14:paraId="1B0B395E" w14:textId="77777777" w:rsidR="0035117A" w:rsidRPr="0096652E" w:rsidRDefault="0035117A" w:rsidP="00820788">
            <w:pPr>
              <w:pStyle w:val="NormalWeb"/>
              <w:jc w:val="center"/>
              <w:rPr>
                <w:color w:val="FFFFFF" w:themeColor="background1"/>
                <w:sz w:val="24"/>
                <w:szCs w:val="24"/>
              </w:rPr>
            </w:pPr>
            <w:r w:rsidRPr="0096652E">
              <w:rPr>
                <w:color w:val="FFFFFF" w:themeColor="background1"/>
              </w:rPr>
              <w:t>Vaccinated</w:t>
            </w:r>
          </w:p>
        </w:tc>
        <w:tc>
          <w:tcPr>
            <w:tcW w:w="3457" w:type="dxa"/>
            <w:gridSpan w:val="2"/>
            <w:tcBorders>
              <w:left w:val="single" w:sz="2" w:space="0" w:color="FFFFFF" w:themeColor="background1"/>
              <w:bottom w:val="single" w:sz="2" w:space="0" w:color="FFFFFF" w:themeColor="background1"/>
            </w:tcBorders>
            <w:hideMark/>
          </w:tcPr>
          <w:p w14:paraId="18A49987" w14:textId="77777777" w:rsidR="0035117A" w:rsidRPr="0096652E" w:rsidRDefault="0035117A" w:rsidP="00820788">
            <w:pPr>
              <w:pStyle w:val="NormalWeb"/>
              <w:jc w:val="center"/>
              <w:rPr>
                <w:color w:val="FFFFFF" w:themeColor="background1"/>
              </w:rPr>
            </w:pPr>
            <w:r w:rsidRPr="0096652E">
              <w:rPr>
                <w:color w:val="FFFFFF" w:themeColor="background1"/>
              </w:rPr>
              <w:t>Unvaccinated</w:t>
            </w:r>
          </w:p>
        </w:tc>
      </w:tr>
      <w:tr w:rsidR="0035117A" w14:paraId="557D6FED" w14:textId="77777777" w:rsidTr="00820788">
        <w:trPr>
          <w:cnfStyle w:val="100000000000" w:firstRow="1" w:lastRow="0" w:firstColumn="0" w:lastColumn="0" w:oddVBand="0" w:evenVBand="0" w:oddHBand="0" w:evenHBand="0" w:firstRowFirstColumn="0" w:firstRowLastColumn="0" w:lastRowFirstColumn="0" w:lastRowLastColumn="0"/>
          <w:tblHeader/>
        </w:trPr>
        <w:tc>
          <w:tcPr>
            <w:tcW w:w="0" w:type="auto"/>
            <w:gridSpan w:val="2"/>
            <w:vMerge/>
            <w:tcBorders>
              <w:top w:val="single" w:sz="2" w:space="0" w:color="FFFFFF" w:themeColor="background1"/>
              <w:right w:val="single" w:sz="2" w:space="0" w:color="FFFFFF" w:themeColor="background1"/>
            </w:tcBorders>
            <w:hideMark/>
          </w:tcPr>
          <w:p w14:paraId="5E96973F" w14:textId="77777777" w:rsidR="0035117A" w:rsidRPr="0096652E" w:rsidRDefault="0035117A" w:rsidP="00820788">
            <w:pPr>
              <w:jc w:val="center"/>
              <w:rPr>
                <w:color w:val="FFFFFF" w:themeColor="background1"/>
                <w:sz w:val="24"/>
                <w:szCs w:val="24"/>
              </w:rPr>
            </w:pPr>
          </w:p>
        </w:tc>
        <w:tc>
          <w:tcPr>
            <w:tcW w:w="1728" w:type="dxa"/>
            <w:tcBorders>
              <w:top w:val="single" w:sz="2" w:space="0" w:color="FFFFFF" w:themeColor="background1"/>
              <w:left w:val="single" w:sz="2" w:space="0" w:color="FFFFFF" w:themeColor="background1"/>
              <w:right w:val="single" w:sz="2" w:space="0" w:color="FFFFFF" w:themeColor="background1"/>
            </w:tcBorders>
            <w:hideMark/>
          </w:tcPr>
          <w:p w14:paraId="52352D84" w14:textId="77777777" w:rsidR="0035117A" w:rsidRPr="0096652E" w:rsidRDefault="0035117A" w:rsidP="00820788">
            <w:pPr>
              <w:pStyle w:val="NormalWeb"/>
              <w:jc w:val="center"/>
              <w:rPr>
                <w:color w:val="FFFFFF" w:themeColor="background1"/>
              </w:rPr>
            </w:pPr>
            <w:r w:rsidRPr="0096652E">
              <w:rPr>
                <w:color w:val="FFFFFF" w:themeColor="background1"/>
              </w:rPr>
              <w:t>n</w:t>
            </w:r>
          </w:p>
        </w:tc>
        <w:tc>
          <w:tcPr>
            <w:tcW w:w="1728" w:type="dxa"/>
            <w:tcBorders>
              <w:top w:val="single" w:sz="2" w:space="0" w:color="FFFFFF" w:themeColor="background1"/>
              <w:left w:val="single" w:sz="2" w:space="0" w:color="FFFFFF" w:themeColor="background1"/>
              <w:right w:val="single" w:sz="2" w:space="0" w:color="FFFFFF" w:themeColor="background1"/>
            </w:tcBorders>
            <w:hideMark/>
          </w:tcPr>
          <w:p w14:paraId="5D2014CA" w14:textId="77777777" w:rsidR="0035117A" w:rsidRPr="0096652E" w:rsidRDefault="0035117A" w:rsidP="00820788">
            <w:pPr>
              <w:pStyle w:val="NormalWeb"/>
              <w:jc w:val="center"/>
              <w:rPr>
                <w:color w:val="FFFFFF" w:themeColor="background1"/>
              </w:rPr>
            </w:pPr>
            <w:r w:rsidRPr="0096652E">
              <w:rPr>
                <w:color w:val="FFFFFF" w:themeColor="background1"/>
              </w:rPr>
              <w:t>%</w:t>
            </w:r>
          </w:p>
        </w:tc>
        <w:tc>
          <w:tcPr>
            <w:tcW w:w="1728" w:type="dxa"/>
            <w:tcBorders>
              <w:top w:val="single" w:sz="2" w:space="0" w:color="FFFFFF" w:themeColor="background1"/>
              <w:left w:val="single" w:sz="2" w:space="0" w:color="FFFFFF" w:themeColor="background1"/>
              <w:right w:val="single" w:sz="2" w:space="0" w:color="FFFFFF" w:themeColor="background1"/>
            </w:tcBorders>
            <w:hideMark/>
          </w:tcPr>
          <w:p w14:paraId="32CA828B" w14:textId="77777777" w:rsidR="0035117A" w:rsidRPr="0096652E" w:rsidRDefault="0035117A" w:rsidP="00820788">
            <w:pPr>
              <w:pStyle w:val="NormalWeb"/>
              <w:jc w:val="center"/>
              <w:rPr>
                <w:color w:val="FFFFFF" w:themeColor="background1"/>
              </w:rPr>
            </w:pPr>
            <w:r w:rsidRPr="0096652E">
              <w:rPr>
                <w:color w:val="FFFFFF" w:themeColor="background1"/>
              </w:rPr>
              <w:t>n</w:t>
            </w:r>
          </w:p>
        </w:tc>
        <w:tc>
          <w:tcPr>
            <w:tcW w:w="1729" w:type="dxa"/>
            <w:tcBorders>
              <w:top w:val="single" w:sz="2" w:space="0" w:color="FFFFFF" w:themeColor="background1"/>
              <w:left w:val="single" w:sz="2" w:space="0" w:color="FFFFFF" w:themeColor="background1"/>
            </w:tcBorders>
            <w:hideMark/>
          </w:tcPr>
          <w:p w14:paraId="1DFEDD53" w14:textId="77777777" w:rsidR="0035117A" w:rsidRPr="0096652E" w:rsidRDefault="0035117A" w:rsidP="00820788">
            <w:pPr>
              <w:pStyle w:val="NormalWeb"/>
              <w:jc w:val="center"/>
              <w:rPr>
                <w:color w:val="FFFFFF" w:themeColor="background1"/>
              </w:rPr>
            </w:pPr>
            <w:r w:rsidRPr="0096652E">
              <w:rPr>
                <w:color w:val="FFFFFF" w:themeColor="background1"/>
              </w:rPr>
              <w:t>%</w:t>
            </w:r>
          </w:p>
        </w:tc>
      </w:tr>
      <w:tr w:rsidR="0035117A" w14:paraId="508B7AC4" w14:textId="77777777" w:rsidTr="00820788">
        <w:tc>
          <w:tcPr>
            <w:tcW w:w="0" w:type="auto"/>
            <w:gridSpan w:val="2"/>
            <w:tcBorders>
              <w:right w:val="single" w:sz="2" w:space="0" w:color="000000" w:themeColor="text1"/>
            </w:tcBorders>
            <w:hideMark/>
          </w:tcPr>
          <w:p w14:paraId="483BA878" w14:textId="77777777" w:rsidR="0035117A" w:rsidRDefault="0035117A">
            <w:pPr>
              <w:pStyle w:val="NormalWeb"/>
            </w:pPr>
            <w:r>
              <w:t>Total participants</w:t>
            </w:r>
          </w:p>
        </w:tc>
        <w:tc>
          <w:tcPr>
            <w:tcW w:w="1728" w:type="dxa"/>
            <w:tcBorders>
              <w:left w:val="single" w:sz="2" w:space="0" w:color="000000" w:themeColor="text1"/>
              <w:right w:val="single" w:sz="2" w:space="0" w:color="000000" w:themeColor="text1"/>
            </w:tcBorders>
            <w:hideMark/>
          </w:tcPr>
          <w:p w14:paraId="33BAE779" w14:textId="77777777" w:rsidR="0035117A" w:rsidRDefault="0035117A" w:rsidP="00820788">
            <w:pPr>
              <w:pStyle w:val="NormalWeb"/>
              <w:jc w:val="center"/>
            </w:pPr>
            <w:r>
              <w:t>1,547</w:t>
            </w:r>
          </w:p>
        </w:tc>
        <w:tc>
          <w:tcPr>
            <w:tcW w:w="1728" w:type="dxa"/>
            <w:tcBorders>
              <w:left w:val="single" w:sz="2" w:space="0" w:color="000000" w:themeColor="text1"/>
              <w:right w:val="single" w:sz="2" w:space="0" w:color="000000" w:themeColor="text1"/>
            </w:tcBorders>
            <w:hideMark/>
          </w:tcPr>
          <w:p w14:paraId="244EEBAB" w14:textId="77777777" w:rsidR="0035117A" w:rsidRDefault="0035117A" w:rsidP="00820788">
            <w:pPr>
              <w:pStyle w:val="NormalWeb"/>
              <w:jc w:val="center"/>
            </w:pPr>
            <w:r>
              <w:t>45.6</w:t>
            </w:r>
          </w:p>
        </w:tc>
        <w:tc>
          <w:tcPr>
            <w:tcW w:w="1728" w:type="dxa"/>
            <w:tcBorders>
              <w:left w:val="single" w:sz="2" w:space="0" w:color="000000" w:themeColor="text1"/>
              <w:right w:val="single" w:sz="2" w:space="0" w:color="000000" w:themeColor="text1"/>
            </w:tcBorders>
            <w:hideMark/>
          </w:tcPr>
          <w:p w14:paraId="02B3C961" w14:textId="77777777" w:rsidR="0035117A" w:rsidRDefault="0035117A" w:rsidP="00820788">
            <w:pPr>
              <w:pStyle w:val="NormalWeb"/>
              <w:jc w:val="center"/>
            </w:pPr>
            <w:r>
              <w:t>1,845</w:t>
            </w:r>
          </w:p>
        </w:tc>
        <w:tc>
          <w:tcPr>
            <w:tcW w:w="1729" w:type="dxa"/>
            <w:tcBorders>
              <w:left w:val="single" w:sz="2" w:space="0" w:color="000000" w:themeColor="text1"/>
            </w:tcBorders>
            <w:hideMark/>
          </w:tcPr>
          <w:p w14:paraId="464141F0" w14:textId="77777777" w:rsidR="0035117A" w:rsidRDefault="0035117A" w:rsidP="00820788">
            <w:pPr>
              <w:pStyle w:val="NormalWeb"/>
              <w:jc w:val="center"/>
            </w:pPr>
            <w:r>
              <w:t>54.4</w:t>
            </w:r>
          </w:p>
        </w:tc>
      </w:tr>
      <w:tr w:rsidR="0035117A" w14:paraId="0D29B75C"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gridSpan w:val="2"/>
            <w:tcBorders>
              <w:right w:val="single" w:sz="2" w:space="0" w:color="000000" w:themeColor="text1"/>
            </w:tcBorders>
            <w:hideMark/>
          </w:tcPr>
          <w:p w14:paraId="11F1953C" w14:textId="77777777" w:rsidR="0035117A" w:rsidRDefault="0035117A">
            <w:pPr>
              <w:pStyle w:val="NormalWeb"/>
            </w:pPr>
            <w:r>
              <w:t>Indigenous Status</w:t>
            </w:r>
          </w:p>
        </w:tc>
        <w:tc>
          <w:tcPr>
            <w:tcW w:w="1728" w:type="dxa"/>
            <w:tcBorders>
              <w:left w:val="single" w:sz="2" w:space="0" w:color="000000" w:themeColor="text1"/>
              <w:right w:val="single" w:sz="2" w:space="0" w:color="000000" w:themeColor="text1"/>
            </w:tcBorders>
            <w:hideMark/>
          </w:tcPr>
          <w:p w14:paraId="7BF6E514" w14:textId="77777777" w:rsidR="0035117A" w:rsidRDefault="0035117A" w:rsidP="00820788">
            <w:pPr>
              <w:jc w:val="center"/>
            </w:pPr>
          </w:p>
        </w:tc>
        <w:tc>
          <w:tcPr>
            <w:tcW w:w="1728" w:type="dxa"/>
            <w:tcBorders>
              <w:left w:val="single" w:sz="2" w:space="0" w:color="000000" w:themeColor="text1"/>
              <w:right w:val="single" w:sz="2" w:space="0" w:color="000000" w:themeColor="text1"/>
            </w:tcBorders>
            <w:hideMark/>
          </w:tcPr>
          <w:p w14:paraId="49BF18A4" w14:textId="77777777" w:rsidR="0035117A" w:rsidRDefault="0035117A" w:rsidP="00820788">
            <w:pPr>
              <w:jc w:val="center"/>
              <w:rPr>
                <w:rFonts w:eastAsia="Times New Roman"/>
                <w:sz w:val="20"/>
                <w:szCs w:val="20"/>
              </w:rPr>
            </w:pPr>
          </w:p>
        </w:tc>
        <w:tc>
          <w:tcPr>
            <w:tcW w:w="1728" w:type="dxa"/>
            <w:tcBorders>
              <w:left w:val="single" w:sz="2" w:space="0" w:color="000000" w:themeColor="text1"/>
              <w:right w:val="single" w:sz="2" w:space="0" w:color="000000" w:themeColor="text1"/>
            </w:tcBorders>
            <w:hideMark/>
          </w:tcPr>
          <w:p w14:paraId="43212677" w14:textId="77777777" w:rsidR="0035117A" w:rsidRDefault="0035117A" w:rsidP="00820788">
            <w:pPr>
              <w:jc w:val="center"/>
              <w:rPr>
                <w:rFonts w:eastAsia="Times New Roman"/>
                <w:sz w:val="20"/>
                <w:szCs w:val="20"/>
              </w:rPr>
            </w:pPr>
          </w:p>
        </w:tc>
        <w:tc>
          <w:tcPr>
            <w:tcW w:w="1729" w:type="dxa"/>
            <w:tcBorders>
              <w:left w:val="single" w:sz="2" w:space="0" w:color="000000" w:themeColor="text1"/>
            </w:tcBorders>
            <w:hideMark/>
          </w:tcPr>
          <w:p w14:paraId="69CD89BB" w14:textId="77777777" w:rsidR="0035117A" w:rsidRDefault="0035117A" w:rsidP="00820788">
            <w:pPr>
              <w:jc w:val="center"/>
              <w:rPr>
                <w:rFonts w:eastAsia="Times New Roman"/>
                <w:sz w:val="20"/>
                <w:szCs w:val="20"/>
              </w:rPr>
            </w:pPr>
          </w:p>
        </w:tc>
      </w:tr>
      <w:tr w:rsidR="0035117A" w14:paraId="18635095" w14:textId="77777777" w:rsidTr="00820788">
        <w:tc>
          <w:tcPr>
            <w:tcW w:w="0" w:type="auto"/>
            <w:tcBorders>
              <w:right w:val="single" w:sz="2" w:space="0" w:color="000000" w:themeColor="text1"/>
            </w:tcBorders>
            <w:hideMark/>
          </w:tcPr>
          <w:p w14:paraId="146BF188" w14:textId="77777777" w:rsidR="0035117A" w:rsidRDefault="0035117A">
            <w:pPr>
              <w:rPr>
                <w:rFonts w:eastAsia="Times New Roman"/>
                <w:sz w:val="20"/>
                <w:szCs w:val="20"/>
              </w:rPr>
            </w:pPr>
          </w:p>
        </w:tc>
        <w:tc>
          <w:tcPr>
            <w:tcW w:w="0" w:type="auto"/>
            <w:tcBorders>
              <w:left w:val="single" w:sz="2" w:space="0" w:color="000000" w:themeColor="text1"/>
              <w:right w:val="single" w:sz="2" w:space="0" w:color="000000" w:themeColor="text1"/>
            </w:tcBorders>
            <w:hideMark/>
          </w:tcPr>
          <w:p w14:paraId="0C1DAF39" w14:textId="77777777" w:rsidR="0035117A" w:rsidRDefault="0035117A">
            <w:pPr>
              <w:pStyle w:val="NormalWeb"/>
              <w:rPr>
                <w:sz w:val="24"/>
                <w:szCs w:val="24"/>
              </w:rPr>
            </w:pPr>
            <w:r>
              <w:t>Indigenous (n=1,281)</w:t>
            </w:r>
          </w:p>
        </w:tc>
        <w:tc>
          <w:tcPr>
            <w:tcW w:w="1728" w:type="dxa"/>
            <w:tcBorders>
              <w:left w:val="single" w:sz="2" w:space="0" w:color="000000" w:themeColor="text1"/>
              <w:right w:val="single" w:sz="2" w:space="0" w:color="000000" w:themeColor="text1"/>
            </w:tcBorders>
            <w:hideMark/>
          </w:tcPr>
          <w:p w14:paraId="69D7D5C0" w14:textId="77777777" w:rsidR="0035117A" w:rsidRDefault="0035117A" w:rsidP="00820788">
            <w:pPr>
              <w:pStyle w:val="NormalWeb"/>
              <w:jc w:val="center"/>
            </w:pPr>
            <w:r>
              <w:t>877</w:t>
            </w:r>
          </w:p>
        </w:tc>
        <w:tc>
          <w:tcPr>
            <w:tcW w:w="1728" w:type="dxa"/>
            <w:tcBorders>
              <w:left w:val="single" w:sz="2" w:space="0" w:color="000000" w:themeColor="text1"/>
              <w:right w:val="single" w:sz="2" w:space="0" w:color="000000" w:themeColor="text1"/>
            </w:tcBorders>
            <w:hideMark/>
          </w:tcPr>
          <w:p w14:paraId="183021DC" w14:textId="77777777" w:rsidR="0035117A" w:rsidRDefault="0035117A" w:rsidP="00820788">
            <w:pPr>
              <w:pStyle w:val="NormalWeb"/>
              <w:jc w:val="center"/>
            </w:pPr>
            <w:r>
              <w:t>68.5</w:t>
            </w:r>
          </w:p>
        </w:tc>
        <w:tc>
          <w:tcPr>
            <w:tcW w:w="1728" w:type="dxa"/>
            <w:tcBorders>
              <w:left w:val="single" w:sz="2" w:space="0" w:color="000000" w:themeColor="text1"/>
              <w:right w:val="single" w:sz="2" w:space="0" w:color="000000" w:themeColor="text1"/>
            </w:tcBorders>
            <w:hideMark/>
          </w:tcPr>
          <w:p w14:paraId="098FB91C" w14:textId="77777777" w:rsidR="0035117A" w:rsidRDefault="0035117A" w:rsidP="00820788">
            <w:pPr>
              <w:pStyle w:val="NormalWeb"/>
              <w:jc w:val="center"/>
            </w:pPr>
            <w:r>
              <w:t>404</w:t>
            </w:r>
          </w:p>
        </w:tc>
        <w:tc>
          <w:tcPr>
            <w:tcW w:w="1729" w:type="dxa"/>
            <w:tcBorders>
              <w:left w:val="single" w:sz="2" w:space="0" w:color="000000" w:themeColor="text1"/>
            </w:tcBorders>
            <w:hideMark/>
          </w:tcPr>
          <w:p w14:paraId="69BD25E2" w14:textId="77777777" w:rsidR="0035117A" w:rsidRDefault="0035117A" w:rsidP="00820788">
            <w:pPr>
              <w:pStyle w:val="NormalWeb"/>
              <w:jc w:val="center"/>
            </w:pPr>
            <w:r>
              <w:t>31.5</w:t>
            </w:r>
          </w:p>
        </w:tc>
      </w:tr>
      <w:tr w:rsidR="0035117A" w14:paraId="20993C80"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351712CF" w14:textId="77777777" w:rsidR="0035117A" w:rsidRDefault="0035117A"/>
        </w:tc>
        <w:tc>
          <w:tcPr>
            <w:tcW w:w="0" w:type="auto"/>
            <w:tcBorders>
              <w:left w:val="single" w:sz="2" w:space="0" w:color="000000" w:themeColor="text1"/>
              <w:right w:val="single" w:sz="2" w:space="0" w:color="000000" w:themeColor="text1"/>
            </w:tcBorders>
            <w:hideMark/>
          </w:tcPr>
          <w:p w14:paraId="51396F42" w14:textId="77777777" w:rsidR="0035117A" w:rsidRDefault="0035117A">
            <w:pPr>
              <w:pStyle w:val="NormalWeb"/>
              <w:rPr>
                <w:sz w:val="24"/>
                <w:szCs w:val="24"/>
              </w:rPr>
            </w:pPr>
            <w:r>
              <w:t>Non Indigenous (n=2,111)</w:t>
            </w:r>
          </w:p>
        </w:tc>
        <w:tc>
          <w:tcPr>
            <w:tcW w:w="1728" w:type="dxa"/>
            <w:tcBorders>
              <w:left w:val="single" w:sz="2" w:space="0" w:color="000000" w:themeColor="text1"/>
              <w:right w:val="single" w:sz="2" w:space="0" w:color="000000" w:themeColor="text1"/>
            </w:tcBorders>
            <w:hideMark/>
          </w:tcPr>
          <w:p w14:paraId="236E0B93" w14:textId="77777777" w:rsidR="0035117A" w:rsidRDefault="0035117A" w:rsidP="00820788">
            <w:pPr>
              <w:pStyle w:val="NormalWeb"/>
              <w:jc w:val="center"/>
            </w:pPr>
            <w:r>
              <w:t>670</w:t>
            </w:r>
          </w:p>
        </w:tc>
        <w:tc>
          <w:tcPr>
            <w:tcW w:w="1728" w:type="dxa"/>
            <w:tcBorders>
              <w:left w:val="single" w:sz="2" w:space="0" w:color="000000" w:themeColor="text1"/>
              <w:right w:val="single" w:sz="2" w:space="0" w:color="000000" w:themeColor="text1"/>
            </w:tcBorders>
            <w:hideMark/>
          </w:tcPr>
          <w:p w14:paraId="4FBEBCA6" w14:textId="77777777" w:rsidR="0035117A" w:rsidRDefault="0035117A" w:rsidP="00820788">
            <w:pPr>
              <w:pStyle w:val="NormalWeb"/>
              <w:jc w:val="center"/>
            </w:pPr>
            <w:r>
              <w:t>31.7</w:t>
            </w:r>
          </w:p>
        </w:tc>
        <w:tc>
          <w:tcPr>
            <w:tcW w:w="1728" w:type="dxa"/>
            <w:tcBorders>
              <w:left w:val="single" w:sz="2" w:space="0" w:color="000000" w:themeColor="text1"/>
              <w:right w:val="single" w:sz="2" w:space="0" w:color="000000" w:themeColor="text1"/>
            </w:tcBorders>
            <w:hideMark/>
          </w:tcPr>
          <w:p w14:paraId="635819A0" w14:textId="77777777" w:rsidR="0035117A" w:rsidRDefault="0035117A" w:rsidP="00820788">
            <w:pPr>
              <w:pStyle w:val="NormalWeb"/>
              <w:jc w:val="center"/>
            </w:pPr>
            <w:r>
              <w:t>1,441</w:t>
            </w:r>
          </w:p>
        </w:tc>
        <w:tc>
          <w:tcPr>
            <w:tcW w:w="1729" w:type="dxa"/>
            <w:tcBorders>
              <w:left w:val="single" w:sz="2" w:space="0" w:color="000000" w:themeColor="text1"/>
            </w:tcBorders>
            <w:hideMark/>
          </w:tcPr>
          <w:p w14:paraId="45DBE97D" w14:textId="77777777" w:rsidR="0035117A" w:rsidRDefault="0035117A" w:rsidP="00820788">
            <w:pPr>
              <w:pStyle w:val="NormalWeb"/>
              <w:jc w:val="center"/>
            </w:pPr>
            <w:r>
              <w:t>68.3</w:t>
            </w:r>
          </w:p>
        </w:tc>
      </w:tr>
      <w:tr w:rsidR="0035117A" w14:paraId="09CC3D22" w14:textId="77777777" w:rsidTr="00820788">
        <w:tc>
          <w:tcPr>
            <w:tcW w:w="0" w:type="auto"/>
            <w:gridSpan w:val="2"/>
            <w:tcBorders>
              <w:right w:val="single" w:sz="2" w:space="0" w:color="000000" w:themeColor="text1"/>
            </w:tcBorders>
            <w:hideMark/>
          </w:tcPr>
          <w:p w14:paraId="31B2B70B" w14:textId="77777777" w:rsidR="0035117A" w:rsidRDefault="0035117A">
            <w:pPr>
              <w:pStyle w:val="NormalWeb"/>
            </w:pPr>
            <w:proofErr w:type="spellStart"/>
            <w:r>
              <w:t>GA</w:t>
            </w:r>
            <w:r w:rsidRPr="00595A90">
              <w:rPr>
                <w:vertAlign w:val="superscript"/>
              </w:rPr>
              <w:t>a</w:t>
            </w:r>
            <w:proofErr w:type="spellEnd"/>
            <w:r>
              <w:t xml:space="preserve"> mean (SD)</w:t>
            </w:r>
          </w:p>
        </w:tc>
        <w:tc>
          <w:tcPr>
            <w:tcW w:w="1728" w:type="dxa"/>
            <w:tcBorders>
              <w:left w:val="single" w:sz="2" w:space="0" w:color="000000" w:themeColor="text1"/>
              <w:right w:val="single" w:sz="2" w:space="0" w:color="000000" w:themeColor="text1"/>
            </w:tcBorders>
            <w:hideMark/>
          </w:tcPr>
          <w:p w14:paraId="3024F1D8" w14:textId="77777777" w:rsidR="0035117A" w:rsidRDefault="0035117A" w:rsidP="00820788">
            <w:pPr>
              <w:pStyle w:val="NormalWeb"/>
              <w:jc w:val="center"/>
            </w:pPr>
            <w:r>
              <w:t>38.47 (2.15)</w:t>
            </w:r>
          </w:p>
        </w:tc>
        <w:tc>
          <w:tcPr>
            <w:tcW w:w="1728" w:type="dxa"/>
            <w:tcBorders>
              <w:left w:val="single" w:sz="2" w:space="0" w:color="000000" w:themeColor="text1"/>
              <w:right w:val="single" w:sz="2" w:space="0" w:color="000000" w:themeColor="text1"/>
            </w:tcBorders>
            <w:hideMark/>
          </w:tcPr>
          <w:p w14:paraId="145EC4F0" w14:textId="77777777" w:rsidR="0035117A" w:rsidRDefault="0035117A" w:rsidP="00820788">
            <w:pPr>
              <w:pStyle w:val="NormalWeb"/>
              <w:jc w:val="center"/>
            </w:pPr>
            <w:r>
              <w:t>-</w:t>
            </w:r>
          </w:p>
        </w:tc>
        <w:tc>
          <w:tcPr>
            <w:tcW w:w="1728" w:type="dxa"/>
            <w:tcBorders>
              <w:left w:val="single" w:sz="2" w:space="0" w:color="000000" w:themeColor="text1"/>
              <w:right w:val="single" w:sz="2" w:space="0" w:color="000000" w:themeColor="text1"/>
            </w:tcBorders>
            <w:hideMark/>
          </w:tcPr>
          <w:p w14:paraId="12B5DA05" w14:textId="77777777" w:rsidR="0035117A" w:rsidRDefault="0035117A" w:rsidP="00820788">
            <w:pPr>
              <w:pStyle w:val="NormalWeb"/>
              <w:jc w:val="center"/>
            </w:pPr>
            <w:r>
              <w:t>38.64 (2.11)</w:t>
            </w:r>
          </w:p>
        </w:tc>
        <w:tc>
          <w:tcPr>
            <w:tcW w:w="1729" w:type="dxa"/>
            <w:tcBorders>
              <w:left w:val="single" w:sz="2" w:space="0" w:color="000000" w:themeColor="text1"/>
            </w:tcBorders>
            <w:hideMark/>
          </w:tcPr>
          <w:p w14:paraId="6579B972" w14:textId="77777777" w:rsidR="0035117A" w:rsidRDefault="0035117A" w:rsidP="00820788">
            <w:pPr>
              <w:pStyle w:val="NormalWeb"/>
              <w:jc w:val="center"/>
            </w:pPr>
            <w:r>
              <w:t>-</w:t>
            </w:r>
          </w:p>
        </w:tc>
      </w:tr>
      <w:tr w:rsidR="0035117A" w14:paraId="4231E613"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gridSpan w:val="2"/>
            <w:tcBorders>
              <w:right w:val="single" w:sz="2" w:space="0" w:color="000000" w:themeColor="text1"/>
            </w:tcBorders>
            <w:hideMark/>
          </w:tcPr>
          <w:p w14:paraId="7B51F858" w14:textId="77777777" w:rsidR="0035117A" w:rsidRDefault="0035117A">
            <w:pPr>
              <w:pStyle w:val="NormalWeb"/>
            </w:pPr>
            <w:r>
              <w:t>Maternal Age</w:t>
            </w:r>
          </w:p>
        </w:tc>
        <w:tc>
          <w:tcPr>
            <w:tcW w:w="1728" w:type="dxa"/>
            <w:tcBorders>
              <w:left w:val="single" w:sz="2" w:space="0" w:color="000000" w:themeColor="text1"/>
              <w:right w:val="single" w:sz="2" w:space="0" w:color="000000" w:themeColor="text1"/>
            </w:tcBorders>
            <w:hideMark/>
          </w:tcPr>
          <w:p w14:paraId="12B1549D" w14:textId="77777777" w:rsidR="0035117A" w:rsidRDefault="0035117A" w:rsidP="00820788">
            <w:pPr>
              <w:jc w:val="center"/>
            </w:pPr>
          </w:p>
        </w:tc>
        <w:tc>
          <w:tcPr>
            <w:tcW w:w="1728" w:type="dxa"/>
            <w:tcBorders>
              <w:left w:val="single" w:sz="2" w:space="0" w:color="000000" w:themeColor="text1"/>
              <w:right w:val="single" w:sz="2" w:space="0" w:color="000000" w:themeColor="text1"/>
            </w:tcBorders>
            <w:hideMark/>
          </w:tcPr>
          <w:p w14:paraId="3807BC44" w14:textId="77777777" w:rsidR="0035117A" w:rsidRDefault="0035117A" w:rsidP="00820788">
            <w:pPr>
              <w:jc w:val="center"/>
              <w:rPr>
                <w:rFonts w:eastAsia="Times New Roman"/>
                <w:sz w:val="20"/>
                <w:szCs w:val="20"/>
              </w:rPr>
            </w:pPr>
          </w:p>
        </w:tc>
        <w:tc>
          <w:tcPr>
            <w:tcW w:w="1728" w:type="dxa"/>
            <w:tcBorders>
              <w:left w:val="single" w:sz="2" w:space="0" w:color="000000" w:themeColor="text1"/>
              <w:right w:val="single" w:sz="2" w:space="0" w:color="000000" w:themeColor="text1"/>
            </w:tcBorders>
            <w:hideMark/>
          </w:tcPr>
          <w:p w14:paraId="1BCE3D25" w14:textId="77777777" w:rsidR="0035117A" w:rsidRDefault="0035117A" w:rsidP="00820788">
            <w:pPr>
              <w:jc w:val="center"/>
              <w:rPr>
                <w:rFonts w:eastAsia="Times New Roman"/>
                <w:sz w:val="20"/>
                <w:szCs w:val="20"/>
              </w:rPr>
            </w:pPr>
          </w:p>
        </w:tc>
        <w:tc>
          <w:tcPr>
            <w:tcW w:w="1729" w:type="dxa"/>
            <w:tcBorders>
              <w:left w:val="single" w:sz="2" w:space="0" w:color="000000" w:themeColor="text1"/>
            </w:tcBorders>
            <w:hideMark/>
          </w:tcPr>
          <w:p w14:paraId="520C7002" w14:textId="77777777" w:rsidR="0035117A" w:rsidRDefault="0035117A" w:rsidP="00820788">
            <w:pPr>
              <w:jc w:val="center"/>
              <w:rPr>
                <w:rFonts w:eastAsia="Times New Roman"/>
                <w:sz w:val="20"/>
                <w:szCs w:val="20"/>
              </w:rPr>
            </w:pPr>
          </w:p>
        </w:tc>
      </w:tr>
      <w:tr w:rsidR="0035117A" w14:paraId="5C6A5962" w14:textId="77777777" w:rsidTr="00820788">
        <w:tc>
          <w:tcPr>
            <w:tcW w:w="0" w:type="auto"/>
            <w:tcBorders>
              <w:right w:val="single" w:sz="2" w:space="0" w:color="000000" w:themeColor="text1"/>
            </w:tcBorders>
            <w:hideMark/>
          </w:tcPr>
          <w:p w14:paraId="0F544F95" w14:textId="77777777" w:rsidR="0035117A" w:rsidRDefault="0035117A">
            <w:pPr>
              <w:rPr>
                <w:rFonts w:eastAsia="Times New Roman"/>
                <w:sz w:val="20"/>
                <w:szCs w:val="20"/>
              </w:rPr>
            </w:pPr>
          </w:p>
        </w:tc>
        <w:tc>
          <w:tcPr>
            <w:tcW w:w="0" w:type="auto"/>
            <w:tcBorders>
              <w:left w:val="single" w:sz="2" w:space="0" w:color="000000" w:themeColor="text1"/>
              <w:right w:val="single" w:sz="2" w:space="0" w:color="000000" w:themeColor="text1"/>
            </w:tcBorders>
            <w:hideMark/>
          </w:tcPr>
          <w:p w14:paraId="307DB117" w14:textId="77777777" w:rsidR="0035117A" w:rsidRDefault="0035117A">
            <w:pPr>
              <w:pStyle w:val="NormalWeb"/>
              <w:rPr>
                <w:sz w:val="24"/>
                <w:szCs w:val="24"/>
              </w:rPr>
            </w:pPr>
            <w:r>
              <w:t>Median (IQR)</w:t>
            </w:r>
          </w:p>
        </w:tc>
        <w:tc>
          <w:tcPr>
            <w:tcW w:w="1728" w:type="dxa"/>
            <w:tcBorders>
              <w:left w:val="single" w:sz="2" w:space="0" w:color="000000" w:themeColor="text1"/>
              <w:right w:val="single" w:sz="2" w:space="0" w:color="000000" w:themeColor="text1"/>
            </w:tcBorders>
            <w:hideMark/>
          </w:tcPr>
          <w:p w14:paraId="60FF8E67" w14:textId="77777777" w:rsidR="0035117A" w:rsidRDefault="0035117A" w:rsidP="00820788">
            <w:pPr>
              <w:pStyle w:val="NormalWeb"/>
              <w:jc w:val="center"/>
            </w:pPr>
            <w:r>
              <w:t>27.77 (8.61)</w:t>
            </w:r>
          </w:p>
        </w:tc>
        <w:tc>
          <w:tcPr>
            <w:tcW w:w="1728" w:type="dxa"/>
            <w:tcBorders>
              <w:left w:val="single" w:sz="2" w:space="0" w:color="000000" w:themeColor="text1"/>
              <w:right w:val="single" w:sz="2" w:space="0" w:color="000000" w:themeColor="text1"/>
            </w:tcBorders>
            <w:hideMark/>
          </w:tcPr>
          <w:p w14:paraId="4706F775" w14:textId="77777777" w:rsidR="0035117A" w:rsidRDefault="0035117A" w:rsidP="00820788">
            <w:pPr>
              <w:pStyle w:val="NormalWeb"/>
              <w:jc w:val="center"/>
            </w:pPr>
            <w:r>
              <w:t>-</w:t>
            </w:r>
          </w:p>
        </w:tc>
        <w:tc>
          <w:tcPr>
            <w:tcW w:w="1728" w:type="dxa"/>
            <w:tcBorders>
              <w:left w:val="single" w:sz="2" w:space="0" w:color="000000" w:themeColor="text1"/>
              <w:right w:val="single" w:sz="2" w:space="0" w:color="000000" w:themeColor="text1"/>
            </w:tcBorders>
            <w:hideMark/>
          </w:tcPr>
          <w:p w14:paraId="71502EE0" w14:textId="77777777" w:rsidR="0035117A" w:rsidRDefault="0035117A" w:rsidP="00820788">
            <w:pPr>
              <w:pStyle w:val="NormalWeb"/>
              <w:jc w:val="center"/>
            </w:pPr>
            <w:r>
              <w:t>29.57 (7.62)</w:t>
            </w:r>
          </w:p>
        </w:tc>
        <w:tc>
          <w:tcPr>
            <w:tcW w:w="1729" w:type="dxa"/>
            <w:tcBorders>
              <w:left w:val="single" w:sz="2" w:space="0" w:color="000000" w:themeColor="text1"/>
            </w:tcBorders>
            <w:hideMark/>
          </w:tcPr>
          <w:p w14:paraId="2C232C61" w14:textId="77777777" w:rsidR="0035117A" w:rsidRDefault="0035117A" w:rsidP="00820788">
            <w:pPr>
              <w:pStyle w:val="NormalWeb"/>
              <w:jc w:val="center"/>
            </w:pPr>
            <w:r>
              <w:t>-</w:t>
            </w:r>
          </w:p>
        </w:tc>
      </w:tr>
      <w:tr w:rsidR="0035117A" w14:paraId="3DFAA743"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76F3DDC3" w14:textId="77777777" w:rsidR="0035117A" w:rsidRDefault="0035117A"/>
        </w:tc>
        <w:tc>
          <w:tcPr>
            <w:tcW w:w="0" w:type="auto"/>
            <w:tcBorders>
              <w:left w:val="single" w:sz="2" w:space="0" w:color="000000" w:themeColor="text1"/>
              <w:right w:val="single" w:sz="2" w:space="0" w:color="000000" w:themeColor="text1"/>
            </w:tcBorders>
            <w:hideMark/>
          </w:tcPr>
          <w:p w14:paraId="048F87E4" w14:textId="77777777" w:rsidR="0035117A" w:rsidRDefault="0035117A">
            <w:pPr>
              <w:pStyle w:val="NormalWeb"/>
              <w:rPr>
                <w:sz w:val="24"/>
                <w:szCs w:val="24"/>
              </w:rPr>
            </w:pPr>
            <w:r>
              <w:t>Below 25 years (n=935)</w:t>
            </w:r>
          </w:p>
        </w:tc>
        <w:tc>
          <w:tcPr>
            <w:tcW w:w="1728" w:type="dxa"/>
            <w:tcBorders>
              <w:left w:val="single" w:sz="2" w:space="0" w:color="000000" w:themeColor="text1"/>
              <w:right w:val="single" w:sz="2" w:space="0" w:color="000000" w:themeColor="text1"/>
            </w:tcBorders>
            <w:hideMark/>
          </w:tcPr>
          <w:p w14:paraId="115CE7A9" w14:textId="77777777" w:rsidR="0035117A" w:rsidRDefault="0035117A" w:rsidP="00820788">
            <w:pPr>
              <w:pStyle w:val="NormalWeb"/>
              <w:jc w:val="center"/>
            </w:pPr>
            <w:r>
              <w:t>525</w:t>
            </w:r>
          </w:p>
        </w:tc>
        <w:tc>
          <w:tcPr>
            <w:tcW w:w="1728" w:type="dxa"/>
            <w:tcBorders>
              <w:left w:val="single" w:sz="2" w:space="0" w:color="000000" w:themeColor="text1"/>
              <w:right w:val="single" w:sz="2" w:space="0" w:color="000000" w:themeColor="text1"/>
            </w:tcBorders>
            <w:hideMark/>
          </w:tcPr>
          <w:p w14:paraId="342FE9DB" w14:textId="77777777" w:rsidR="0035117A" w:rsidRDefault="0035117A" w:rsidP="00820788">
            <w:pPr>
              <w:pStyle w:val="NormalWeb"/>
              <w:jc w:val="center"/>
            </w:pPr>
            <w:r>
              <w:t>56.1</w:t>
            </w:r>
          </w:p>
        </w:tc>
        <w:tc>
          <w:tcPr>
            <w:tcW w:w="1728" w:type="dxa"/>
            <w:tcBorders>
              <w:left w:val="single" w:sz="2" w:space="0" w:color="000000" w:themeColor="text1"/>
              <w:right w:val="single" w:sz="2" w:space="0" w:color="000000" w:themeColor="text1"/>
            </w:tcBorders>
            <w:hideMark/>
          </w:tcPr>
          <w:p w14:paraId="2D2B3786" w14:textId="77777777" w:rsidR="0035117A" w:rsidRDefault="0035117A" w:rsidP="00820788">
            <w:pPr>
              <w:pStyle w:val="NormalWeb"/>
              <w:jc w:val="center"/>
            </w:pPr>
            <w:r>
              <w:t>410</w:t>
            </w:r>
          </w:p>
        </w:tc>
        <w:tc>
          <w:tcPr>
            <w:tcW w:w="1729" w:type="dxa"/>
            <w:tcBorders>
              <w:left w:val="single" w:sz="2" w:space="0" w:color="000000" w:themeColor="text1"/>
            </w:tcBorders>
            <w:hideMark/>
          </w:tcPr>
          <w:p w14:paraId="6DFDD5A9" w14:textId="77777777" w:rsidR="0035117A" w:rsidRDefault="0035117A" w:rsidP="00820788">
            <w:pPr>
              <w:pStyle w:val="NormalWeb"/>
              <w:jc w:val="center"/>
            </w:pPr>
            <w:r>
              <w:t>43.9</w:t>
            </w:r>
          </w:p>
        </w:tc>
      </w:tr>
      <w:tr w:rsidR="0035117A" w14:paraId="64EAB8CC" w14:textId="77777777" w:rsidTr="00820788">
        <w:tc>
          <w:tcPr>
            <w:tcW w:w="0" w:type="auto"/>
            <w:tcBorders>
              <w:right w:val="single" w:sz="2" w:space="0" w:color="000000" w:themeColor="text1"/>
            </w:tcBorders>
            <w:hideMark/>
          </w:tcPr>
          <w:p w14:paraId="53EF7A59" w14:textId="77777777" w:rsidR="0035117A" w:rsidRDefault="0035117A"/>
        </w:tc>
        <w:tc>
          <w:tcPr>
            <w:tcW w:w="0" w:type="auto"/>
            <w:tcBorders>
              <w:left w:val="single" w:sz="2" w:space="0" w:color="000000" w:themeColor="text1"/>
              <w:right w:val="single" w:sz="2" w:space="0" w:color="000000" w:themeColor="text1"/>
            </w:tcBorders>
            <w:hideMark/>
          </w:tcPr>
          <w:p w14:paraId="25358D56" w14:textId="77777777" w:rsidR="0035117A" w:rsidRDefault="0035117A">
            <w:pPr>
              <w:pStyle w:val="NormalWeb"/>
              <w:rPr>
                <w:sz w:val="24"/>
                <w:szCs w:val="24"/>
              </w:rPr>
            </w:pPr>
            <w:r>
              <w:t>25-34 years (n=1,948)</w:t>
            </w:r>
          </w:p>
        </w:tc>
        <w:tc>
          <w:tcPr>
            <w:tcW w:w="1728" w:type="dxa"/>
            <w:tcBorders>
              <w:left w:val="single" w:sz="2" w:space="0" w:color="000000" w:themeColor="text1"/>
              <w:right w:val="single" w:sz="2" w:space="0" w:color="000000" w:themeColor="text1"/>
            </w:tcBorders>
            <w:hideMark/>
          </w:tcPr>
          <w:p w14:paraId="127BF064" w14:textId="77777777" w:rsidR="0035117A" w:rsidRDefault="0035117A" w:rsidP="00820788">
            <w:pPr>
              <w:pStyle w:val="NormalWeb"/>
              <w:jc w:val="center"/>
            </w:pPr>
            <w:r>
              <w:t>831</w:t>
            </w:r>
          </w:p>
        </w:tc>
        <w:tc>
          <w:tcPr>
            <w:tcW w:w="1728" w:type="dxa"/>
            <w:tcBorders>
              <w:left w:val="single" w:sz="2" w:space="0" w:color="000000" w:themeColor="text1"/>
              <w:right w:val="single" w:sz="2" w:space="0" w:color="000000" w:themeColor="text1"/>
            </w:tcBorders>
            <w:hideMark/>
          </w:tcPr>
          <w:p w14:paraId="37C1DF21" w14:textId="77777777" w:rsidR="0035117A" w:rsidRDefault="0035117A" w:rsidP="00820788">
            <w:pPr>
              <w:pStyle w:val="NormalWeb"/>
              <w:jc w:val="center"/>
            </w:pPr>
            <w:r>
              <w:t>42.7</w:t>
            </w:r>
          </w:p>
        </w:tc>
        <w:tc>
          <w:tcPr>
            <w:tcW w:w="1728" w:type="dxa"/>
            <w:tcBorders>
              <w:left w:val="single" w:sz="2" w:space="0" w:color="000000" w:themeColor="text1"/>
              <w:right w:val="single" w:sz="2" w:space="0" w:color="000000" w:themeColor="text1"/>
            </w:tcBorders>
            <w:hideMark/>
          </w:tcPr>
          <w:p w14:paraId="2399D4AC" w14:textId="77777777" w:rsidR="0035117A" w:rsidRDefault="0035117A" w:rsidP="00820788">
            <w:pPr>
              <w:pStyle w:val="NormalWeb"/>
              <w:jc w:val="center"/>
            </w:pPr>
            <w:r>
              <w:t>1,117</w:t>
            </w:r>
          </w:p>
        </w:tc>
        <w:tc>
          <w:tcPr>
            <w:tcW w:w="1729" w:type="dxa"/>
            <w:tcBorders>
              <w:left w:val="single" w:sz="2" w:space="0" w:color="000000" w:themeColor="text1"/>
            </w:tcBorders>
            <w:hideMark/>
          </w:tcPr>
          <w:p w14:paraId="5F80A299" w14:textId="77777777" w:rsidR="0035117A" w:rsidRDefault="0035117A" w:rsidP="00820788">
            <w:pPr>
              <w:pStyle w:val="NormalWeb"/>
              <w:jc w:val="center"/>
            </w:pPr>
            <w:r>
              <w:t>57.3</w:t>
            </w:r>
          </w:p>
        </w:tc>
      </w:tr>
      <w:tr w:rsidR="0035117A" w14:paraId="061A9648"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1BC0558F" w14:textId="77777777" w:rsidR="0035117A" w:rsidRDefault="0035117A"/>
        </w:tc>
        <w:tc>
          <w:tcPr>
            <w:tcW w:w="0" w:type="auto"/>
            <w:tcBorders>
              <w:left w:val="single" w:sz="2" w:space="0" w:color="000000" w:themeColor="text1"/>
              <w:right w:val="single" w:sz="2" w:space="0" w:color="000000" w:themeColor="text1"/>
            </w:tcBorders>
            <w:hideMark/>
          </w:tcPr>
          <w:p w14:paraId="3C9F148F" w14:textId="77777777" w:rsidR="0035117A" w:rsidRDefault="0035117A">
            <w:pPr>
              <w:pStyle w:val="NormalWeb"/>
              <w:rPr>
                <w:sz w:val="24"/>
                <w:szCs w:val="24"/>
              </w:rPr>
            </w:pPr>
            <w:r>
              <w:t>35 years and above (n=509)</w:t>
            </w:r>
          </w:p>
        </w:tc>
        <w:tc>
          <w:tcPr>
            <w:tcW w:w="1728" w:type="dxa"/>
            <w:tcBorders>
              <w:left w:val="single" w:sz="2" w:space="0" w:color="000000" w:themeColor="text1"/>
              <w:right w:val="single" w:sz="2" w:space="0" w:color="000000" w:themeColor="text1"/>
            </w:tcBorders>
            <w:hideMark/>
          </w:tcPr>
          <w:p w14:paraId="3DE481F9" w14:textId="77777777" w:rsidR="0035117A" w:rsidRDefault="0035117A" w:rsidP="00820788">
            <w:pPr>
              <w:pStyle w:val="NormalWeb"/>
              <w:jc w:val="center"/>
            </w:pPr>
            <w:r>
              <w:t>191</w:t>
            </w:r>
          </w:p>
        </w:tc>
        <w:tc>
          <w:tcPr>
            <w:tcW w:w="1728" w:type="dxa"/>
            <w:tcBorders>
              <w:left w:val="single" w:sz="2" w:space="0" w:color="000000" w:themeColor="text1"/>
              <w:right w:val="single" w:sz="2" w:space="0" w:color="000000" w:themeColor="text1"/>
            </w:tcBorders>
            <w:hideMark/>
          </w:tcPr>
          <w:p w14:paraId="025B0700" w14:textId="77777777" w:rsidR="0035117A" w:rsidRDefault="0035117A" w:rsidP="00820788">
            <w:pPr>
              <w:pStyle w:val="NormalWeb"/>
              <w:jc w:val="center"/>
            </w:pPr>
            <w:r>
              <w:t>37.5</w:t>
            </w:r>
          </w:p>
        </w:tc>
        <w:tc>
          <w:tcPr>
            <w:tcW w:w="1728" w:type="dxa"/>
            <w:tcBorders>
              <w:left w:val="single" w:sz="2" w:space="0" w:color="000000" w:themeColor="text1"/>
              <w:right w:val="single" w:sz="2" w:space="0" w:color="000000" w:themeColor="text1"/>
            </w:tcBorders>
            <w:hideMark/>
          </w:tcPr>
          <w:p w14:paraId="792840CC" w14:textId="77777777" w:rsidR="0035117A" w:rsidRDefault="0035117A" w:rsidP="00820788">
            <w:pPr>
              <w:pStyle w:val="NormalWeb"/>
              <w:jc w:val="center"/>
            </w:pPr>
            <w:r>
              <w:t>318</w:t>
            </w:r>
          </w:p>
        </w:tc>
        <w:tc>
          <w:tcPr>
            <w:tcW w:w="1729" w:type="dxa"/>
            <w:tcBorders>
              <w:left w:val="single" w:sz="2" w:space="0" w:color="000000" w:themeColor="text1"/>
            </w:tcBorders>
            <w:hideMark/>
          </w:tcPr>
          <w:p w14:paraId="184ABBFD" w14:textId="77777777" w:rsidR="0035117A" w:rsidRDefault="0035117A" w:rsidP="00820788">
            <w:pPr>
              <w:pStyle w:val="NormalWeb"/>
              <w:jc w:val="center"/>
            </w:pPr>
            <w:r>
              <w:t>62.5</w:t>
            </w:r>
          </w:p>
        </w:tc>
      </w:tr>
      <w:tr w:rsidR="0035117A" w14:paraId="209D424E" w14:textId="77777777" w:rsidTr="00820788">
        <w:tc>
          <w:tcPr>
            <w:tcW w:w="0" w:type="auto"/>
            <w:gridSpan w:val="2"/>
            <w:tcBorders>
              <w:right w:val="single" w:sz="2" w:space="0" w:color="000000" w:themeColor="text1"/>
            </w:tcBorders>
            <w:hideMark/>
          </w:tcPr>
          <w:p w14:paraId="4503F291" w14:textId="77777777" w:rsidR="0035117A" w:rsidRDefault="0035117A">
            <w:pPr>
              <w:pStyle w:val="NormalWeb"/>
            </w:pPr>
            <w:r>
              <w:t>Region</w:t>
            </w:r>
          </w:p>
        </w:tc>
        <w:tc>
          <w:tcPr>
            <w:tcW w:w="1728" w:type="dxa"/>
            <w:tcBorders>
              <w:left w:val="single" w:sz="2" w:space="0" w:color="000000" w:themeColor="text1"/>
              <w:right w:val="single" w:sz="2" w:space="0" w:color="000000" w:themeColor="text1"/>
            </w:tcBorders>
            <w:hideMark/>
          </w:tcPr>
          <w:p w14:paraId="437D772C" w14:textId="77777777" w:rsidR="0035117A" w:rsidRDefault="0035117A" w:rsidP="00820788">
            <w:pPr>
              <w:jc w:val="center"/>
            </w:pPr>
          </w:p>
        </w:tc>
        <w:tc>
          <w:tcPr>
            <w:tcW w:w="1728" w:type="dxa"/>
            <w:tcBorders>
              <w:left w:val="single" w:sz="2" w:space="0" w:color="000000" w:themeColor="text1"/>
              <w:right w:val="single" w:sz="2" w:space="0" w:color="000000" w:themeColor="text1"/>
            </w:tcBorders>
            <w:hideMark/>
          </w:tcPr>
          <w:p w14:paraId="3F51AC4D" w14:textId="77777777" w:rsidR="0035117A" w:rsidRDefault="0035117A" w:rsidP="00820788">
            <w:pPr>
              <w:jc w:val="center"/>
              <w:rPr>
                <w:rFonts w:eastAsia="Times New Roman"/>
                <w:sz w:val="20"/>
                <w:szCs w:val="20"/>
              </w:rPr>
            </w:pPr>
          </w:p>
        </w:tc>
        <w:tc>
          <w:tcPr>
            <w:tcW w:w="1728" w:type="dxa"/>
            <w:tcBorders>
              <w:left w:val="single" w:sz="2" w:space="0" w:color="000000" w:themeColor="text1"/>
              <w:right w:val="single" w:sz="2" w:space="0" w:color="000000" w:themeColor="text1"/>
            </w:tcBorders>
            <w:hideMark/>
          </w:tcPr>
          <w:p w14:paraId="3B4BCD3B" w14:textId="77777777" w:rsidR="0035117A" w:rsidRDefault="0035117A" w:rsidP="00820788">
            <w:pPr>
              <w:jc w:val="center"/>
              <w:rPr>
                <w:rFonts w:eastAsia="Times New Roman"/>
                <w:sz w:val="20"/>
                <w:szCs w:val="20"/>
              </w:rPr>
            </w:pPr>
          </w:p>
        </w:tc>
        <w:tc>
          <w:tcPr>
            <w:tcW w:w="1729" w:type="dxa"/>
            <w:tcBorders>
              <w:left w:val="single" w:sz="2" w:space="0" w:color="000000" w:themeColor="text1"/>
            </w:tcBorders>
            <w:hideMark/>
          </w:tcPr>
          <w:p w14:paraId="660D204E" w14:textId="77777777" w:rsidR="0035117A" w:rsidRDefault="0035117A" w:rsidP="00820788">
            <w:pPr>
              <w:jc w:val="center"/>
              <w:rPr>
                <w:rFonts w:eastAsia="Times New Roman"/>
                <w:sz w:val="20"/>
                <w:szCs w:val="20"/>
              </w:rPr>
            </w:pPr>
          </w:p>
        </w:tc>
      </w:tr>
      <w:tr w:rsidR="0035117A" w14:paraId="3C100756"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C056860" w14:textId="77777777" w:rsidR="0035117A" w:rsidRDefault="0035117A">
            <w:pPr>
              <w:rPr>
                <w:rFonts w:eastAsia="Times New Roman"/>
                <w:sz w:val="20"/>
                <w:szCs w:val="20"/>
              </w:rPr>
            </w:pPr>
          </w:p>
        </w:tc>
        <w:tc>
          <w:tcPr>
            <w:tcW w:w="0" w:type="auto"/>
            <w:tcBorders>
              <w:left w:val="single" w:sz="2" w:space="0" w:color="000000" w:themeColor="text1"/>
              <w:right w:val="single" w:sz="2" w:space="0" w:color="000000" w:themeColor="text1"/>
            </w:tcBorders>
            <w:hideMark/>
          </w:tcPr>
          <w:p w14:paraId="06821401" w14:textId="77777777" w:rsidR="0035117A" w:rsidRDefault="0035117A">
            <w:pPr>
              <w:pStyle w:val="NormalWeb"/>
              <w:rPr>
                <w:sz w:val="24"/>
                <w:szCs w:val="24"/>
              </w:rPr>
            </w:pPr>
            <w:r>
              <w:t>Alice Springs (n=820)</w:t>
            </w:r>
          </w:p>
        </w:tc>
        <w:tc>
          <w:tcPr>
            <w:tcW w:w="1728" w:type="dxa"/>
            <w:tcBorders>
              <w:left w:val="single" w:sz="2" w:space="0" w:color="000000" w:themeColor="text1"/>
              <w:right w:val="single" w:sz="2" w:space="0" w:color="000000" w:themeColor="text1"/>
            </w:tcBorders>
            <w:hideMark/>
          </w:tcPr>
          <w:p w14:paraId="474617C5" w14:textId="77777777" w:rsidR="0035117A" w:rsidRDefault="0035117A" w:rsidP="00820788">
            <w:pPr>
              <w:pStyle w:val="NormalWeb"/>
              <w:jc w:val="center"/>
            </w:pPr>
            <w:r>
              <w:t>433</w:t>
            </w:r>
          </w:p>
        </w:tc>
        <w:tc>
          <w:tcPr>
            <w:tcW w:w="1728" w:type="dxa"/>
            <w:tcBorders>
              <w:left w:val="single" w:sz="2" w:space="0" w:color="000000" w:themeColor="text1"/>
              <w:right w:val="single" w:sz="2" w:space="0" w:color="000000" w:themeColor="text1"/>
            </w:tcBorders>
            <w:hideMark/>
          </w:tcPr>
          <w:p w14:paraId="670ABD40" w14:textId="77777777" w:rsidR="0035117A" w:rsidRDefault="0035117A" w:rsidP="00820788">
            <w:pPr>
              <w:pStyle w:val="NormalWeb"/>
              <w:jc w:val="center"/>
            </w:pPr>
            <w:r>
              <w:t>52.7</w:t>
            </w:r>
          </w:p>
        </w:tc>
        <w:tc>
          <w:tcPr>
            <w:tcW w:w="1728" w:type="dxa"/>
            <w:tcBorders>
              <w:left w:val="single" w:sz="2" w:space="0" w:color="000000" w:themeColor="text1"/>
              <w:right w:val="single" w:sz="2" w:space="0" w:color="000000" w:themeColor="text1"/>
            </w:tcBorders>
            <w:hideMark/>
          </w:tcPr>
          <w:p w14:paraId="220B348A" w14:textId="77777777" w:rsidR="0035117A" w:rsidRDefault="0035117A" w:rsidP="00820788">
            <w:pPr>
              <w:pStyle w:val="NormalWeb"/>
              <w:jc w:val="center"/>
            </w:pPr>
            <w:r>
              <w:t>387</w:t>
            </w:r>
          </w:p>
        </w:tc>
        <w:tc>
          <w:tcPr>
            <w:tcW w:w="1729" w:type="dxa"/>
            <w:tcBorders>
              <w:left w:val="single" w:sz="2" w:space="0" w:color="000000" w:themeColor="text1"/>
            </w:tcBorders>
            <w:hideMark/>
          </w:tcPr>
          <w:p w14:paraId="22EB6861" w14:textId="77777777" w:rsidR="0035117A" w:rsidRDefault="0035117A" w:rsidP="00820788">
            <w:pPr>
              <w:pStyle w:val="NormalWeb"/>
              <w:jc w:val="center"/>
            </w:pPr>
            <w:r>
              <w:t>47.3</w:t>
            </w:r>
          </w:p>
        </w:tc>
      </w:tr>
      <w:tr w:rsidR="0035117A" w14:paraId="17EC67D3" w14:textId="77777777" w:rsidTr="00820788">
        <w:tc>
          <w:tcPr>
            <w:tcW w:w="0" w:type="auto"/>
            <w:tcBorders>
              <w:right w:val="single" w:sz="2" w:space="0" w:color="000000" w:themeColor="text1"/>
            </w:tcBorders>
            <w:hideMark/>
          </w:tcPr>
          <w:p w14:paraId="4DF64DA0" w14:textId="77777777" w:rsidR="0035117A" w:rsidRDefault="0035117A"/>
        </w:tc>
        <w:tc>
          <w:tcPr>
            <w:tcW w:w="0" w:type="auto"/>
            <w:tcBorders>
              <w:left w:val="single" w:sz="2" w:space="0" w:color="000000" w:themeColor="text1"/>
              <w:right w:val="single" w:sz="2" w:space="0" w:color="000000" w:themeColor="text1"/>
            </w:tcBorders>
            <w:hideMark/>
          </w:tcPr>
          <w:p w14:paraId="7D0CD5BA" w14:textId="77777777" w:rsidR="0035117A" w:rsidRDefault="0035117A">
            <w:pPr>
              <w:pStyle w:val="NormalWeb"/>
              <w:rPr>
                <w:sz w:val="24"/>
                <w:szCs w:val="24"/>
              </w:rPr>
            </w:pPr>
            <w:r>
              <w:t>East Arnhem (n=131)</w:t>
            </w:r>
          </w:p>
        </w:tc>
        <w:tc>
          <w:tcPr>
            <w:tcW w:w="1728" w:type="dxa"/>
            <w:tcBorders>
              <w:left w:val="single" w:sz="2" w:space="0" w:color="000000" w:themeColor="text1"/>
              <w:right w:val="single" w:sz="2" w:space="0" w:color="000000" w:themeColor="text1"/>
            </w:tcBorders>
            <w:hideMark/>
          </w:tcPr>
          <w:p w14:paraId="70704245" w14:textId="77777777" w:rsidR="0035117A" w:rsidRDefault="0035117A" w:rsidP="00820788">
            <w:pPr>
              <w:pStyle w:val="NormalWeb"/>
              <w:jc w:val="center"/>
            </w:pPr>
            <w:r>
              <w:t>96</w:t>
            </w:r>
          </w:p>
        </w:tc>
        <w:tc>
          <w:tcPr>
            <w:tcW w:w="1728" w:type="dxa"/>
            <w:tcBorders>
              <w:left w:val="single" w:sz="2" w:space="0" w:color="000000" w:themeColor="text1"/>
              <w:right w:val="single" w:sz="2" w:space="0" w:color="000000" w:themeColor="text1"/>
            </w:tcBorders>
            <w:hideMark/>
          </w:tcPr>
          <w:p w14:paraId="1DAB3B18" w14:textId="77777777" w:rsidR="0035117A" w:rsidRDefault="0035117A" w:rsidP="00820788">
            <w:pPr>
              <w:pStyle w:val="NormalWeb"/>
              <w:jc w:val="center"/>
            </w:pPr>
            <w:r>
              <w:t>73.3</w:t>
            </w:r>
          </w:p>
        </w:tc>
        <w:tc>
          <w:tcPr>
            <w:tcW w:w="1728" w:type="dxa"/>
            <w:tcBorders>
              <w:left w:val="single" w:sz="2" w:space="0" w:color="000000" w:themeColor="text1"/>
              <w:right w:val="single" w:sz="2" w:space="0" w:color="000000" w:themeColor="text1"/>
            </w:tcBorders>
            <w:hideMark/>
          </w:tcPr>
          <w:p w14:paraId="4D06BC18" w14:textId="77777777" w:rsidR="0035117A" w:rsidRDefault="0035117A" w:rsidP="00820788">
            <w:pPr>
              <w:pStyle w:val="NormalWeb"/>
              <w:jc w:val="center"/>
            </w:pPr>
            <w:r>
              <w:t>35</w:t>
            </w:r>
          </w:p>
        </w:tc>
        <w:tc>
          <w:tcPr>
            <w:tcW w:w="1729" w:type="dxa"/>
            <w:tcBorders>
              <w:left w:val="single" w:sz="2" w:space="0" w:color="000000" w:themeColor="text1"/>
            </w:tcBorders>
            <w:hideMark/>
          </w:tcPr>
          <w:p w14:paraId="166ABD49" w14:textId="77777777" w:rsidR="0035117A" w:rsidRDefault="0035117A" w:rsidP="00820788">
            <w:pPr>
              <w:pStyle w:val="NormalWeb"/>
              <w:jc w:val="center"/>
            </w:pPr>
            <w:r>
              <w:t>26.7</w:t>
            </w:r>
          </w:p>
        </w:tc>
      </w:tr>
      <w:tr w:rsidR="0035117A" w14:paraId="78C76BAF"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6357B602" w14:textId="77777777" w:rsidR="0035117A" w:rsidRDefault="0035117A"/>
        </w:tc>
        <w:tc>
          <w:tcPr>
            <w:tcW w:w="0" w:type="auto"/>
            <w:tcBorders>
              <w:left w:val="single" w:sz="2" w:space="0" w:color="000000" w:themeColor="text1"/>
              <w:right w:val="single" w:sz="2" w:space="0" w:color="000000" w:themeColor="text1"/>
            </w:tcBorders>
            <w:hideMark/>
          </w:tcPr>
          <w:p w14:paraId="36EE58F2" w14:textId="77777777" w:rsidR="0035117A" w:rsidRDefault="0035117A">
            <w:pPr>
              <w:pStyle w:val="NormalWeb"/>
              <w:rPr>
                <w:sz w:val="24"/>
                <w:szCs w:val="24"/>
              </w:rPr>
            </w:pPr>
            <w:r>
              <w:t>Katherine (n=240)</w:t>
            </w:r>
          </w:p>
        </w:tc>
        <w:tc>
          <w:tcPr>
            <w:tcW w:w="1728" w:type="dxa"/>
            <w:tcBorders>
              <w:left w:val="single" w:sz="2" w:space="0" w:color="000000" w:themeColor="text1"/>
              <w:right w:val="single" w:sz="2" w:space="0" w:color="000000" w:themeColor="text1"/>
            </w:tcBorders>
            <w:hideMark/>
          </w:tcPr>
          <w:p w14:paraId="70D71D2B" w14:textId="77777777" w:rsidR="0035117A" w:rsidRDefault="0035117A" w:rsidP="00820788">
            <w:pPr>
              <w:pStyle w:val="NormalWeb"/>
              <w:jc w:val="center"/>
            </w:pPr>
            <w:r>
              <w:t>104</w:t>
            </w:r>
          </w:p>
        </w:tc>
        <w:tc>
          <w:tcPr>
            <w:tcW w:w="1728" w:type="dxa"/>
            <w:tcBorders>
              <w:left w:val="single" w:sz="2" w:space="0" w:color="000000" w:themeColor="text1"/>
              <w:right w:val="single" w:sz="2" w:space="0" w:color="000000" w:themeColor="text1"/>
            </w:tcBorders>
            <w:hideMark/>
          </w:tcPr>
          <w:p w14:paraId="0786F1FC" w14:textId="77777777" w:rsidR="0035117A" w:rsidRDefault="0035117A" w:rsidP="00820788">
            <w:pPr>
              <w:pStyle w:val="NormalWeb"/>
              <w:jc w:val="center"/>
            </w:pPr>
            <w:r>
              <w:t>43.3</w:t>
            </w:r>
          </w:p>
        </w:tc>
        <w:tc>
          <w:tcPr>
            <w:tcW w:w="1728" w:type="dxa"/>
            <w:tcBorders>
              <w:left w:val="single" w:sz="2" w:space="0" w:color="000000" w:themeColor="text1"/>
              <w:right w:val="single" w:sz="2" w:space="0" w:color="000000" w:themeColor="text1"/>
            </w:tcBorders>
            <w:hideMark/>
          </w:tcPr>
          <w:p w14:paraId="5EFE11A8" w14:textId="77777777" w:rsidR="0035117A" w:rsidRDefault="0035117A" w:rsidP="00820788">
            <w:pPr>
              <w:pStyle w:val="NormalWeb"/>
              <w:jc w:val="center"/>
            </w:pPr>
            <w:r>
              <w:t>136</w:t>
            </w:r>
          </w:p>
        </w:tc>
        <w:tc>
          <w:tcPr>
            <w:tcW w:w="1729" w:type="dxa"/>
            <w:tcBorders>
              <w:left w:val="single" w:sz="2" w:space="0" w:color="000000" w:themeColor="text1"/>
            </w:tcBorders>
            <w:hideMark/>
          </w:tcPr>
          <w:p w14:paraId="53F85450" w14:textId="77777777" w:rsidR="0035117A" w:rsidRDefault="0035117A" w:rsidP="00820788">
            <w:pPr>
              <w:pStyle w:val="NormalWeb"/>
              <w:jc w:val="center"/>
            </w:pPr>
            <w:r>
              <w:t>56.7</w:t>
            </w:r>
          </w:p>
        </w:tc>
      </w:tr>
      <w:tr w:rsidR="0035117A" w14:paraId="785BBFF1" w14:textId="77777777" w:rsidTr="00820788">
        <w:tc>
          <w:tcPr>
            <w:tcW w:w="0" w:type="auto"/>
            <w:tcBorders>
              <w:right w:val="single" w:sz="2" w:space="0" w:color="000000" w:themeColor="text1"/>
            </w:tcBorders>
            <w:hideMark/>
          </w:tcPr>
          <w:p w14:paraId="157B04A0" w14:textId="77777777" w:rsidR="0035117A" w:rsidRDefault="0035117A"/>
        </w:tc>
        <w:tc>
          <w:tcPr>
            <w:tcW w:w="0" w:type="auto"/>
            <w:tcBorders>
              <w:left w:val="single" w:sz="2" w:space="0" w:color="000000" w:themeColor="text1"/>
              <w:right w:val="single" w:sz="2" w:space="0" w:color="000000" w:themeColor="text1"/>
            </w:tcBorders>
            <w:hideMark/>
          </w:tcPr>
          <w:p w14:paraId="2B6D1EE8" w14:textId="77777777" w:rsidR="0035117A" w:rsidRDefault="0035117A">
            <w:pPr>
              <w:pStyle w:val="NormalWeb"/>
              <w:rPr>
                <w:sz w:val="24"/>
                <w:szCs w:val="24"/>
              </w:rPr>
            </w:pPr>
            <w:r>
              <w:t>Darwin (n=2,201)</w:t>
            </w:r>
          </w:p>
        </w:tc>
        <w:tc>
          <w:tcPr>
            <w:tcW w:w="1728" w:type="dxa"/>
            <w:tcBorders>
              <w:left w:val="single" w:sz="2" w:space="0" w:color="000000" w:themeColor="text1"/>
              <w:right w:val="single" w:sz="2" w:space="0" w:color="000000" w:themeColor="text1"/>
            </w:tcBorders>
            <w:hideMark/>
          </w:tcPr>
          <w:p w14:paraId="14476747" w14:textId="77777777" w:rsidR="0035117A" w:rsidRDefault="0035117A" w:rsidP="00820788">
            <w:pPr>
              <w:pStyle w:val="NormalWeb"/>
              <w:jc w:val="center"/>
            </w:pPr>
            <w:r>
              <w:t>914</w:t>
            </w:r>
          </w:p>
        </w:tc>
        <w:tc>
          <w:tcPr>
            <w:tcW w:w="1728" w:type="dxa"/>
            <w:tcBorders>
              <w:left w:val="single" w:sz="2" w:space="0" w:color="000000" w:themeColor="text1"/>
              <w:right w:val="single" w:sz="2" w:space="0" w:color="000000" w:themeColor="text1"/>
            </w:tcBorders>
            <w:hideMark/>
          </w:tcPr>
          <w:p w14:paraId="1251BCBA" w14:textId="77777777" w:rsidR="0035117A" w:rsidRDefault="0035117A" w:rsidP="00820788">
            <w:pPr>
              <w:pStyle w:val="NormalWeb"/>
              <w:jc w:val="center"/>
            </w:pPr>
            <w:r>
              <w:t>41.5</w:t>
            </w:r>
          </w:p>
        </w:tc>
        <w:tc>
          <w:tcPr>
            <w:tcW w:w="1728" w:type="dxa"/>
            <w:tcBorders>
              <w:left w:val="single" w:sz="2" w:space="0" w:color="000000" w:themeColor="text1"/>
              <w:right w:val="single" w:sz="2" w:space="0" w:color="000000" w:themeColor="text1"/>
            </w:tcBorders>
            <w:hideMark/>
          </w:tcPr>
          <w:p w14:paraId="64C1EC4E" w14:textId="77777777" w:rsidR="0035117A" w:rsidRDefault="0035117A" w:rsidP="00820788">
            <w:pPr>
              <w:pStyle w:val="NormalWeb"/>
              <w:jc w:val="center"/>
            </w:pPr>
            <w:r>
              <w:t>1,287</w:t>
            </w:r>
          </w:p>
        </w:tc>
        <w:tc>
          <w:tcPr>
            <w:tcW w:w="1729" w:type="dxa"/>
            <w:tcBorders>
              <w:left w:val="single" w:sz="2" w:space="0" w:color="000000" w:themeColor="text1"/>
            </w:tcBorders>
            <w:hideMark/>
          </w:tcPr>
          <w:p w14:paraId="7E936A23" w14:textId="77777777" w:rsidR="0035117A" w:rsidRDefault="0035117A" w:rsidP="00820788">
            <w:pPr>
              <w:pStyle w:val="NormalWeb"/>
              <w:jc w:val="center"/>
            </w:pPr>
            <w:r>
              <w:t>58.5</w:t>
            </w:r>
          </w:p>
        </w:tc>
      </w:tr>
      <w:tr w:rsidR="0035117A" w14:paraId="54569B00"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gridSpan w:val="2"/>
            <w:tcBorders>
              <w:right w:val="single" w:sz="2" w:space="0" w:color="000000" w:themeColor="text1"/>
            </w:tcBorders>
            <w:hideMark/>
          </w:tcPr>
          <w:p w14:paraId="72DF6ADF" w14:textId="77777777" w:rsidR="0035117A" w:rsidRDefault="0035117A">
            <w:pPr>
              <w:pStyle w:val="NormalWeb"/>
            </w:pPr>
            <w:r>
              <w:t>Timing of influenza vaccination</w:t>
            </w:r>
          </w:p>
        </w:tc>
        <w:tc>
          <w:tcPr>
            <w:tcW w:w="1728" w:type="dxa"/>
            <w:tcBorders>
              <w:left w:val="single" w:sz="2" w:space="0" w:color="000000" w:themeColor="text1"/>
              <w:right w:val="single" w:sz="2" w:space="0" w:color="000000" w:themeColor="text1"/>
            </w:tcBorders>
            <w:hideMark/>
          </w:tcPr>
          <w:p w14:paraId="0013E3A1" w14:textId="77777777" w:rsidR="0035117A" w:rsidRDefault="0035117A" w:rsidP="00820788">
            <w:pPr>
              <w:jc w:val="center"/>
            </w:pPr>
          </w:p>
        </w:tc>
        <w:tc>
          <w:tcPr>
            <w:tcW w:w="1728" w:type="dxa"/>
            <w:tcBorders>
              <w:left w:val="single" w:sz="2" w:space="0" w:color="000000" w:themeColor="text1"/>
              <w:right w:val="single" w:sz="2" w:space="0" w:color="000000" w:themeColor="text1"/>
            </w:tcBorders>
            <w:hideMark/>
          </w:tcPr>
          <w:p w14:paraId="16103949" w14:textId="77777777" w:rsidR="0035117A" w:rsidRDefault="0035117A" w:rsidP="00820788">
            <w:pPr>
              <w:jc w:val="center"/>
              <w:rPr>
                <w:rFonts w:eastAsia="Times New Roman"/>
                <w:sz w:val="20"/>
                <w:szCs w:val="20"/>
              </w:rPr>
            </w:pPr>
          </w:p>
        </w:tc>
        <w:tc>
          <w:tcPr>
            <w:tcW w:w="1728" w:type="dxa"/>
            <w:tcBorders>
              <w:left w:val="single" w:sz="2" w:space="0" w:color="000000" w:themeColor="text1"/>
              <w:right w:val="single" w:sz="2" w:space="0" w:color="000000" w:themeColor="text1"/>
            </w:tcBorders>
            <w:hideMark/>
          </w:tcPr>
          <w:p w14:paraId="077255EE" w14:textId="77777777" w:rsidR="0035117A" w:rsidRDefault="0035117A" w:rsidP="00820788">
            <w:pPr>
              <w:jc w:val="center"/>
              <w:rPr>
                <w:rFonts w:eastAsia="Times New Roman"/>
                <w:sz w:val="20"/>
                <w:szCs w:val="20"/>
              </w:rPr>
            </w:pPr>
          </w:p>
        </w:tc>
        <w:tc>
          <w:tcPr>
            <w:tcW w:w="1729" w:type="dxa"/>
            <w:tcBorders>
              <w:left w:val="single" w:sz="2" w:space="0" w:color="000000" w:themeColor="text1"/>
            </w:tcBorders>
            <w:hideMark/>
          </w:tcPr>
          <w:p w14:paraId="48573344" w14:textId="77777777" w:rsidR="0035117A" w:rsidRDefault="0035117A" w:rsidP="00820788">
            <w:pPr>
              <w:jc w:val="center"/>
              <w:rPr>
                <w:rFonts w:eastAsia="Times New Roman"/>
                <w:sz w:val="20"/>
                <w:szCs w:val="20"/>
              </w:rPr>
            </w:pPr>
          </w:p>
        </w:tc>
      </w:tr>
      <w:tr w:rsidR="0035117A" w14:paraId="4A29DA76" w14:textId="77777777" w:rsidTr="00820788">
        <w:tc>
          <w:tcPr>
            <w:tcW w:w="0" w:type="auto"/>
            <w:tcBorders>
              <w:right w:val="single" w:sz="2" w:space="0" w:color="000000" w:themeColor="text1"/>
            </w:tcBorders>
            <w:hideMark/>
          </w:tcPr>
          <w:p w14:paraId="19853AD3" w14:textId="77777777" w:rsidR="0035117A" w:rsidRDefault="0035117A">
            <w:pPr>
              <w:pStyle w:val="NormalWeb"/>
              <w:rPr>
                <w:sz w:val="24"/>
                <w:szCs w:val="24"/>
              </w:rPr>
            </w:pPr>
            <w:r>
              <w:t> </w:t>
            </w:r>
          </w:p>
        </w:tc>
        <w:tc>
          <w:tcPr>
            <w:tcW w:w="0" w:type="auto"/>
            <w:tcBorders>
              <w:left w:val="single" w:sz="2" w:space="0" w:color="000000" w:themeColor="text1"/>
              <w:right w:val="single" w:sz="2" w:space="0" w:color="000000" w:themeColor="text1"/>
            </w:tcBorders>
            <w:hideMark/>
          </w:tcPr>
          <w:p w14:paraId="272E72BE" w14:textId="77777777" w:rsidR="0035117A" w:rsidRDefault="0035117A">
            <w:pPr>
              <w:pStyle w:val="NormalWeb"/>
            </w:pPr>
            <w:r>
              <w:t>1st trimester (GA ≤ 12+6)</w:t>
            </w:r>
          </w:p>
        </w:tc>
        <w:tc>
          <w:tcPr>
            <w:tcW w:w="1728" w:type="dxa"/>
            <w:tcBorders>
              <w:left w:val="single" w:sz="2" w:space="0" w:color="000000" w:themeColor="text1"/>
              <w:right w:val="single" w:sz="2" w:space="0" w:color="000000" w:themeColor="text1"/>
            </w:tcBorders>
            <w:hideMark/>
          </w:tcPr>
          <w:p w14:paraId="3BF49E71" w14:textId="77777777" w:rsidR="0035117A" w:rsidRDefault="0035117A" w:rsidP="00820788">
            <w:pPr>
              <w:pStyle w:val="NormalWeb"/>
              <w:jc w:val="center"/>
            </w:pPr>
            <w:r>
              <w:t>312</w:t>
            </w:r>
          </w:p>
        </w:tc>
        <w:tc>
          <w:tcPr>
            <w:tcW w:w="1728" w:type="dxa"/>
            <w:tcBorders>
              <w:left w:val="single" w:sz="2" w:space="0" w:color="000000" w:themeColor="text1"/>
              <w:right w:val="single" w:sz="2" w:space="0" w:color="000000" w:themeColor="text1"/>
            </w:tcBorders>
            <w:hideMark/>
          </w:tcPr>
          <w:p w14:paraId="326F3077" w14:textId="77777777" w:rsidR="0035117A" w:rsidRDefault="0035117A" w:rsidP="00820788">
            <w:pPr>
              <w:pStyle w:val="NormalWeb"/>
              <w:jc w:val="center"/>
            </w:pPr>
            <w:r>
              <w:t>20.2</w:t>
            </w:r>
          </w:p>
        </w:tc>
        <w:tc>
          <w:tcPr>
            <w:tcW w:w="1728" w:type="dxa"/>
            <w:tcBorders>
              <w:left w:val="single" w:sz="2" w:space="0" w:color="000000" w:themeColor="text1"/>
              <w:right w:val="single" w:sz="2" w:space="0" w:color="000000" w:themeColor="text1"/>
            </w:tcBorders>
            <w:hideMark/>
          </w:tcPr>
          <w:p w14:paraId="6EA30FC8" w14:textId="77777777" w:rsidR="0035117A" w:rsidRDefault="0035117A" w:rsidP="00820788">
            <w:pPr>
              <w:pStyle w:val="NormalWeb"/>
              <w:jc w:val="center"/>
            </w:pPr>
            <w:r>
              <w:t>-</w:t>
            </w:r>
          </w:p>
        </w:tc>
        <w:tc>
          <w:tcPr>
            <w:tcW w:w="1729" w:type="dxa"/>
            <w:tcBorders>
              <w:left w:val="single" w:sz="2" w:space="0" w:color="000000" w:themeColor="text1"/>
            </w:tcBorders>
            <w:hideMark/>
          </w:tcPr>
          <w:p w14:paraId="00A16199" w14:textId="77777777" w:rsidR="0035117A" w:rsidRDefault="0035117A" w:rsidP="00820788">
            <w:pPr>
              <w:pStyle w:val="NormalWeb"/>
              <w:jc w:val="center"/>
            </w:pPr>
            <w:r>
              <w:t>-</w:t>
            </w:r>
          </w:p>
        </w:tc>
      </w:tr>
      <w:tr w:rsidR="0035117A" w14:paraId="7B939602"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2AEBD54" w14:textId="77777777" w:rsidR="0035117A" w:rsidRDefault="0035117A"/>
        </w:tc>
        <w:tc>
          <w:tcPr>
            <w:tcW w:w="0" w:type="auto"/>
            <w:tcBorders>
              <w:left w:val="single" w:sz="2" w:space="0" w:color="000000" w:themeColor="text1"/>
              <w:right w:val="single" w:sz="2" w:space="0" w:color="000000" w:themeColor="text1"/>
            </w:tcBorders>
            <w:hideMark/>
          </w:tcPr>
          <w:p w14:paraId="44A22A5D" w14:textId="77777777" w:rsidR="0035117A" w:rsidRDefault="0035117A">
            <w:pPr>
              <w:pStyle w:val="NormalWeb"/>
              <w:rPr>
                <w:sz w:val="24"/>
                <w:szCs w:val="24"/>
              </w:rPr>
            </w:pPr>
            <w:r>
              <w:t>2nd trimester (13+0 ≤ GA ≤ 27+6)</w:t>
            </w:r>
          </w:p>
        </w:tc>
        <w:tc>
          <w:tcPr>
            <w:tcW w:w="1728" w:type="dxa"/>
            <w:tcBorders>
              <w:left w:val="single" w:sz="2" w:space="0" w:color="000000" w:themeColor="text1"/>
              <w:right w:val="single" w:sz="2" w:space="0" w:color="000000" w:themeColor="text1"/>
            </w:tcBorders>
            <w:hideMark/>
          </w:tcPr>
          <w:p w14:paraId="1C400C60" w14:textId="77777777" w:rsidR="0035117A" w:rsidRDefault="0035117A" w:rsidP="00820788">
            <w:pPr>
              <w:pStyle w:val="NormalWeb"/>
              <w:jc w:val="center"/>
            </w:pPr>
            <w:r>
              <w:t>548</w:t>
            </w:r>
          </w:p>
        </w:tc>
        <w:tc>
          <w:tcPr>
            <w:tcW w:w="1728" w:type="dxa"/>
            <w:tcBorders>
              <w:left w:val="single" w:sz="2" w:space="0" w:color="000000" w:themeColor="text1"/>
              <w:right w:val="single" w:sz="2" w:space="0" w:color="000000" w:themeColor="text1"/>
            </w:tcBorders>
            <w:hideMark/>
          </w:tcPr>
          <w:p w14:paraId="60278980" w14:textId="77777777" w:rsidR="0035117A" w:rsidRDefault="0035117A" w:rsidP="00820788">
            <w:pPr>
              <w:pStyle w:val="NormalWeb"/>
              <w:jc w:val="center"/>
            </w:pPr>
            <w:r>
              <w:t>35.4</w:t>
            </w:r>
          </w:p>
        </w:tc>
        <w:tc>
          <w:tcPr>
            <w:tcW w:w="1728" w:type="dxa"/>
            <w:tcBorders>
              <w:left w:val="single" w:sz="2" w:space="0" w:color="000000" w:themeColor="text1"/>
              <w:right w:val="single" w:sz="2" w:space="0" w:color="000000" w:themeColor="text1"/>
            </w:tcBorders>
            <w:hideMark/>
          </w:tcPr>
          <w:p w14:paraId="67D2F067" w14:textId="77777777" w:rsidR="0035117A" w:rsidRDefault="0035117A" w:rsidP="00820788">
            <w:pPr>
              <w:pStyle w:val="NormalWeb"/>
              <w:jc w:val="center"/>
            </w:pPr>
            <w:r>
              <w:t>-</w:t>
            </w:r>
          </w:p>
        </w:tc>
        <w:tc>
          <w:tcPr>
            <w:tcW w:w="1729" w:type="dxa"/>
            <w:tcBorders>
              <w:left w:val="single" w:sz="2" w:space="0" w:color="000000" w:themeColor="text1"/>
            </w:tcBorders>
            <w:hideMark/>
          </w:tcPr>
          <w:p w14:paraId="225D97C1" w14:textId="77777777" w:rsidR="0035117A" w:rsidRDefault="0035117A" w:rsidP="00820788">
            <w:pPr>
              <w:pStyle w:val="NormalWeb"/>
              <w:jc w:val="center"/>
            </w:pPr>
            <w:r>
              <w:t>-</w:t>
            </w:r>
          </w:p>
        </w:tc>
      </w:tr>
      <w:tr w:rsidR="0035117A" w14:paraId="4AC70EA6" w14:textId="77777777" w:rsidTr="00820788">
        <w:tc>
          <w:tcPr>
            <w:tcW w:w="0" w:type="auto"/>
            <w:tcBorders>
              <w:right w:val="single" w:sz="2" w:space="0" w:color="000000" w:themeColor="text1"/>
            </w:tcBorders>
            <w:hideMark/>
          </w:tcPr>
          <w:p w14:paraId="67EED531" w14:textId="77777777" w:rsidR="0035117A" w:rsidRDefault="0035117A"/>
        </w:tc>
        <w:tc>
          <w:tcPr>
            <w:tcW w:w="0" w:type="auto"/>
            <w:tcBorders>
              <w:left w:val="single" w:sz="2" w:space="0" w:color="000000" w:themeColor="text1"/>
              <w:right w:val="single" w:sz="2" w:space="0" w:color="000000" w:themeColor="text1"/>
            </w:tcBorders>
            <w:hideMark/>
          </w:tcPr>
          <w:p w14:paraId="5075AC6A" w14:textId="77777777" w:rsidR="0035117A" w:rsidRDefault="0035117A">
            <w:pPr>
              <w:pStyle w:val="NormalWeb"/>
              <w:rPr>
                <w:sz w:val="24"/>
                <w:szCs w:val="24"/>
              </w:rPr>
            </w:pPr>
            <w:r>
              <w:t>3rd trimester (GA ≥ 28+0)</w:t>
            </w:r>
          </w:p>
        </w:tc>
        <w:tc>
          <w:tcPr>
            <w:tcW w:w="1728" w:type="dxa"/>
            <w:tcBorders>
              <w:left w:val="single" w:sz="2" w:space="0" w:color="000000" w:themeColor="text1"/>
              <w:right w:val="single" w:sz="2" w:space="0" w:color="000000" w:themeColor="text1"/>
            </w:tcBorders>
            <w:hideMark/>
          </w:tcPr>
          <w:p w14:paraId="4D6442C3" w14:textId="77777777" w:rsidR="0035117A" w:rsidRDefault="0035117A" w:rsidP="00820788">
            <w:pPr>
              <w:pStyle w:val="NormalWeb"/>
              <w:jc w:val="center"/>
            </w:pPr>
            <w:r>
              <w:t>498</w:t>
            </w:r>
          </w:p>
        </w:tc>
        <w:tc>
          <w:tcPr>
            <w:tcW w:w="1728" w:type="dxa"/>
            <w:tcBorders>
              <w:left w:val="single" w:sz="2" w:space="0" w:color="000000" w:themeColor="text1"/>
              <w:right w:val="single" w:sz="2" w:space="0" w:color="000000" w:themeColor="text1"/>
            </w:tcBorders>
            <w:hideMark/>
          </w:tcPr>
          <w:p w14:paraId="1A620E08" w14:textId="77777777" w:rsidR="0035117A" w:rsidRDefault="0035117A" w:rsidP="00820788">
            <w:pPr>
              <w:pStyle w:val="NormalWeb"/>
              <w:jc w:val="center"/>
            </w:pPr>
            <w:r>
              <w:t>32.2</w:t>
            </w:r>
          </w:p>
        </w:tc>
        <w:tc>
          <w:tcPr>
            <w:tcW w:w="1728" w:type="dxa"/>
            <w:tcBorders>
              <w:left w:val="single" w:sz="2" w:space="0" w:color="000000" w:themeColor="text1"/>
              <w:right w:val="single" w:sz="2" w:space="0" w:color="000000" w:themeColor="text1"/>
            </w:tcBorders>
            <w:hideMark/>
          </w:tcPr>
          <w:p w14:paraId="3EC0FE8E" w14:textId="77777777" w:rsidR="0035117A" w:rsidRDefault="0035117A" w:rsidP="00820788">
            <w:pPr>
              <w:pStyle w:val="NormalWeb"/>
              <w:jc w:val="center"/>
            </w:pPr>
            <w:r>
              <w:t>-</w:t>
            </w:r>
          </w:p>
        </w:tc>
        <w:tc>
          <w:tcPr>
            <w:tcW w:w="1729" w:type="dxa"/>
            <w:tcBorders>
              <w:left w:val="single" w:sz="2" w:space="0" w:color="000000" w:themeColor="text1"/>
            </w:tcBorders>
            <w:hideMark/>
          </w:tcPr>
          <w:p w14:paraId="0CF26987" w14:textId="77777777" w:rsidR="0035117A" w:rsidRDefault="0035117A" w:rsidP="00820788">
            <w:pPr>
              <w:pStyle w:val="NormalWeb"/>
              <w:jc w:val="center"/>
            </w:pPr>
            <w:r>
              <w:t>-</w:t>
            </w:r>
          </w:p>
        </w:tc>
      </w:tr>
      <w:tr w:rsidR="0035117A" w14:paraId="6BCFEA50"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5189CF65" w14:textId="77777777" w:rsidR="0035117A" w:rsidRDefault="0035117A"/>
        </w:tc>
        <w:tc>
          <w:tcPr>
            <w:tcW w:w="0" w:type="auto"/>
            <w:tcBorders>
              <w:left w:val="single" w:sz="2" w:space="0" w:color="000000" w:themeColor="text1"/>
              <w:right w:val="single" w:sz="2" w:space="0" w:color="000000" w:themeColor="text1"/>
            </w:tcBorders>
            <w:hideMark/>
          </w:tcPr>
          <w:p w14:paraId="2EE62E68" w14:textId="77777777" w:rsidR="0035117A" w:rsidRDefault="0035117A">
            <w:pPr>
              <w:pStyle w:val="NormalWeb"/>
              <w:rPr>
                <w:sz w:val="24"/>
                <w:szCs w:val="24"/>
              </w:rPr>
            </w:pPr>
            <w:r>
              <w:t>Pre-conception</w:t>
            </w:r>
          </w:p>
        </w:tc>
        <w:tc>
          <w:tcPr>
            <w:tcW w:w="1728" w:type="dxa"/>
            <w:tcBorders>
              <w:left w:val="single" w:sz="2" w:space="0" w:color="000000" w:themeColor="text1"/>
              <w:right w:val="single" w:sz="2" w:space="0" w:color="000000" w:themeColor="text1"/>
            </w:tcBorders>
            <w:hideMark/>
          </w:tcPr>
          <w:p w14:paraId="4F8F2804" w14:textId="77777777" w:rsidR="0035117A" w:rsidRDefault="0035117A" w:rsidP="00820788">
            <w:pPr>
              <w:pStyle w:val="NormalWeb"/>
              <w:jc w:val="center"/>
            </w:pPr>
            <w:r>
              <w:t>90</w:t>
            </w:r>
          </w:p>
        </w:tc>
        <w:tc>
          <w:tcPr>
            <w:tcW w:w="1728" w:type="dxa"/>
            <w:tcBorders>
              <w:left w:val="single" w:sz="2" w:space="0" w:color="000000" w:themeColor="text1"/>
              <w:right w:val="single" w:sz="2" w:space="0" w:color="000000" w:themeColor="text1"/>
            </w:tcBorders>
            <w:hideMark/>
          </w:tcPr>
          <w:p w14:paraId="41FF124C" w14:textId="77777777" w:rsidR="0035117A" w:rsidRDefault="0035117A" w:rsidP="00820788">
            <w:pPr>
              <w:pStyle w:val="NormalWeb"/>
              <w:jc w:val="center"/>
            </w:pPr>
            <w:r>
              <w:t>5.8</w:t>
            </w:r>
          </w:p>
        </w:tc>
        <w:tc>
          <w:tcPr>
            <w:tcW w:w="1728" w:type="dxa"/>
            <w:tcBorders>
              <w:left w:val="single" w:sz="2" w:space="0" w:color="000000" w:themeColor="text1"/>
              <w:right w:val="single" w:sz="2" w:space="0" w:color="000000" w:themeColor="text1"/>
            </w:tcBorders>
            <w:hideMark/>
          </w:tcPr>
          <w:p w14:paraId="716DB636" w14:textId="77777777" w:rsidR="0035117A" w:rsidRDefault="0035117A" w:rsidP="00820788">
            <w:pPr>
              <w:pStyle w:val="NormalWeb"/>
              <w:jc w:val="center"/>
            </w:pPr>
            <w:r>
              <w:t>-</w:t>
            </w:r>
          </w:p>
        </w:tc>
        <w:tc>
          <w:tcPr>
            <w:tcW w:w="1729" w:type="dxa"/>
            <w:tcBorders>
              <w:left w:val="single" w:sz="2" w:space="0" w:color="000000" w:themeColor="text1"/>
            </w:tcBorders>
            <w:hideMark/>
          </w:tcPr>
          <w:p w14:paraId="18F43632" w14:textId="77777777" w:rsidR="0035117A" w:rsidRDefault="0035117A" w:rsidP="00820788">
            <w:pPr>
              <w:pStyle w:val="NormalWeb"/>
              <w:jc w:val="center"/>
            </w:pPr>
            <w:r>
              <w:t>-</w:t>
            </w:r>
          </w:p>
        </w:tc>
      </w:tr>
      <w:tr w:rsidR="0035117A" w14:paraId="5BA8D04C" w14:textId="77777777" w:rsidTr="00820788">
        <w:tc>
          <w:tcPr>
            <w:tcW w:w="0" w:type="auto"/>
            <w:tcBorders>
              <w:right w:val="single" w:sz="2" w:space="0" w:color="000000" w:themeColor="text1"/>
            </w:tcBorders>
            <w:hideMark/>
          </w:tcPr>
          <w:p w14:paraId="225CEA36" w14:textId="77777777" w:rsidR="0035117A" w:rsidRDefault="0035117A"/>
        </w:tc>
        <w:tc>
          <w:tcPr>
            <w:tcW w:w="0" w:type="auto"/>
            <w:tcBorders>
              <w:left w:val="single" w:sz="2" w:space="0" w:color="000000" w:themeColor="text1"/>
              <w:right w:val="single" w:sz="2" w:space="0" w:color="000000" w:themeColor="text1"/>
            </w:tcBorders>
            <w:hideMark/>
          </w:tcPr>
          <w:p w14:paraId="6191E9DD" w14:textId="77777777" w:rsidR="0035117A" w:rsidRDefault="0035117A">
            <w:pPr>
              <w:pStyle w:val="NormalWeb"/>
              <w:rPr>
                <w:sz w:val="24"/>
                <w:szCs w:val="24"/>
              </w:rPr>
            </w:pPr>
            <w:r>
              <w:t>Pre-conception and Post-Partum</w:t>
            </w:r>
          </w:p>
        </w:tc>
        <w:tc>
          <w:tcPr>
            <w:tcW w:w="1728" w:type="dxa"/>
            <w:tcBorders>
              <w:left w:val="single" w:sz="2" w:space="0" w:color="000000" w:themeColor="text1"/>
              <w:right w:val="single" w:sz="2" w:space="0" w:color="000000" w:themeColor="text1"/>
            </w:tcBorders>
            <w:hideMark/>
          </w:tcPr>
          <w:p w14:paraId="35C5B1BB" w14:textId="77777777" w:rsidR="0035117A" w:rsidRDefault="0035117A" w:rsidP="00820788">
            <w:pPr>
              <w:pStyle w:val="NormalWeb"/>
              <w:jc w:val="center"/>
            </w:pPr>
            <w:r>
              <w:t>99</w:t>
            </w:r>
          </w:p>
        </w:tc>
        <w:tc>
          <w:tcPr>
            <w:tcW w:w="1728" w:type="dxa"/>
            <w:tcBorders>
              <w:left w:val="single" w:sz="2" w:space="0" w:color="000000" w:themeColor="text1"/>
              <w:right w:val="single" w:sz="2" w:space="0" w:color="000000" w:themeColor="text1"/>
            </w:tcBorders>
            <w:hideMark/>
          </w:tcPr>
          <w:p w14:paraId="7C4022BB" w14:textId="77777777" w:rsidR="0035117A" w:rsidRDefault="0035117A" w:rsidP="00820788">
            <w:pPr>
              <w:pStyle w:val="NormalWeb"/>
              <w:jc w:val="center"/>
            </w:pPr>
            <w:r>
              <w:t>6.4</w:t>
            </w:r>
          </w:p>
        </w:tc>
        <w:tc>
          <w:tcPr>
            <w:tcW w:w="1728" w:type="dxa"/>
            <w:tcBorders>
              <w:left w:val="single" w:sz="2" w:space="0" w:color="000000" w:themeColor="text1"/>
              <w:right w:val="single" w:sz="2" w:space="0" w:color="000000" w:themeColor="text1"/>
            </w:tcBorders>
            <w:hideMark/>
          </w:tcPr>
          <w:p w14:paraId="43814AEE" w14:textId="77777777" w:rsidR="0035117A" w:rsidRDefault="0035117A" w:rsidP="00820788">
            <w:pPr>
              <w:pStyle w:val="NormalWeb"/>
              <w:jc w:val="center"/>
            </w:pPr>
            <w:r>
              <w:t>-</w:t>
            </w:r>
          </w:p>
        </w:tc>
        <w:tc>
          <w:tcPr>
            <w:tcW w:w="1729" w:type="dxa"/>
            <w:tcBorders>
              <w:left w:val="single" w:sz="2" w:space="0" w:color="000000" w:themeColor="text1"/>
            </w:tcBorders>
            <w:hideMark/>
          </w:tcPr>
          <w:p w14:paraId="522474FC" w14:textId="77777777" w:rsidR="0035117A" w:rsidRDefault="0035117A" w:rsidP="00820788">
            <w:pPr>
              <w:pStyle w:val="NormalWeb"/>
              <w:jc w:val="center"/>
            </w:pPr>
            <w:r>
              <w:t>-</w:t>
            </w:r>
          </w:p>
        </w:tc>
      </w:tr>
      <w:tr w:rsidR="0035117A" w14:paraId="45FEB9A7"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gridSpan w:val="2"/>
            <w:tcBorders>
              <w:right w:val="single" w:sz="2" w:space="0" w:color="000000" w:themeColor="text1"/>
            </w:tcBorders>
            <w:hideMark/>
          </w:tcPr>
          <w:p w14:paraId="764BCAE6" w14:textId="77777777" w:rsidR="0035117A" w:rsidRDefault="0035117A">
            <w:pPr>
              <w:pStyle w:val="NormalWeb"/>
            </w:pPr>
            <w:r>
              <w:t>Twin Births (n=40)</w:t>
            </w:r>
          </w:p>
        </w:tc>
        <w:tc>
          <w:tcPr>
            <w:tcW w:w="1728" w:type="dxa"/>
            <w:tcBorders>
              <w:left w:val="single" w:sz="2" w:space="0" w:color="000000" w:themeColor="text1"/>
              <w:right w:val="single" w:sz="2" w:space="0" w:color="000000" w:themeColor="text1"/>
            </w:tcBorders>
            <w:hideMark/>
          </w:tcPr>
          <w:p w14:paraId="54B3CAD8" w14:textId="77777777" w:rsidR="0035117A" w:rsidRDefault="0035117A" w:rsidP="00820788">
            <w:pPr>
              <w:pStyle w:val="NormalWeb"/>
              <w:jc w:val="center"/>
            </w:pPr>
            <w:r>
              <w:t>15</w:t>
            </w:r>
          </w:p>
        </w:tc>
        <w:tc>
          <w:tcPr>
            <w:tcW w:w="1728" w:type="dxa"/>
            <w:tcBorders>
              <w:left w:val="single" w:sz="2" w:space="0" w:color="000000" w:themeColor="text1"/>
              <w:right w:val="single" w:sz="2" w:space="0" w:color="000000" w:themeColor="text1"/>
            </w:tcBorders>
            <w:hideMark/>
          </w:tcPr>
          <w:p w14:paraId="1079B2E3" w14:textId="77777777" w:rsidR="0035117A" w:rsidRDefault="0035117A" w:rsidP="00820788">
            <w:pPr>
              <w:jc w:val="center"/>
            </w:pPr>
          </w:p>
        </w:tc>
        <w:tc>
          <w:tcPr>
            <w:tcW w:w="1728" w:type="dxa"/>
            <w:tcBorders>
              <w:left w:val="single" w:sz="2" w:space="0" w:color="000000" w:themeColor="text1"/>
              <w:right w:val="single" w:sz="2" w:space="0" w:color="000000" w:themeColor="text1"/>
            </w:tcBorders>
            <w:hideMark/>
          </w:tcPr>
          <w:p w14:paraId="27D06FF4" w14:textId="77777777" w:rsidR="0035117A" w:rsidRDefault="0035117A" w:rsidP="00820788">
            <w:pPr>
              <w:pStyle w:val="NormalWeb"/>
              <w:jc w:val="center"/>
              <w:rPr>
                <w:sz w:val="24"/>
                <w:szCs w:val="24"/>
              </w:rPr>
            </w:pPr>
            <w:r>
              <w:t>25</w:t>
            </w:r>
          </w:p>
        </w:tc>
        <w:tc>
          <w:tcPr>
            <w:tcW w:w="1729" w:type="dxa"/>
            <w:tcBorders>
              <w:left w:val="single" w:sz="2" w:space="0" w:color="000000" w:themeColor="text1"/>
            </w:tcBorders>
            <w:hideMark/>
          </w:tcPr>
          <w:p w14:paraId="0263B40B" w14:textId="77777777" w:rsidR="0035117A" w:rsidRDefault="0035117A" w:rsidP="00820788">
            <w:pPr>
              <w:jc w:val="center"/>
            </w:pPr>
          </w:p>
        </w:tc>
      </w:tr>
      <w:tr w:rsidR="0035117A" w14:paraId="4542D79E" w14:textId="77777777" w:rsidTr="00820788">
        <w:tc>
          <w:tcPr>
            <w:tcW w:w="0" w:type="auto"/>
            <w:gridSpan w:val="2"/>
            <w:tcBorders>
              <w:right w:val="single" w:sz="2" w:space="0" w:color="000000" w:themeColor="text1"/>
            </w:tcBorders>
            <w:hideMark/>
          </w:tcPr>
          <w:p w14:paraId="5825033A" w14:textId="77777777" w:rsidR="0035117A" w:rsidRDefault="0035117A">
            <w:pPr>
              <w:pStyle w:val="NormalWeb"/>
              <w:rPr>
                <w:sz w:val="24"/>
                <w:szCs w:val="24"/>
              </w:rPr>
            </w:pPr>
            <w:r>
              <w:t>Indigenous Status</w:t>
            </w:r>
          </w:p>
        </w:tc>
        <w:tc>
          <w:tcPr>
            <w:tcW w:w="1728" w:type="dxa"/>
            <w:tcBorders>
              <w:left w:val="single" w:sz="2" w:space="0" w:color="000000" w:themeColor="text1"/>
              <w:right w:val="single" w:sz="2" w:space="0" w:color="000000" w:themeColor="text1"/>
            </w:tcBorders>
            <w:hideMark/>
          </w:tcPr>
          <w:p w14:paraId="1EF9A476" w14:textId="77777777" w:rsidR="0035117A" w:rsidRDefault="0035117A" w:rsidP="00820788">
            <w:pPr>
              <w:jc w:val="center"/>
            </w:pPr>
          </w:p>
        </w:tc>
        <w:tc>
          <w:tcPr>
            <w:tcW w:w="1728" w:type="dxa"/>
            <w:tcBorders>
              <w:left w:val="single" w:sz="2" w:space="0" w:color="000000" w:themeColor="text1"/>
              <w:right w:val="single" w:sz="2" w:space="0" w:color="000000" w:themeColor="text1"/>
            </w:tcBorders>
            <w:hideMark/>
          </w:tcPr>
          <w:p w14:paraId="6A26F4EB" w14:textId="77777777" w:rsidR="0035117A" w:rsidRDefault="0035117A" w:rsidP="00820788">
            <w:pPr>
              <w:jc w:val="center"/>
              <w:rPr>
                <w:rFonts w:eastAsia="Times New Roman"/>
                <w:sz w:val="20"/>
                <w:szCs w:val="20"/>
              </w:rPr>
            </w:pPr>
          </w:p>
        </w:tc>
        <w:tc>
          <w:tcPr>
            <w:tcW w:w="1728" w:type="dxa"/>
            <w:tcBorders>
              <w:left w:val="single" w:sz="2" w:space="0" w:color="000000" w:themeColor="text1"/>
              <w:right w:val="single" w:sz="2" w:space="0" w:color="000000" w:themeColor="text1"/>
            </w:tcBorders>
            <w:hideMark/>
          </w:tcPr>
          <w:p w14:paraId="738EC218" w14:textId="77777777" w:rsidR="0035117A" w:rsidRDefault="0035117A" w:rsidP="00820788">
            <w:pPr>
              <w:jc w:val="center"/>
              <w:rPr>
                <w:rFonts w:eastAsia="Times New Roman"/>
                <w:sz w:val="20"/>
                <w:szCs w:val="20"/>
              </w:rPr>
            </w:pPr>
          </w:p>
        </w:tc>
        <w:tc>
          <w:tcPr>
            <w:tcW w:w="1729" w:type="dxa"/>
            <w:tcBorders>
              <w:left w:val="single" w:sz="2" w:space="0" w:color="000000" w:themeColor="text1"/>
            </w:tcBorders>
            <w:hideMark/>
          </w:tcPr>
          <w:p w14:paraId="46B9140B" w14:textId="77777777" w:rsidR="0035117A" w:rsidRDefault="0035117A" w:rsidP="00820788">
            <w:pPr>
              <w:jc w:val="center"/>
              <w:rPr>
                <w:rFonts w:eastAsia="Times New Roman"/>
                <w:sz w:val="20"/>
                <w:szCs w:val="20"/>
              </w:rPr>
            </w:pPr>
          </w:p>
        </w:tc>
      </w:tr>
      <w:tr w:rsidR="0035117A" w14:paraId="3C039BA9"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30569846" w14:textId="77777777" w:rsidR="0035117A" w:rsidRDefault="0035117A">
            <w:pPr>
              <w:rPr>
                <w:rFonts w:eastAsia="Times New Roman"/>
                <w:sz w:val="20"/>
                <w:szCs w:val="20"/>
              </w:rPr>
            </w:pPr>
          </w:p>
        </w:tc>
        <w:tc>
          <w:tcPr>
            <w:tcW w:w="0" w:type="auto"/>
            <w:tcBorders>
              <w:left w:val="single" w:sz="2" w:space="0" w:color="000000" w:themeColor="text1"/>
              <w:right w:val="single" w:sz="2" w:space="0" w:color="000000" w:themeColor="text1"/>
            </w:tcBorders>
            <w:hideMark/>
          </w:tcPr>
          <w:p w14:paraId="051C8109" w14:textId="77777777" w:rsidR="0035117A" w:rsidRDefault="0035117A">
            <w:pPr>
              <w:pStyle w:val="NormalWeb"/>
              <w:rPr>
                <w:sz w:val="24"/>
                <w:szCs w:val="24"/>
              </w:rPr>
            </w:pPr>
            <w:r>
              <w:t>Indigenous (n=19)</w:t>
            </w:r>
          </w:p>
        </w:tc>
        <w:tc>
          <w:tcPr>
            <w:tcW w:w="1728" w:type="dxa"/>
            <w:tcBorders>
              <w:left w:val="single" w:sz="2" w:space="0" w:color="000000" w:themeColor="text1"/>
              <w:right w:val="single" w:sz="2" w:space="0" w:color="000000" w:themeColor="text1"/>
            </w:tcBorders>
            <w:hideMark/>
          </w:tcPr>
          <w:p w14:paraId="318EF450" w14:textId="77777777" w:rsidR="0035117A" w:rsidRDefault="0035117A" w:rsidP="00820788">
            <w:pPr>
              <w:pStyle w:val="NormalWeb"/>
              <w:jc w:val="center"/>
            </w:pPr>
            <w:r>
              <w:t>10</w:t>
            </w:r>
          </w:p>
        </w:tc>
        <w:tc>
          <w:tcPr>
            <w:tcW w:w="1728" w:type="dxa"/>
            <w:tcBorders>
              <w:left w:val="single" w:sz="2" w:space="0" w:color="000000" w:themeColor="text1"/>
              <w:right w:val="single" w:sz="2" w:space="0" w:color="000000" w:themeColor="text1"/>
            </w:tcBorders>
            <w:hideMark/>
          </w:tcPr>
          <w:p w14:paraId="543F63D3" w14:textId="77777777" w:rsidR="0035117A" w:rsidRDefault="0035117A" w:rsidP="00820788">
            <w:pPr>
              <w:pStyle w:val="NormalWeb"/>
              <w:jc w:val="center"/>
            </w:pPr>
            <w:r>
              <w:t>52.6</w:t>
            </w:r>
          </w:p>
        </w:tc>
        <w:tc>
          <w:tcPr>
            <w:tcW w:w="1728" w:type="dxa"/>
            <w:tcBorders>
              <w:left w:val="single" w:sz="2" w:space="0" w:color="000000" w:themeColor="text1"/>
              <w:right w:val="single" w:sz="2" w:space="0" w:color="000000" w:themeColor="text1"/>
            </w:tcBorders>
            <w:hideMark/>
          </w:tcPr>
          <w:p w14:paraId="1EE5696D" w14:textId="77777777" w:rsidR="0035117A" w:rsidRDefault="0035117A" w:rsidP="00820788">
            <w:pPr>
              <w:pStyle w:val="NormalWeb"/>
              <w:jc w:val="center"/>
            </w:pPr>
            <w:r>
              <w:t>9</w:t>
            </w:r>
          </w:p>
        </w:tc>
        <w:tc>
          <w:tcPr>
            <w:tcW w:w="1729" w:type="dxa"/>
            <w:tcBorders>
              <w:left w:val="single" w:sz="2" w:space="0" w:color="000000" w:themeColor="text1"/>
            </w:tcBorders>
            <w:hideMark/>
          </w:tcPr>
          <w:p w14:paraId="620A30EB" w14:textId="77777777" w:rsidR="0035117A" w:rsidRDefault="0035117A" w:rsidP="00820788">
            <w:pPr>
              <w:pStyle w:val="NormalWeb"/>
              <w:jc w:val="center"/>
            </w:pPr>
            <w:r>
              <w:t>47.4</w:t>
            </w:r>
          </w:p>
        </w:tc>
      </w:tr>
      <w:tr w:rsidR="0035117A" w14:paraId="29FB714D" w14:textId="77777777" w:rsidTr="00820788">
        <w:tc>
          <w:tcPr>
            <w:tcW w:w="0" w:type="auto"/>
            <w:tcBorders>
              <w:right w:val="single" w:sz="2" w:space="0" w:color="000000" w:themeColor="text1"/>
            </w:tcBorders>
            <w:hideMark/>
          </w:tcPr>
          <w:p w14:paraId="717778A2" w14:textId="77777777" w:rsidR="0035117A" w:rsidRDefault="0035117A"/>
        </w:tc>
        <w:tc>
          <w:tcPr>
            <w:tcW w:w="0" w:type="auto"/>
            <w:tcBorders>
              <w:left w:val="single" w:sz="2" w:space="0" w:color="000000" w:themeColor="text1"/>
              <w:right w:val="single" w:sz="2" w:space="0" w:color="000000" w:themeColor="text1"/>
            </w:tcBorders>
            <w:hideMark/>
          </w:tcPr>
          <w:p w14:paraId="0F5BE1AE" w14:textId="77777777" w:rsidR="0035117A" w:rsidRDefault="0035117A">
            <w:pPr>
              <w:pStyle w:val="NormalWeb"/>
              <w:rPr>
                <w:sz w:val="24"/>
                <w:szCs w:val="24"/>
              </w:rPr>
            </w:pPr>
            <w:r>
              <w:t>Non Indigenous (n=21)</w:t>
            </w:r>
          </w:p>
        </w:tc>
        <w:tc>
          <w:tcPr>
            <w:tcW w:w="1728" w:type="dxa"/>
            <w:tcBorders>
              <w:left w:val="single" w:sz="2" w:space="0" w:color="000000" w:themeColor="text1"/>
              <w:right w:val="single" w:sz="2" w:space="0" w:color="000000" w:themeColor="text1"/>
            </w:tcBorders>
            <w:hideMark/>
          </w:tcPr>
          <w:p w14:paraId="52ED8961" w14:textId="77777777" w:rsidR="0035117A" w:rsidRDefault="0035117A" w:rsidP="00820788">
            <w:pPr>
              <w:pStyle w:val="NormalWeb"/>
              <w:jc w:val="center"/>
            </w:pPr>
            <w:r>
              <w:t>5</w:t>
            </w:r>
          </w:p>
        </w:tc>
        <w:tc>
          <w:tcPr>
            <w:tcW w:w="1728" w:type="dxa"/>
            <w:tcBorders>
              <w:left w:val="single" w:sz="2" w:space="0" w:color="000000" w:themeColor="text1"/>
              <w:right w:val="single" w:sz="2" w:space="0" w:color="000000" w:themeColor="text1"/>
            </w:tcBorders>
            <w:hideMark/>
          </w:tcPr>
          <w:p w14:paraId="7DBC3EC7" w14:textId="77777777" w:rsidR="0035117A" w:rsidRDefault="0035117A" w:rsidP="00820788">
            <w:pPr>
              <w:pStyle w:val="NormalWeb"/>
              <w:jc w:val="center"/>
            </w:pPr>
            <w:r>
              <w:t>23.8</w:t>
            </w:r>
          </w:p>
        </w:tc>
        <w:tc>
          <w:tcPr>
            <w:tcW w:w="1728" w:type="dxa"/>
            <w:tcBorders>
              <w:left w:val="single" w:sz="2" w:space="0" w:color="000000" w:themeColor="text1"/>
              <w:right w:val="single" w:sz="2" w:space="0" w:color="000000" w:themeColor="text1"/>
            </w:tcBorders>
            <w:hideMark/>
          </w:tcPr>
          <w:p w14:paraId="39C151C1" w14:textId="77777777" w:rsidR="0035117A" w:rsidRDefault="0035117A" w:rsidP="00820788">
            <w:pPr>
              <w:pStyle w:val="NormalWeb"/>
              <w:jc w:val="center"/>
            </w:pPr>
            <w:r>
              <w:t>16</w:t>
            </w:r>
          </w:p>
        </w:tc>
        <w:tc>
          <w:tcPr>
            <w:tcW w:w="1729" w:type="dxa"/>
            <w:tcBorders>
              <w:left w:val="single" w:sz="2" w:space="0" w:color="000000" w:themeColor="text1"/>
            </w:tcBorders>
            <w:hideMark/>
          </w:tcPr>
          <w:p w14:paraId="486A1D86" w14:textId="77777777" w:rsidR="0035117A" w:rsidRDefault="0035117A" w:rsidP="00820788">
            <w:pPr>
              <w:pStyle w:val="NormalWeb"/>
              <w:jc w:val="center"/>
            </w:pPr>
            <w:r>
              <w:t>76.2</w:t>
            </w:r>
          </w:p>
        </w:tc>
      </w:tr>
      <w:tr w:rsidR="0035117A" w14:paraId="3122E14E"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gridSpan w:val="2"/>
            <w:tcBorders>
              <w:right w:val="single" w:sz="2" w:space="0" w:color="000000" w:themeColor="text1"/>
            </w:tcBorders>
            <w:hideMark/>
          </w:tcPr>
          <w:p w14:paraId="2E3665B9" w14:textId="77777777" w:rsidR="0035117A" w:rsidRDefault="0035117A">
            <w:pPr>
              <w:pStyle w:val="NormalWeb"/>
            </w:pPr>
            <w:r>
              <w:lastRenderedPageBreak/>
              <w:t>Maternal age</w:t>
            </w:r>
          </w:p>
        </w:tc>
        <w:tc>
          <w:tcPr>
            <w:tcW w:w="1728" w:type="dxa"/>
            <w:tcBorders>
              <w:left w:val="single" w:sz="2" w:space="0" w:color="000000" w:themeColor="text1"/>
              <w:right w:val="single" w:sz="2" w:space="0" w:color="000000" w:themeColor="text1"/>
            </w:tcBorders>
            <w:hideMark/>
          </w:tcPr>
          <w:p w14:paraId="77E9405F" w14:textId="77777777" w:rsidR="0035117A" w:rsidRDefault="0035117A" w:rsidP="00820788">
            <w:pPr>
              <w:jc w:val="center"/>
            </w:pPr>
          </w:p>
        </w:tc>
        <w:tc>
          <w:tcPr>
            <w:tcW w:w="1728" w:type="dxa"/>
            <w:tcBorders>
              <w:left w:val="single" w:sz="2" w:space="0" w:color="000000" w:themeColor="text1"/>
              <w:right w:val="single" w:sz="2" w:space="0" w:color="000000" w:themeColor="text1"/>
            </w:tcBorders>
            <w:hideMark/>
          </w:tcPr>
          <w:p w14:paraId="4A57785E" w14:textId="77777777" w:rsidR="0035117A" w:rsidRDefault="0035117A" w:rsidP="00820788">
            <w:pPr>
              <w:jc w:val="center"/>
              <w:rPr>
                <w:rFonts w:eastAsia="Times New Roman"/>
                <w:sz w:val="20"/>
                <w:szCs w:val="20"/>
              </w:rPr>
            </w:pPr>
          </w:p>
        </w:tc>
        <w:tc>
          <w:tcPr>
            <w:tcW w:w="1728" w:type="dxa"/>
            <w:tcBorders>
              <w:left w:val="single" w:sz="2" w:space="0" w:color="000000" w:themeColor="text1"/>
              <w:right w:val="single" w:sz="2" w:space="0" w:color="000000" w:themeColor="text1"/>
            </w:tcBorders>
            <w:hideMark/>
          </w:tcPr>
          <w:p w14:paraId="18B191BB" w14:textId="77777777" w:rsidR="0035117A" w:rsidRDefault="0035117A" w:rsidP="00820788">
            <w:pPr>
              <w:jc w:val="center"/>
              <w:rPr>
                <w:rFonts w:eastAsia="Times New Roman"/>
                <w:sz w:val="20"/>
                <w:szCs w:val="20"/>
              </w:rPr>
            </w:pPr>
          </w:p>
        </w:tc>
        <w:tc>
          <w:tcPr>
            <w:tcW w:w="1729" w:type="dxa"/>
            <w:tcBorders>
              <w:left w:val="single" w:sz="2" w:space="0" w:color="000000" w:themeColor="text1"/>
            </w:tcBorders>
            <w:hideMark/>
          </w:tcPr>
          <w:p w14:paraId="6F3075C4" w14:textId="77777777" w:rsidR="0035117A" w:rsidRDefault="0035117A" w:rsidP="00820788">
            <w:pPr>
              <w:jc w:val="center"/>
              <w:rPr>
                <w:rFonts w:eastAsia="Times New Roman"/>
                <w:sz w:val="20"/>
                <w:szCs w:val="20"/>
              </w:rPr>
            </w:pPr>
          </w:p>
        </w:tc>
      </w:tr>
      <w:tr w:rsidR="0035117A" w14:paraId="00DD892C" w14:textId="77777777" w:rsidTr="00820788">
        <w:tc>
          <w:tcPr>
            <w:tcW w:w="0" w:type="auto"/>
            <w:tcBorders>
              <w:right w:val="single" w:sz="2" w:space="0" w:color="000000" w:themeColor="text1"/>
            </w:tcBorders>
            <w:hideMark/>
          </w:tcPr>
          <w:p w14:paraId="222A45FA" w14:textId="77777777" w:rsidR="0035117A" w:rsidRDefault="0035117A">
            <w:pPr>
              <w:rPr>
                <w:rFonts w:eastAsia="Times New Roman"/>
                <w:sz w:val="20"/>
                <w:szCs w:val="20"/>
              </w:rPr>
            </w:pPr>
          </w:p>
        </w:tc>
        <w:tc>
          <w:tcPr>
            <w:tcW w:w="0" w:type="auto"/>
            <w:tcBorders>
              <w:left w:val="single" w:sz="2" w:space="0" w:color="000000" w:themeColor="text1"/>
              <w:right w:val="single" w:sz="2" w:space="0" w:color="000000" w:themeColor="text1"/>
            </w:tcBorders>
            <w:hideMark/>
          </w:tcPr>
          <w:p w14:paraId="4ACB5D17" w14:textId="77777777" w:rsidR="0035117A" w:rsidRDefault="0035117A">
            <w:pPr>
              <w:pStyle w:val="NormalWeb"/>
              <w:rPr>
                <w:sz w:val="24"/>
                <w:szCs w:val="24"/>
              </w:rPr>
            </w:pPr>
            <w:r>
              <w:t>Below 25 years (n=11)</w:t>
            </w:r>
          </w:p>
        </w:tc>
        <w:tc>
          <w:tcPr>
            <w:tcW w:w="1728" w:type="dxa"/>
            <w:tcBorders>
              <w:left w:val="single" w:sz="2" w:space="0" w:color="000000" w:themeColor="text1"/>
              <w:right w:val="single" w:sz="2" w:space="0" w:color="000000" w:themeColor="text1"/>
            </w:tcBorders>
            <w:hideMark/>
          </w:tcPr>
          <w:p w14:paraId="76BF09F4" w14:textId="77777777" w:rsidR="0035117A" w:rsidRDefault="0035117A" w:rsidP="00820788">
            <w:pPr>
              <w:pStyle w:val="NormalWeb"/>
              <w:jc w:val="center"/>
            </w:pPr>
            <w:r>
              <w:t>5</w:t>
            </w:r>
          </w:p>
        </w:tc>
        <w:tc>
          <w:tcPr>
            <w:tcW w:w="1728" w:type="dxa"/>
            <w:tcBorders>
              <w:left w:val="single" w:sz="2" w:space="0" w:color="000000" w:themeColor="text1"/>
              <w:right w:val="single" w:sz="2" w:space="0" w:color="000000" w:themeColor="text1"/>
            </w:tcBorders>
            <w:hideMark/>
          </w:tcPr>
          <w:p w14:paraId="19EDC43D" w14:textId="77777777" w:rsidR="0035117A" w:rsidRDefault="0035117A" w:rsidP="00820788">
            <w:pPr>
              <w:pStyle w:val="NormalWeb"/>
              <w:jc w:val="center"/>
            </w:pPr>
            <w:r>
              <w:t>45.5</w:t>
            </w:r>
          </w:p>
        </w:tc>
        <w:tc>
          <w:tcPr>
            <w:tcW w:w="1728" w:type="dxa"/>
            <w:tcBorders>
              <w:left w:val="single" w:sz="2" w:space="0" w:color="000000" w:themeColor="text1"/>
              <w:right w:val="single" w:sz="2" w:space="0" w:color="000000" w:themeColor="text1"/>
            </w:tcBorders>
            <w:hideMark/>
          </w:tcPr>
          <w:p w14:paraId="518E0F88" w14:textId="77777777" w:rsidR="0035117A" w:rsidRDefault="0035117A" w:rsidP="00820788">
            <w:pPr>
              <w:pStyle w:val="NormalWeb"/>
              <w:jc w:val="center"/>
            </w:pPr>
            <w:r>
              <w:t>6</w:t>
            </w:r>
          </w:p>
        </w:tc>
        <w:tc>
          <w:tcPr>
            <w:tcW w:w="1729" w:type="dxa"/>
            <w:tcBorders>
              <w:left w:val="single" w:sz="2" w:space="0" w:color="000000" w:themeColor="text1"/>
            </w:tcBorders>
            <w:hideMark/>
          </w:tcPr>
          <w:p w14:paraId="51F6B729" w14:textId="77777777" w:rsidR="0035117A" w:rsidRDefault="0035117A" w:rsidP="00820788">
            <w:pPr>
              <w:pStyle w:val="NormalWeb"/>
              <w:jc w:val="center"/>
            </w:pPr>
            <w:r>
              <w:t>54.5</w:t>
            </w:r>
          </w:p>
        </w:tc>
      </w:tr>
      <w:tr w:rsidR="0035117A" w14:paraId="1B6CEB64"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DE41854" w14:textId="77777777" w:rsidR="0035117A" w:rsidRDefault="0035117A"/>
        </w:tc>
        <w:tc>
          <w:tcPr>
            <w:tcW w:w="0" w:type="auto"/>
            <w:tcBorders>
              <w:left w:val="single" w:sz="2" w:space="0" w:color="000000" w:themeColor="text1"/>
              <w:right w:val="single" w:sz="2" w:space="0" w:color="000000" w:themeColor="text1"/>
            </w:tcBorders>
            <w:hideMark/>
          </w:tcPr>
          <w:p w14:paraId="428622F6" w14:textId="77777777" w:rsidR="0035117A" w:rsidRDefault="0035117A">
            <w:pPr>
              <w:pStyle w:val="NormalWeb"/>
              <w:rPr>
                <w:sz w:val="24"/>
                <w:szCs w:val="24"/>
              </w:rPr>
            </w:pPr>
            <w:r>
              <w:t>25-34 years (n=23)</w:t>
            </w:r>
          </w:p>
        </w:tc>
        <w:tc>
          <w:tcPr>
            <w:tcW w:w="1728" w:type="dxa"/>
            <w:tcBorders>
              <w:left w:val="single" w:sz="2" w:space="0" w:color="000000" w:themeColor="text1"/>
              <w:right w:val="single" w:sz="2" w:space="0" w:color="000000" w:themeColor="text1"/>
            </w:tcBorders>
            <w:hideMark/>
          </w:tcPr>
          <w:p w14:paraId="2EF81182" w14:textId="77777777" w:rsidR="0035117A" w:rsidRDefault="0035117A" w:rsidP="00820788">
            <w:pPr>
              <w:pStyle w:val="NormalWeb"/>
              <w:jc w:val="center"/>
            </w:pPr>
            <w:r>
              <w:t>10</w:t>
            </w:r>
          </w:p>
        </w:tc>
        <w:tc>
          <w:tcPr>
            <w:tcW w:w="1728" w:type="dxa"/>
            <w:tcBorders>
              <w:left w:val="single" w:sz="2" w:space="0" w:color="000000" w:themeColor="text1"/>
              <w:right w:val="single" w:sz="2" w:space="0" w:color="000000" w:themeColor="text1"/>
            </w:tcBorders>
            <w:hideMark/>
          </w:tcPr>
          <w:p w14:paraId="7DC46F68" w14:textId="77777777" w:rsidR="0035117A" w:rsidRDefault="0035117A" w:rsidP="00820788">
            <w:pPr>
              <w:pStyle w:val="NormalWeb"/>
              <w:jc w:val="center"/>
            </w:pPr>
            <w:r>
              <w:t>43.5</w:t>
            </w:r>
          </w:p>
        </w:tc>
        <w:tc>
          <w:tcPr>
            <w:tcW w:w="1728" w:type="dxa"/>
            <w:tcBorders>
              <w:left w:val="single" w:sz="2" w:space="0" w:color="000000" w:themeColor="text1"/>
              <w:right w:val="single" w:sz="2" w:space="0" w:color="000000" w:themeColor="text1"/>
            </w:tcBorders>
            <w:hideMark/>
          </w:tcPr>
          <w:p w14:paraId="73F2D80C" w14:textId="77777777" w:rsidR="0035117A" w:rsidRDefault="0035117A" w:rsidP="00820788">
            <w:pPr>
              <w:pStyle w:val="NormalWeb"/>
              <w:jc w:val="center"/>
            </w:pPr>
            <w:r>
              <w:t>13</w:t>
            </w:r>
          </w:p>
        </w:tc>
        <w:tc>
          <w:tcPr>
            <w:tcW w:w="1729" w:type="dxa"/>
            <w:tcBorders>
              <w:left w:val="single" w:sz="2" w:space="0" w:color="000000" w:themeColor="text1"/>
            </w:tcBorders>
            <w:hideMark/>
          </w:tcPr>
          <w:p w14:paraId="46573A85" w14:textId="77777777" w:rsidR="0035117A" w:rsidRDefault="0035117A" w:rsidP="00820788">
            <w:pPr>
              <w:pStyle w:val="NormalWeb"/>
              <w:jc w:val="center"/>
            </w:pPr>
            <w:r>
              <w:t>56.5</w:t>
            </w:r>
          </w:p>
        </w:tc>
      </w:tr>
      <w:tr w:rsidR="0035117A" w14:paraId="1D45C701" w14:textId="77777777" w:rsidTr="00820788">
        <w:tc>
          <w:tcPr>
            <w:tcW w:w="0" w:type="auto"/>
            <w:tcBorders>
              <w:right w:val="single" w:sz="2" w:space="0" w:color="000000" w:themeColor="text1"/>
            </w:tcBorders>
            <w:hideMark/>
          </w:tcPr>
          <w:p w14:paraId="3C8F2475" w14:textId="77777777" w:rsidR="0035117A" w:rsidRDefault="0035117A"/>
        </w:tc>
        <w:tc>
          <w:tcPr>
            <w:tcW w:w="0" w:type="auto"/>
            <w:tcBorders>
              <w:left w:val="single" w:sz="2" w:space="0" w:color="000000" w:themeColor="text1"/>
              <w:right w:val="single" w:sz="2" w:space="0" w:color="000000" w:themeColor="text1"/>
            </w:tcBorders>
            <w:hideMark/>
          </w:tcPr>
          <w:p w14:paraId="5A768122" w14:textId="77777777" w:rsidR="0035117A" w:rsidRDefault="0035117A">
            <w:pPr>
              <w:pStyle w:val="NormalWeb"/>
              <w:rPr>
                <w:sz w:val="24"/>
                <w:szCs w:val="24"/>
              </w:rPr>
            </w:pPr>
            <w:r>
              <w:t>35 years and above (n=6)</w:t>
            </w:r>
          </w:p>
        </w:tc>
        <w:tc>
          <w:tcPr>
            <w:tcW w:w="1728" w:type="dxa"/>
            <w:tcBorders>
              <w:left w:val="single" w:sz="2" w:space="0" w:color="000000" w:themeColor="text1"/>
              <w:right w:val="single" w:sz="2" w:space="0" w:color="000000" w:themeColor="text1"/>
            </w:tcBorders>
            <w:hideMark/>
          </w:tcPr>
          <w:p w14:paraId="0F44CD05" w14:textId="77777777" w:rsidR="0035117A" w:rsidRDefault="0035117A" w:rsidP="00820788">
            <w:pPr>
              <w:pStyle w:val="NormalWeb"/>
              <w:jc w:val="center"/>
            </w:pPr>
            <w:r>
              <w:t>0</w:t>
            </w:r>
          </w:p>
        </w:tc>
        <w:tc>
          <w:tcPr>
            <w:tcW w:w="1728" w:type="dxa"/>
            <w:tcBorders>
              <w:left w:val="single" w:sz="2" w:space="0" w:color="000000" w:themeColor="text1"/>
              <w:right w:val="single" w:sz="2" w:space="0" w:color="000000" w:themeColor="text1"/>
            </w:tcBorders>
            <w:hideMark/>
          </w:tcPr>
          <w:p w14:paraId="5D7A0039" w14:textId="77777777" w:rsidR="0035117A" w:rsidRDefault="0035117A" w:rsidP="00820788">
            <w:pPr>
              <w:pStyle w:val="NormalWeb"/>
              <w:jc w:val="center"/>
            </w:pPr>
            <w:r>
              <w:t>0</w:t>
            </w:r>
          </w:p>
        </w:tc>
        <w:tc>
          <w:tcPr>
            <w:tcW w:w="1728" w:type="dxa"/>
            <w:tcBorders>
              <w:left w:val="single" w:sz="2" w:space="0" w:color="000000" w:themeColor="text1"/>
              <w:right w:val="single" w:sz="2" w:space="0" w:color="000000" w:themeColor="text1"/>
            </w:tcBorders>
            <w:hideMark/>
          </w:tcPr>
          <w:p w14:paraId="2C676885" w14:textId="77777777" w:rsidR="0035117A" w:rsidRDefault="0035117A" w:rsidP="00820788">
            <w:pPr>
              <w:pStyle w:val="NormalWeb"/>
              <w:jc w:val="center"/>
            </w:pPr>
            <w:r>
              <w:t>6</w:t>
            </w:r>
          </w:p>
        </w:tc>
        <w:tc>
          <w:tcPr>
            <w:tcW w:w="1729" w:type="dxa"/>
            <w:tcBorders>
              <w:left w:val="single" w:sz="2" w:space="0" w:color="000000" w:themeColor="text1"/>
            </w:tcBorders>
            <w:hideMark/>
          </w:tcPr>
          <w:p w14:paraId="162179AE" w14:textId="77777777" w:rsidR="0035117A" w:rsidRDefault="0035117A" w:rsidP="00820788">
            <w:pPr>
              <w:pStyle w:val="NormalWeb"/>
              <w:jc w:val="center"/>
            </w:pPr>
            <w:r>
              <w:t>100</w:t>
            </w:r>
          </w:p>
        </w:tc>
      </w:tr>
      <w:tr w:rsidR="0035117A" w14:paraId="0BCEB3C2"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gridSpan w:val="2"/>
            <w:tcBorders>
              <w:right w:val="single" w:sz="2" w:space="0" w:color="000000" w:themeColor="text1"/>
            </w:tcBorders>
            <w:hideMark/>
          </w:tcPr>
          <w:p w14:paraId="18F02D15" w14:textId="77777777" w:rsidR="0035117A" w:rsidRDefault="0035117A">
            <w:pPr>
              <w:pStyle w:val="NormalWeb"/>
            </w:pPr>
            <w:r>
              <w:t>Region</w:t>
            </w:r>
          </w:p>
        </w:tc>
        <w:tc>
          <w:tcPr>
            <w:tcW w:w="1728" w:type="dxa"/>
            <w:tcBorders>
              <w:left w:val="single" w:sz="2" w:space="0" w:color="000000" w:themeColor="text1"/>
              <w:right w:val="single" w:sz="2" w:space="0" w:color="000000" w:themeColor="text1"/>
            </w:tcBorders>
            <w:hideMark/>
          </w:tcPr>
          <w:p w14:paraId="50FE4F8D" w14:textId="77777777" w:rsidR="0035117A" w:rsidRDefault="0035117A" w:rsidP="00820788">
            <w:pPr>
              <w:jc w:val="center"/>
            </w:pPr>
          </w:p>
        </w:tc>
        <w:tc>
          <w:tcPr>
            <w:tcW w:w="1728" w:type="dxa"/>
            <w:tcBorders>
              <w:left w:val="single" w:sz="2" w:space="0" w:color="000000" w:themeColor="text1"/>
              <w:right w:val="single" w:sz="2" w:space="0" w:color="000000" w:themeColor="text1"/>
            </w:tcBorders>
            <w:hideMark/>
          </w:tcPr>
          <w:p w14:paraId="473EB4A8" w14:textId="77777777" w:rsidR="0035117A" w:rsidRDefault="0035117A" w:rsidP="00820788">
            <w:pPr>
              <w:jc w:val="center"/>
              <w:rPr>
                <w:rFonts w:eastAsia="Times New Roman"/>
                <w:sz w:val="20"/>
                <w:szCs w:val="20"/>
              </w:rPr>
            </w:pPr>
          </w:p>
        </w:tc>
        <w:tc>
          <w:tcPr>
            <w:tcW w:w="1728" w:type="dxa"/>
            <w:tcBorders>
              <w:left w:val="single" w:sz="2" w:space="0" w:color="000000" w:themeColor="text1"/>
              <w:right w:val="single" w:sz="2" w:space="0" w:color="000000" w:themeColor="text1"/>
            </w:tcBorders>
            <w:hideMark/>
          </w:tcPr>
          <w:p w14:paraId="4BA5621A" w14:textId="77777777" w:rsidR="0035117A" w:rsidRDefault="0035117A" w:rsidP="00820788">
            <w:pPr>
              <w:jc w:val="center"/>
              <w:rPr>
                <w:rFonts w:eastAsia="Times New Roman"/>
                <w:sz w:val="20"/>
                <w:szCs w:val="20"/>
              </w:rPr>
            </w:pPr>
          </w:p>
        </w:tc>
        <w:tc>
          <w:tcPr>
            <w:tcW w:w="1729" w:type="dxa"/>
            <w:tcBorders>
              <w:left w:val="single" w:sz="2" w:space="0" w:color="000000" w:themeColor="text1"/>
            </w:tcBorders>
            <w:hideMark/>
          </w:tcPr>
          <w:p w14:paraId="22B16DD1" w14:textId="77777777" w:rsidR="0035117A" w:rsidRDefault="0035117A" w:rsidP="00820788">
            <w:pPr>
              <w:jc w:val="center"/>
              <w:rPr>
                <w:rFonts w:eastAsia="Times New Roman"/>
                <w:sz w:val="20"/>
                <w:szCs w:val="20"/>
              </w:rPr>
            </w:pPr>
          </w:p>
        </w:tc>
      </w:tr>
      <w:tr w:rsidR="0035117A" w14:paraId="57BB57E2" w14:textId="77777777" w:rsidTr="00820788">
        <w:tc>
          <w:tcPr>
            <w:tcW w:w="0" w:type="auto"/>
            <w:tcBorders>
              <w:right w:val="single" w:sz="2" w:space="0" w:color="000000" w:themeColor="text1"/>
            </w:tcBorders>
            <w:hideMark/>
          </w:tcPr>
          <w:p w14:paraId="13D2E23C" w14:textId="77777777" w:rsidR="0035117A" w:rsidRDefault="0035117A">
            <w:pPr>
              <w:rPr>
                <w:rFonts w:eastAsia="Times New Roman"/>
                <w:sz w:val="20"/>
                <w:szCs w:val="20"/>
              </w:rPr>
            </w:pPr>
          </w:p>
        </w:tc>
        <w:tc>
          <w:tcPr>
            <w:tcW w:w="0" w:type="auto"/>
            <w:tcBorders>
              <w:left w:val="single" w:sz="2" w:space="0" w:color="000000" w:themeColor="text1"/>
              <w:right w:val="single" w:sz="2" w:space="0" w:color="000000" w:themeColor="text1"/>
            </w:tcBorders>
            <w:hideMark/>
          </w:tcPr>
          <w:p w14:paraId="1C3DD996" w14:textId="77777777" w:rsidR="0035117A" w:rsidRDefault="0035117A">
            <w:pPr>
              <w:pStyle w:val="NormalWeb"/>
              <w:rPr>
                <w:sz w:val="24"/>
                <w:szCs w:val="24"/>
              </w:rPr>
            </w:pPr>
            <w:r>
              <w:t>Alice Springs (n=9)</w:t>
            </w:r>
          </w:p>
        </w:tc>
        <w:tc>
          <w:tcPr>
            <w:tcW w:w="1728" w:type="dxa"/>
            <w:tcBorders>
              <w:left w:val="single" w:sz="2" w:space="0" w:color="000000" w:themeColor="text1"/>
              <w:right w:val="single" w:sz="2" w:space="0" w:color="000000" w:themeColor="text1"/>
            </w:tcBorders>
            <w:hideMark/>
          </w:tcPr>
          <w:p w14:paraId="0BD11567" w14:textId="77777777" w:rsidR="0035117A" w:rsidRDefault="0035117A" w:rsidP="00820788">
            <w:pPr>
              <w:pStyle w:val="NormalWeb"/>
              <w:jc w:val="center"/>
            </w:pPr>
            <w:r>
              <w:t>5</w:t>
            </w:r>
          </w:p>
        </w:tc>
        <w:tc>
          <w:tcPr>
            <w:tcW w:w="1728" w:type="dxa"/>
            <w:tcBorders>
              <w:left w:val="single" w:sz="2" w:space="0" w:color="000000" w:themeColor="text1"/>
              <w:right w:val="single" w:sz="2" w:space="0" w:color="000000" w:themeColor="text1"/>
            </w:tcBorders>
            <w:hideMark/>
          </w:tcPr>
          <w:p w14:paraId="6F2ED5F3" w14:textId="77777777" w:rsidR="0035117A" w:rsidRDefault="0035117A" w:rsidP="00820788">
            <w:pPr>
              <w:pStyle w:val="NormalWeb"/>
              <w:jc w:val="center"/>
            </w:pPr>
            <w:r>
              <w:t>55.6</w:t>
            </w:r>
          </w:p>
        </w:tc>
        <w:tc>
          <w:tcPr>
            <w:tcW w:w="1728" w:type="dxa"/>
            <w:tcBorders>
              <w:left w:val="single" w:sz="2" w:space="0" w:color="000000" w:themeColor="text1"/>
              <w:right w:val="single" w:sz="2" w:space="0" w:color="000000" w:themeColor="text1"/>
            </w:tcBorders>
            <w:hideMark/>
          </w:tcPr>
          <w:p w14:paraId="72D2BAB1" w14:textId="77777777" w:rsidR="0035117A" w:rsidRDefault="0035117A" w:rsidP="00820788">
            <w:pPr>
              <w:pStyle w:val="NormalWeb"/>
              <w:jc w:val="center"/>
            </w:pPr>
            <w:r>
              <w:t>4</w:t>
            </w:r>
          </w:p>
        </w:tc>
        <w:tc>
          <w:tcPr>
            <w:tcW w:w="1729" w:type="dxa"/>
            <w:tcBorders>
              <w:left w:val="single" w:sz="2" w:space="0" w:color="000000" w:themeColor="text1"/>
            </w:tcBorders>
            <w:hideMark/>
          </w:tcPr>
          <w:p w14:paraId="19511C67" w14:textId="77777777" w:rsidR="0035117A" w:rsidRDefault="0035117A" w:rsidP="00820788">
            <w:pPr>
              <w:pStyle w:val="NormalWeb"/>
              <w:jc w:val="center"/>
            </w:pPr>
            <w:r>
              <w:t>44.4</w:t>
            </w:r>
          </w:p>
        </w:tc>
      </w:tr>
      <w:tr w:rsidR="0035117A" w14:paraId="28851FB5"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9276958" w14:textId="77777777" w:rsidR="0035117A" w:rsidRDefault="0035117A"/>
        </w:tc>
        <w:tc>
          <w:tcPr>
            <w:tcW w:w="0" w:type="auto"/>
            <w:tcBorders>
              <w:left w:val="single" w:sz="2" w:space="0" w:color="000000" w:themeColor="text1"/>
              <w:right w:val="single" w:sz="2" w:space="0" w:color="000000" w:themeColor="text1"/>
            </w:tcBorders>
            <w:hideMark/>
          </w:tcPr>
          <w:p w14:paraId="0801328F" w14:textId="77777777" w:rsidR="0035117A" w:rsidRDefault="0035117A">
            <w:pPr>
              <w:pStyle w:val="NormalWeb"/>
              <w:rPr>
                <w:sz w:val="24"/>
                <w:szCs w:val="24"/>
              </w:rPr>
            </w:pPr>
            <w:r>
              <w:t>Darwin (n=31)</w:t>
            </w:r>
          </w:p>
        </w:tc>
        <w:tc>
          <w:tcPr>
            <w:tcW w:w="1728" w:type="dxa"/>
            <w:tcBorders>
              <w:left w:val="single" w:sz="2" w:space="0" w:color="000000" w:themeColor="text1"/>
              <w:right w:val="single" w:sz="2" w:space="0" w:color="000000" w:themeColor="text1"/>
            </w:tcBorders>
            <w:hideMark/>
          </w:tcPr>
          <w:p w14:paraId="30FD4668" w14:textId="77777777" w:rsidR="0035117A" w:rsidRDefault="0035117A" w:rsidP="00820788">
            <w:pPr>
              <w:pStyle w:val="NormalWeb"/>
              <w:jc w:val="center"/>
            </w:pPr>
            <w:r>
              <w:t>10</w:t>
            </w:r>
          </w:p>
        </w:tc>
        <w:tc>
          <w:tcPr>
            <w:tcW w:w="1728" w:type="dxa"/>
            <w:tcBorders>
              <w:left w:val="single" w:sz="2" w:space="0" w:color="000000" w:themeColor="text1"/>
              <w:right w:val="single" w:sz="2" w:space="0" w:color="000000" w:themeColor="text1"/>
            </w:tcBorders>
            <w:hideMark/>
          </w:tcPr>
          <w:p w14:paraId="7F82CEEE" w14:textId="77777777" w:rsidR="0035117A" w:rsidRDefault="0035117A" w:rsidP="00820788">
            <w:pPr>
              <w:pStyle w:val="NormalWeb"/>
              <w:jc w:val="center"/>
            </w:pPr>
            <w:r>
              <w:t>32.3</w:t>
            </w:r>
          </w:p>
        </w:tc>
        <w:tc>
          <w:tcPr>
            <w:tcW w:w="1728" w:type="dxa"/>
            <w:tcBorders>
              <w:left w:val="single" w:sz="2" w:space="0" w:color="000000" w:themeColor="text1"/>
              <w:right w:val="single" w:sz="2" w:space="0" w:color="000000" w:themeColor="text1"/>
            </w:tcBorders>
            <w:hideMark/>
          </w:tcPr>
          <w:p w14:paraId="584987C8" w14:textId="77777777" w:rsidR="0035117A" w:rsidRDefault="0035117A" w:rsidP="00820788">
            <w:pPr>
              <w:pStyle w:val="NormalWeb"/>
              <w:jc w:val="center"/>
            </w:pPr>
            <w:r>
              <w:t>21</w:t>
            </w:r>
          </w:p>
        </w:tc>
        <w:tc>
          <w:tcPr>
            <w:tcW w:w="1729" w:type="dxa"/>
            <w:tcBorders>
              <w:left w:val="single" w:sz="2" w:space="0" w:color="000000" w:themeColor="text1"/>
            </w:tcBorders>
            <w:hideMark/>
          </w:tcPr>
          <w:p w14:paraId="17EADF4C" w14:textId="77777777" w:rsidR="0035117A" w:rsidRDefault="0035117A" w:rsidP="00820788">
            <w:pPr>
              <w:pStyle w:val="NormalWeb"/>
              <w:jc w:val="center"/>
            </w:pPr>
            <w:r>
              <w:t>67.7</w:t>
            </w:r>
          </w:p>
        </w:tc>
      </w:tr>
      <w:tr w:rsidR="0035117A" w14:paraId="6A86BFFA" w14:textId="77777777" w:rsidTr="00820788">
        <w:tc>
          <w:tcPr>
            <w:tcW w:w="0" w:type="auto"/>
            <w:gridSpan w:val="2"/>
            <w:tcBorders>
              <w:right w:val="single" w:sz="2" w:space="0" w:color="000000" w:themeColor="text1"/>
            </w:tcBorders>
            <w:hideMark/>
          </w:tcPr>
          <w:p w14:paraId="161E25F8" w14:textId="77777777" w:rsidR="0035117A" w:rsidRDefault="0035117A">
            <w:pPr>
              <w:pStyle w:val="NormalWeb"/>
            </w:pPr>
            <w:r>
              <w:t>Preterm Births (&lt;37 weeks)</w:t>
            </w:r>
          </w:p>
        </w:tc>
        <w:tc>
          <w:tcPr>
            <w:tcW w:w="1728" w:type="dxa"/>
            <w:tcBorders>
              <w:left w:val="single" w:sz="2" w:space="0" w:color="000000" w:themeColor="text1"/>
              <w:right w:val="single" w:sz="2" w:space="0" w:color="000000" w:themeColor="text1"/>
            </w:tcBorders>
            <w:hideMark/>
          </w:tcPr>
          <w:p w14:paraId="1DA34BF3" w14:textId="77777777" w:rsidR="0035117A" w:rsidRDefault="0035117A" w:rsidP="00820788">
            <w:pPr>
              <w:jc w:val="center"/>
            </w:pPr>
          </w:p>
        </w:tc>
        <w:tc>
          <w:tcPr>
            <w:tcW w:w="1728" w:type="dxa"/>
            <w:tcBorders>
              <w:left w:val="single" w:sz="2" w:space="0" w:color="000000" w:themeColor="text1"/>
              <w:right w:val="single" w:sz="2" w:space="0" w:color="000000" w:themeColor="text1"/>
            </w:tcBorders>
            <w:hideMark/>
          </w:tcPr>
          <w:p w14:paraId="1CA56D3D" w14:textId="77777777" w:rsidR="0035117A" w:rsidRDefault="0035117A" w:rsidP="00820788">
            <w:pPr>
              <w:jc w:val="center"/>
              <w:rPr>
                <w:rFonts w:eastAsia="Times New Roman"/>
                <w:sz w:val="20"/>
                <w:szCs w:val="20"/>
              </w:rPr>
            </w:pPr>
          </w:p>
        </w:tc>
        <w:tc>
          <w:tcPr>
            <w:tcW w:w="1728" w:type="dxa"/>
            <w:tcBorders>
              <w:left w:val="single" w:sz="2" w:space="0" w:color="000000" w:themeColor="text1"/>
              <w:right w:val="single" w:sz="2" w:space="0" w:color="000000" w:themeColor="text1"/>
            </w:tcBorders>
            <w:hideMark/>
          </w:tcPr>
          <w:p w14:paraId="115C8D56" w14:textId="77777777" w:rsidR="0035117A" w:rsidRDefault="0035117A" w:rsidP="00820788">
            <w:pPr>
              <w:jc w:val="center"/>
              <w:rPr>
                <w:rFonts w:eastAsia="Times New Roman"/>
                <w:sz w:val="20"/>
                <w:szCs w:val="20"/>
              </w:rPr>
            </w:pPr>
          </w:p>
        </w:tc>
        <w:tc>
          <w:tcPr>
            <w:tcW w:w="1729" w:type="dxa"/>
            <w:tcBorders>
              <w:left w:val="single" w:sz="2" w:space="0" w:color="000000" w:themeColor="text1"/>
            </w:tcBorders>
            <w:hideMark/>
          </w:tcPr>
          <w:p w14:paraId="26A6DD5B" w14:textId="77777777" w:rsidR="0035117A" w:rsidRDefault="0035117A" w:rsidP="00820788">
            <w:pPr>
              <w:jc w:val="center"/>
              <w:rPr>
                <w:rFonts w:eastAsia="Times New Roman"/>
                <w:sz w:val="20"/>
                <w:szCs w:val="20"/>
              </w:rPr>
            </w:pPr>
          </w:p>
        </w:tc>
      </w:tr>
      <w:tr w:rsidR="0035117A" w14:paraId="4D3A0659"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E7FC471" w14:textId="77777777" w:rsidR="0035117A" w:rsidRDefault="0035117A">
            <w:pPr>
              <w:rPr>
                <w:rFonts w:eastAsia="Times New Roman"/>
                <w:sz w:val="20"/>
                <w:szCs w:val="20"/>
              </w:rPr>
            </w:pPr>
          </w:p>
        </w:tc>
        <w:tc>
          <w:tcPr>
            <w:tcW w:w="0" w:type="auto"/>
            <w:tcBorders>
              <w:left w:val="single" w:sz="2" w:space="0" w:color="000000" w:themeColor="text1"/>
              <w:right w:val="single" w:sz="2" w:space="0" w:color="000000" w:themeColor="text1"/>
            </w:tcBorders>
            <w:hideMark/>
          </w:tcPr>
          <w:p w14:paraId="16A00F1A" w14:textId="77777777" w:rsidR="0035117A" w:rsidRDefault="0035117A">
            <w:pPr>
              <w:pStyle w:val="NormalWeb"/>
              <w:rPr>
                <w:sz w:val="24"/>
                <w:szCs w:val="24"/>
              </w:rPr>
            </w:pPr>
            <w:r>
              <w:t>Extreme: GA &lt; 28+0 (n=23)</w:t>
            </w:r>
          </w:p>
        </w:tc>
        <w:tc>
          <w:tcPr>
            <w:tcW w:w="1728" w:type="dxa"/>
            <w:tcBorders>
              <w:left w:val="single" w:sz="2" w:space="0" w:color="000000" w:themeColor="text1"/>
              <w:right w:val="single" w:sz="2" w:space="0" w:color="000000" w:themeColor="text1"/>
            </w:tcBorders>
            <w:hideMark/>
          </w:tcPr>
          <w:p w14:paraId="15700914" w14:textId="77777777" w:rsidR="0035117A" w:rsidRDefault="0035117A" w:rsidP="00820788">
            <w:pPr>
              <w:pStyle w:val="NormalWeb"/>
              <w:jc w:val="center"/>
            </w:pPr>
            <w:r>
              <w:t>11</w:t>
            </w:r>
          </w:p>
        </w:tc>
        <w:tc>
          <w:tcPr>
            <w:tcW w:w="1728" w:type="dxa"/>
            <w:tcBorders>
              <w:left w:val="single" w:sz="2" w:space="0" w:color="000000" w:themeColor="text1"/>
              <w:right w:val="single" w:sz="2" w:space="0" w:color="000000" w:themeColor="text1"/>
            </w:tcBorders>
            <w:hideMark/>
          </w:tcPr>
          <w:p w14:paraId="0618F353" w14:textId="77777777" w:rsidR="0035117A" w:rsidRDefault="0035117A" w:rsidP="00820788">
            <w:pPr>
              <w:pStyle w:val="NormalWeb"/>
              <w:jc w:val="center"/>
            </w:pPr>
            <w:r>
              <w:t>47.8</w:t>
            </w:r>
          </w:p>
        </w:tc>
        <w:tc>
          <w:tcPr>
            <w:tcW w:w="1728" w:type="dxa"/>
            <w:tcBorders>
              <w:left w:val="single" w:sz="2" w:space="0" w:color="000000" w:themeColor="text1"/>
              <w:right w:val="single" w:sz="2" w:space="0" w:color="000000" w:themeColor="text1"/>
            </w:tcBorders>
            <w:hideMark/>
          </w:tcPr>
          <w:p w14:paraId="063B6D54" w14:textId="77777777" w:rsidR="0035117A" w:rsidRDefault="0035117A" w:rsidP="00820788">
            <w:pPr>
              <w:pStyle w:val="NormalWeb"/>
              <w:jc w:val="center"/>
            </w:pPr>
            <w:r>
              <w:t>12</w:t>
            </w:r>
          </w:p>
        </w:tc>
        <w:tc>
          <w:tcPr>
            <w:tcW w:w="1729" w:type="dxa"/>
            <w:tcBorders>
              <w:left w:val="single" w:sz="2" w:space="0" w:color="000000" w:themeColor="text1"/>
            </w:tcBorders>
            <w:hideMark/>
          </w:tcPr>
          <w:p w14:paraId="30DDEF81" w14:textId="77777777" w:rsidR="0035117A" w:rsidRDefault="0035117A" w:rsidP="00820788">
            <w:pPr>
              <w:pStyle w:val="NormalWeb"/>
              <w:jc w:val="center"/>
            </w:pPr>
            <w:r>
              <w:t>52.2</w:t>
            </w:r>
          </w:p>
        </w:tc>
      </w:tr>
      <w:tr w:rsidR="0035117A" w14:paraId="7204BE67" w14:textId="77777777" w:rsidTr="00820788">
        <w:tc>
          <w:tcPr>
            <w:tcW w:w="0" w:type="auto"/>
            <w:tcBorders>
              <w:right w:val="single" w:sz="2" w:space="0" w:color="000000" w:themeColor="text1"/>
            </w:tcBorders>
            <w:hideMark/>
          </w:tcPr>
          <w:p w14:paraId="4612600B" w14:textId="77777777" w:rsidR="0035117A" w:rsidRDefault="0035117A"/>
        </w:tc>
        <w:tc>
          <w:tcPr>
            <w:tcW w:w="0" w:type="auto"/>
            <w:tcBorders>
              <w:left w:val="single" w:sz="2" w:space="0" w:color="000000" w:themeColor="text1"/>
              <w:right w:val="single" w:sz="2" w:space="0" w:color="000000" w:themeColor="text1"/>
            </w:tcBorders>
            <w:hideMark/>
          </w:tcPr>
          <w:p w14:paraId="49FB6C6C" w14:textId="77777777" w:rsidR="0035117A" w:rsidRDefault="0035117A">
            <w:pPr>
              <w:pStyle w:val="NormalWeb"/>
              <w:rPr>
                <w:sz w:val="24"/>
                <w:szCs w:val="24"/>
              </w:rPr>
            </w:pPr>
            <w:r>
              <w:t>Very: GA 28+0- 31+6 (n=53)</w:t>
            </w:r>
          </w:p>
        </w:tc>
        <w:tc>
          <w:tcPr>
            <w:tcW w:w="1728" w:type="dxa"/>
            <w:tcBorders>
              <w:left w:val="single" w:sz="2" w:space="0" w:color="000000" w:themeColor="text1"/>
              <w:right w:val="single" w:sz="2" w:space="0" w:color="000000" w:themeColor="text1"/>
            </w:tcBorders>
            <w:hideMark/>
          </w:tcPr>
          <w:p w14:paraId="4D7B50B0" w14:textId="77777777" w:rsidR="0035117A" w:rsidRDefault="0035117A" w:rsidP="00820788">
            <w:pPr>
              <w:pStyle w:val="NormalWeb"/>
              <w:jc w:val="center"/>
            </w:pPr>
            <w:r>
              <w:t>24</w:t>
            </w:r>
          </w:p>
        </w:tc>
        <w:tc>
          <w:tcPr>
            <w:tcW w:w="1728" w:type="dxa"/>
            <w:tcBorders>
              <w:left w:val="single" w:sz="2" w:space="0" w:color="000000" w:themeColor="text1"/>
              <w:right w:val="single" w:sz="2" w:space="0" w:color="000000" w:themeColor="text1"/>
            </w:tcBorders>
            <w:hideMark/>
          </w:tcPr>
          <w:p w14:paraId="0ED34788" w14:textId="77777777" w:rsidR="0035117A" w:rsidRDefault="0035117A" w:rsidP="00820788">
            <w:pPr>
              <w:pStyle w:val="NormalWeb"/>
              <w:jc w:val="center"/>
            </w:pPr>
            <w:r>
              <w:t>54.7</w:t>
            </w:r>
          </w:p>
        </w:tc>
        <w:tc>
          <w:tcPr>
            <w:tcW w:w="1728" w:type="dxa"/>
            <w:tcBorders>
              <w:left w:val="single" w:sz="2" w:space="0" w:color="000000" w:themeColor="text1"/>
              <w:right w:val="single" w:sz="2" w:space="0" w:color="000000" w:themeColor="text1"/>
            </w:tcBorders>
            <w:hideMark/>
          </w:tcPr>
          <w:p w14:paraId="5A6BECD8" w14:textId="77777777" w:rsidR="0035117A" w:rsidRDefault="0035117A" w:rsidP="00820788">
            <w:pPr>
              <w:pStyle w:val="NormalWeb"/>
              <w:jc w:val="center"/>
            </w:pPr>
            <w:r>
              <w:t>29</w:t>
            </w:r>
          </w:p>
        </w:tc>
        <w:tc>
          <w:tcPr>
            <w:tcW w:w="1729" w:type="dxa"/>
            <w:tcBorders>
              <w:left w:val="single" w:sz="2" w:space="0" w:color="000000" w:themeColor="text1"/>
            </w:tcBorders>
            <w:hideMark/>
          </w:tcPr>
          <w:p w14:paraId="7969FC66" w14:textId="77777777" w:rsidR="0035117A" w:rsidRDefault="0035117A" w:rsidP="00820788">
            <w:pPr>
              <w:pStyle w:val="NormalWeb"/>
              <w:jc w:val="center"/>
            </w:pPr>
            <w:r>
              <w:t>45.3</w:t>
            </w:r>
          </w:p>
        </w:tc>
      </w:tr>
      <w:tr w:rsidR="0035117A" w14:paraId="3CA067F8"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3B095E3E" w14:textId="77777777" w:rsidR="0035117A" w:rsidRDefault="0035117A"/>
        </w:tc>
        <w:tc>
          <w:tcPr>
            <w:tcW w:w="0" w:type="auto"/>
            <w:tcBorders>
              <w:left w:val="single" w:sz="2" w:space="0" w:color="000000" w:themeColor="text1"/>
              <w:right w:val="single" w:sz="2" w:space="0" w:color="000000" w:themeColor="text1"/>
            </w:tcBorders>
            <w:hideMark/>
          </w:tcPr>
          <w:p w14:paraId="71714EDB" w14:textId="77777777" w:rsidR="0035117A" w:rsidRDefault="0035117A">
            <w:pPr>
              <w:pStyle w:val="NormalWeb"/>
              <w:rPr>
                <w:sz w:val="24"/>
                <w:szCs w:val="24"/>
              </w:rPr>
            </w:pPr>
            <w:r>
              <w:t>Moderate: GA 32+0- 36+6 (n=246)</w:t>
            </w:r>
          </w:p>
        </w:tc>
        <w:tc>
          <w:tcPr>
            <w:tcW w:w="1728" w:type="dxa"/>
            <w:tcBorders>
              <w:left w:val="single" w:sz="2" w:space="0" w:color="000000" w:themeColor="text1"/>
              <w:right w:val="single" w:sz="2" w:space="0" w:color="000000" w:themeColor="text1"/>
            </w:tcBorders>
            <w:hideMark/>
          </w:tcPr>
          <w:p w14:paraId="22EB1BB3" w14:textId="77777777" w:rsidR="0035117A" w:rsidRDefault="0035117A" w:rsidP="00820788">
            <w:pPr>
              <w:pStyle w:val="NormalWeb"/>
              <w:jc w:val="center"/>
            </w:pPr>
            <w:r>
              <w:t>123</w:t>
            </w:r>
          </w:p>
        </w:tc>
        <w:tc>
          <w:tcPr>
            <w:tcW w:w="1728" w:type="dxa"/>
            <w:tcBorders>
              <w:left w:val="single" w:sz="2" w:space="0" w:color="000000" w:themeColor="text1"/>
              <w:right w:val="single" w:sz="2" w:space="0" w:color="000000" w:themeColor="text1"/>
            </w:tcBorders>
            <w:hideMark/>
          </w:tcPr>
          <w:p w14:paraId="30926A7C" w14:textId="77777777" w:rsidR="0035117A" w:rsidRDefault="0035117A" w:rsidP="00820788">
            <w:pPr>
              <w:pStyle w:val="NormalWeb"/>
              <w:jc w:val="center"/>
            </w:pPr>
            <w:r>
              <w:t>50.0</w:t>
            </w:r>
          </w:p>
        </w:tc>
        <w:tc>
          <w:tcPr>
            <w:tcW w:w="1728" w:type="dxa"/>
            <w:tcBorders>
              <w:left w:val="single" w:sz="2" w:space="0" w:color="000000" w:themeColor="text1"/>
              <w:right w:val="single" w:sz="2" w:space="0" w:color="000000" w:themeColor="text1"/>
            </w:tcBorders>
            <w:hideMark/>
          </w:tcPr>
          <w:p w14:paraId="7C0BE352" w14:textId="77777777" w:rsidR="0035117A" w:rsidRDefault="0035117A" w:rsidP="00820788">
            <w:pPr>
              <w:pStyle w:val="NormalWeb"/>
              <w:jc w:val="center"/>
            </w:pPr>
            <w:r>
              <w:t>123</w:t>
            </w:r>
          </w:p>
        </w:tc>
        <w:tc>
          <w:tcPr>
            <w:tcW w:w="1729" w:type="dxa"/>
            <w:tcBorders>
              <w:left w:val="single" w:sz="2" w:space="0" w:color="000000" w:themeColor="text1"/>
            </w:tcBorders>
            <w:hideMark/>
          </w:tcPr>
          <w:p w14:paraId="6F1CBD8B" w14:textId="77777777" w:rsidR="0035117A" w:rsidRDefault="0035117A" w:rsidP="00820788">
            <w:pPr>
              <w:pStyle w:val="NormalWeb"/>
              <w:jc w:val="center"/>
            </w:pPr>
            <w:r>
              <w:t>50.0</w:t>
            </w:r>
          </w:p>
        </w:tc>
      </w:tr>
      <w:tr w:rsidR="0035117A" w14:paraId="4A8454D7" w14:textId="77777777" w:rsidTr="00820788">
        <w:tc>
          <w:tcPr>
            <w:tcW w:w="0" w:type="auto"/>
            <w:gridSpan w:val="2"/>
            <w:tcBorders>
              <w:right w:val="single" w:sz="2" w:space="0" w:color="000000" w:themeColor="text1"/>
            </w:tcBorders>
            <w:hideMark/>
          </w:tcPr>
          <w:p w14:paraId="70C17347" w14:textId="77777777" w:rsidR="0035117A" w:rsidRDefault="0035117A">
            <w:pPr>
              <w:pStyle w:val="NormalWeb"/>
            </w:pPr>
            <w:r>
              <w:t>Indigenous Status</w:t>
            </w:r>
          </w:p>
        </w:tc>
        <w:tc>
          <w:tcPr>
            <w:tcW w:w="1728" w:type="dxa"/>
            <w:tcBorders>
              <w:left w:val="single" w:sz="2" w:space="0" w:color="000000" w:themeColor="text1"/>
              <w:right w:val="single" w:sz="2" w:space="0" w:color="000000" w:themeColor="text1"/>
            </w:tcBorders>
            <w:hideMark/>
          </w:tcPr>
          <w:p w14:paraId="487050FF" w14:textId="77777777" w:rsidR="0035117A" w:rsidRDefault="0035117A" w:rsidP="00820788">
            <w:pPr>
              <w:jc w:val="center"/>
            </w:pPr>
          </w:p>
        </w:tc>
        <w:tc>
          <w:tcPr>
            <w:tcW w:w="1728" w:type="dxa"/>
            <w:tcBorders>
              <w:left w:val="single" w:sz="2" w:space="0" w:color="000000" w:themeColor="text1"/>
              <w:right w:val="single" w:sz="2" w:space="0" w:color="000000" w:themeColor="text1"/>
            </w:tcBorders>
            <w:hideMark/>
          </w:tcPr>
          <w:p w14:paraId="17E01730" w14:textId="77777777" w:rsidR="0035117A" w:rsidRDefault="0035117A" w:rsidP="00820788">
            <w:pPr>
              <w:jc w:val="center"/>
              <w:rPr>
                <w:rFonts w:eastAsia="Times New Roman"/>
                <w:sz w:val="20"/>
                <w:szCs w:val="20"/>
              </w:rPr>
            </w:pPr>
          </w:p>
        </w:tc>
        <w:tc>
          <w:tcPr>
            <w:tcW w:w="1728" w:type="dxa"/>
            <w:tcBorders>
              <w:left w:val="single" w:sz="2" w:space="0" w:color="000000" w:themeColor="text1"/>
              <w:right w:val="single" w:sz="2" w:space="0" w:color="000000" w:themeColor="text1"/>
            </w:tcBorders>
            <w:hideMark/>
          </w:tcPr>
          <w:p w14:paraId="0AE64A08" w14:textId="77777777" w:rsidR="0035117A" w:rsidRDefault="0035117A" w:rsidP="00820788">
            <w:pPr>
              <w:jc w:val="center"/>
              <w:rPr>
                <w:rFonts w:eastAsia="Times New Roman"/>
                <w:sz w:val="20"/>
                <w:szCs w:val="20"/>
              </w:rPr>
            </w:pPr>
          </w:p>
        </w:tc>
        <w:tc>
          <w:tcPr>
            <w:tcW w:w="1729" w:type="dxa"/>
            <w:tcBorders>
              <w:left w:val="single" w:sz="2" w:space="0" w:color="000000" w:themeColor="text1"/>
            </w:tcBorders>
            <w:hideMark/>
          </w:tcPr>
          <w:p w14:paraId="3FB2D439" w14:textId="77777777" w:rsidR="0035117A" w:rsidRDefault="0035117A" w:rsidP="00820788">
            <w:pPr>
              <w:jc w:val="center"/>
              <w:rPr>
                <w:rFonts w:eastAsia="Times New Roman"/>
                <w:sz w:val="20"/>
                <w:szCs w:val="20"/>
              </w:rPr>
            </w:pPr>
          </w:p>
        </w:tc>
      </w:tr>
      <w:tr w:rsidR="0035117A" w14:paraId="67F54E1D" w14:textId="77777777" w:rsidTr="0082078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51B7968B" w14:textId="77777777" w:rsidR="0035117A" w:rsidRDefault="0035117A">
            <w:pPr>
              <w:rPr>
                <w:rFonts w:eastAsia="Times New Roman"/>
                <w:sz w:val="20"/>
                <w:szCs w:val="20"/>
              </w:rPr>
            </w:pPr>
          </w:p>
        </w:tc>
        <w:tc>
          <w:tcPr>
            <w:tcW w:w="0" w:type="auto"/>
            <w:tcBorders>
              <w:left w:val="single" w:sz="2" w:space="0" w:color="000000" w:themeColor="text1"/>
              <w:right w:val="single" w:sz="2" w:space="0" w:color="000000" w:themeColor="text1"/>
            </w:tcBorders>
            <w:hideMark/>
          </w:tcPr>
          <w:p w14:paraId="0B17358E" w14:textId="77777777" w:rsidR="0035117A" w:rsidRDefault="0035117A">
            <w:pPr>
              <w:pStyle w:val="NormalWeb"/>
              <w:rPr>
                <w:sz w:val="24"/>
                <w:szCs w:val="24"/>
              </w:rPr>
            </w:pPr>
            <w:r>
              <w:t>Indigenous (n=186)</w:t>
            </w:r>
          </w:p>
        </w:tc>
        <w:tc>
          <w:tcPr>
            <w:tcW w:w="1728" w:type="dxa"/>
            <w:tcBorders>
              <w:left w:val="single" w:sz="2" w:space="0" w:color="000000" w:themeColor="text1"/>
              <w:right w:val="single" w:sz="2" w:space="0" w:color="000000" w:themeColor="text1"/>
            </w:tcBorders>
            <w:hideMark/>
          </w:tcPr>
          <w:p w14:paraId="146E4103" w14:textId="77777777" w:rsidR="0035117A" w:rsidRDefault="0035117A" w:rsidP="00820788">
            <w:pPr>
              <w:pStyle w:val="NormalWeb"/>
              <w:jc w:val="center"/>
            </w:pPr>
            <w:r>
              <w:t>121</w:t>
            </w:r>
          </w:p>
        </w:tc>
        <w:tc>
          <w:tcPr>
            <w:tcW w:w="1728" w:type="dxa"/>
            <w:tcBorders>
              <w:left w:val="single" w:sz="2" w:space="0" w:color="000000" w:themeColor="text1"/>
              <w:right w:val="single" w:sz="2" w:space="0" w:color="000000" w:themeColor="text1"/>
            </w:tcBorders>
            <w:hideMark/>
          </w:tcPr>
          <w:p w14:paraId="64C0BAF2" w14:textId="77777777" w:rsidR="0035117A" w:rsidRDefault="0035117A" w:rsidP="00820788">
            <w:pPr>
              <w:pStyle w:val="NormalWeb"/>
              <w:jc w:val="center"/>
            </w:pPr>
            <w:r>
              <w:t>65.1</w:t>
            </w:r>
          </w:p>
        </w:tc>
        <w:tc>
          <w:tcPr>
            <w:tcW w:w="1728" w:type="dxa"/>
            <w:tcBorders>
              <w:left w:val="single" w:sz="2" w:space="0" w:color="000000" w:themeColor="text1"/>
              <w:right w:val="single" w:sz="2" w:space="0" w:color="000000" w:themeColor="text1"/>
            </w:tcBorders>
            <w:hideMark/>
          </w:tcPr>
          <w:p w14:paraId="50D0D238" w14:textId="77777777" w:rsidR="0035117A" w:rsidRDefault="0035117A" w:rsidP="00820788">
            <w:pPr>
              <w:pStyle w:val="NormalWeb"/>
              <w:jc w:val="center"/>
            </w:pPr>
            <w:r>
              <w:t>65</w:t>
            </w:r>
          </w:p>
        </w:tc>
        <w:tc>
          <w:tcPr>
            <w:tcW w:w="1729" w:type="dxa"/>
            <w:tcBorders>
              <w:left w:val="single" w:sz="2" w:space="0" w:color="000000" w:themeColor="text1"/>
            </w:tcBorders>
            <w:hideMark/>
          </w:tcPr>
          <w:p w14:paraId="761D954B" w14:textId="77777777" w:rsidR="0035117A" w:rsidRDefault="0035117A" w:rsidP="00820788">
            <w:pPr>
              <w:pStyle w:val="NormalWeb"/>
              <w:jc w:val="center"/>
            </w:pPr>
            <w:r>
              <w:t>34.9</w:t>
            </w:r>
          </w:p>
        </w:tc>
      </w:tr>
      <w:tr w:rsidR="0035117A" w14:paraId="3F04A2DA" w14:textId="77777777" w:rsidTr="00820788">
        <w:tc>
          <w:tcPr>
            <w:tcW w:w="0" w:type="auto"/>
            <w:tcBorders>
              <w:right w:val="single" w:sz="2" w:space="0" w:color="000000" w:themeColor="text1"/>
            </w:tcBorders>
            <w:hideMark/>
          </w:tcPr>
          <w:p w14:paraId="48C28FB8" w14:textId="77777777" w:rsidR="0035117A" w:rsidRDefault="0035117A"/>
        </w:tc>
        <w:tc>
          <w:tcPr>
            <w:tcW w:w="0" w:type="auto"/>
            <w:tcBorders>
              <w:left w:val="single" w:sz="2" w:space="0" w:color="000000" w:themeColor="text1"/>
              <w:right w:val="single" w:sz="2" w:space="0" w:color="000000" w:themeColor="text1"/>
            </w:tcBorders>
            <w:hideMark/>
          </w:tcPr>
          <w:p w14:paraId="6B104FDF" w14:textId="77777777" w:rsidR="0035117A" w:rsidRDefault="0035117A">
            <w:pPr>
              <w:pStyle w:val="NormalWeb"/>
              <w:rPr>
                <w:sz w:val="24"/>
                <w:szCs w:val="24"/>
              </w:rPr>
            </w:pPr>
            <w:r>
              <w:t>Non Indigenous (n=136)</w:t>
            </w:r>
          </w:p>
        </w:tc>
        <w:tc>
          <w:tcPr>
            <w:tcW w:w="1728" w:type="dxa"/>
            <w:tcBorders>
              <w:left w:val="single" w:sz="2" w:space="0" w:color="000000" w:themeColor="text1"/>
              <w:right w:val="single" w:sz="2" w:space="0" w:color="000000" w:themeColor="text1"/>
            </w:tcBorders>
            <w:hideMark/>
          </w:tcPr>
          <w:p w14:paraId="6BD50988" w14:textId="77777777" w:rsidR="0035117A" w:rsidRDefault="0035117A" w:rsidP="00820788">
            <w:pPr>
              <w:pStyle w:val="NormalWeb"/>
              <w:jc w:val="center"/>
            </w:pPr>
            <w:r>
              <w:t>37</w:t>
            </w:r>
          </w:p>
        </w:tc>
        <w:tc>
          <w:tcPr>
            <w:tcW w:w="1728" w:type="dxa"/>
            <w:tcBorders>
              <w:left w:val="single" w:sz="2" w:space="0" w:color="000000" w:themeColor="text1"/>
              <w:right w:val="single" w:sz="2" w:space="0" w:color="000000" w:themeColor="text1"/>
            </w:tcBorders>
            <w:hideMark/>
          </w:tcPr>
          <w:p w14:paraId="66DB996B" w14:textId="77777777" w:rsidR="0035117A" w:rsidRDefault="0035117A" w:rsidP="00820788">
            <w:pPr>
              <w:pStyle w:val="NormalWeb"/>
              <w:jc w:val="center"/>
            </w:pPr>
            <w:r>
              <w:t>27.2</w:t>
            </w:r>
          </w:p>
        </w:tc>
        <w:tc>
          <w:tcPr>
            <w:tcW w:w="1728" w:type="dxa"/>
            <w:tcBorders>
              <w:left w:val="single" w:sz="2" w:space="0" w:color="000000" w:themeColor="text1"/>
              <w:right w:val="single" w:sz="2" w:space="0" w:color="000000" w:themeColor="text1"/>
            </w:tcBorders>
            <w:hideMark/>
          </w:tcPr>
          <w:p w14:paraId="1199972F" w14:textId="77777777" w:rsidR="0035117A" w:rsidRDefault="0035117A" w:rsidP="00820788">
            <w:pPr>
              <w:pStyle w:val="NormalWeb"/>
              <w:jc w:val="center"/>
            </w:pPr>
            <w:r>
              <w:t>99</w:t>
            </w:r>
          </w:p>
        </w:tc>
        <w:tc>
          <w:tcPr>
            <w:tcW w:w="1729" w:type="dxa"/>
            <w:tcBorders>
              <w:left w:val="single" w:sz="2" w:space="0" w:color="000000" w:themeColor="text1"/>
            </w:tcBorders>
            <w:hideMark/>
          </w:tcPr>
          <w:p w14:paraId="4C499C79" w14:textId="77777777" w:rsidR="0035117A" w:rsidRDefault="0035117A" w:rsidP="00820788">
            <w:pPr>
              <w:pStyle w:val="NormalWeb"/>
              <w:jc w:val="center"/>
            </w:pPr>
            <w:r>
              <w:t>72.8</w:t>
            </w:r>
          </w:p>
        </w:tc>
      </w:tr>
    </w:tbl>
    <w:p w14:paraId="2FE85751" w14:textId="77777777" w:rsidR="0083447F" w:rsidRPr="0083447F" w:rsidRDefault="0083447F" w:rsidP="00D342BC">
      <w:pPr>
        <w:pStyle w:val="CDIfootnotes"/>
        <w:rPr>
          <w:b/>
        </w:rPr>
      </w:pPr>
      <w:r w:rsidRPr="0083447F">
        <w:t>a</w:t>
      </w:r>
      <w:r w:rsidRPr="0083447F">
        <w:tab/>
      </w:r>
      <w:proofErr w:type="gramStart"/>
      <w:r w:rsidRPr="0083447F">
        <w:t>Mothers</w:t>
      </w:r>
      <w:proofErr w:type="gramEnd"/>
      <w:r w:rsidRPr="0083447F">
        <w:t xml:space="preserve"> who received both 2015 and 2016 influenza vaccine were not plotted to reduce data duplication</w:t>
      </w:r>
    </w:p>
    <w:p w14:paraId="7F6A9B42" w14:textId="77777777" w:rsidR="0035117A" w:rsidRPr="00EE3BBA" w:rsidRDefault="0035117A" w:rsidP="00EE3BBA">
      <w:pPr>
        <w:pStyle w:val="Heading2"/>
      </w:pPr>
      <w:r w:rsidRPr="00EE3BBA">
        <w:t xml:space="preserve">Indigenous Status </w:t>
      </w:r>
    </w:p>
    <w:p w14:paraId="37D33534" w14:textId="77777777" w:rsidR="0035117A" w:rsidRDefault="0035117A" w:rsidP="00EE3BBA">
      <w:r>
        <w:t xml:space="preserve">1,547 (45.7%) women received valid influenza vaccine as per the current guidelines. In 2015, 39.3% of pregnant women received influenza vaccination. Vaccination coverage was significantly higher in Indigenous mothers (68.5%) than in non-Indigenous mothers (31.7%) with </w:t>
      </w:r>
      <w:r w:rsidRPr="0096652E">
        <w:rPr>
          <w:rStyle w:val="Emphasis"/>
          <w:b w:val="0"/>
        </w:rPr>
        <w:t>p</w:t>
      </w:r>
      <w:r>
        <w:t>&lt;0.001. There was a significant increase in coverage in the non-Indigenous mothers from 23.2% in 2015 to 31.7% in 2016 (</w:t>
      </w:r>
      <w:r w:rsidRPr="0096652E">
        <w:rPr>
          <w:rStyle w:val="Emphasis"/>
          <w:b w:val="0"/>
        </w:rPr>
        <w:t>p</w:t>
      </w:r>
      <w:r>
        <w:t>&lt;0.001).</w:t>
      </w:r>
      <w:r>
        <w:rPr>
          <w:vertAlign w:val="superscript"/>
        </w:rPr>
        <w:t xml:space="preserve">16 </w:t>
      </w:r>
    </w:p>
    <w:p w14:paraId="3CACDA0B" w14:textId="77777777" w:rsidR="0035117A" w:rsidRDefault="0035117A" w:rsidP="00EE3BBA">
      <w:r>
        <w:t xml:space="preserve">There was an increase in vaccine coverage in both Indigenous and non-Indigenous mothers with the inclusion of pre-conception vaccination as a valid vaccine dose for babies born between January to April 2016. The coverage increased from 56.51% to 68.46% in Indigenous women in comparison to 30.03% to 31.73% in non-Indigenous women. </w:t>
      </w:r>
    </w:p>
    <w:p w14:paraId="4E359CC8" w14:textId="77777777" w:rsidR="0035117A" w:rsidRPr="00EE3BBA" w:rsidRDefault="0035117A" w:rsidP="00EE3BBA">
      <w:pPr>
        <w:pStyle w:val="Heading2"/>
      </w:pPr>
      <w:r w:rsidRPr="00EE3BBA">
        <w:t xml:space="preserve">Maternal Age </w:t>
      </w:r>
    </w:p>
    <w:p w14:paraId="79CC74C0" w14:textId="77777777" w:rsidR="0035117A" w:rsidRDefault="0035117A" w:rsidP="00EE3BBA">
      <w:r>
        <w:t xml:space="preserve">The highest vaccination coverage was noted in mothers below 25 years at 56.1%, followed by 42.7% for mothers aged between 25–34 years and 37.5% for mothers 35 years and above. </w:t>
      </w:r>
    </w:p>
    <w:p w14:paraId="33A7F09F" w14:textId="77777777" w:rsidR="00294AB2" w:rsidRDefault="0035117A">
      <w:pPr>
        <w:rPr>
          <w:rFonts w:asciiTheme="majorHAnsi" w:eastAsiaTheme="majorEastAsia" w:hAnsiTheme="majorHAnsi" w:cstheme="majorBidi"/>
          <w:b/>
          <w:bCs/>
          <w:sz w:val="26"/>
          <w:szCs w:val="26"/>
        </w:rPr>
      </w:pPr>
      <w:r>
        <w:t>The mean age of vaccinated Indigenous mothers was 25.87 years and of vaccinated non-Indigenous mothers was 30.54 years (</w:t>
      </w:r>
      <w:r w:rsidRPr="0096652E">
        <w:rPr>
          <w:rStyle w:val="Emphasis"/>
          <w:b w:val="0"/>
        </w:rPr>
        <w:t>p</w:t>
      </w:r>
      <w:r>
        <w:t xml:space="preserve">&lt;0.001 using a two-sided test of equal variance). </w:t>
      </w:r>
      <w:r w:rsidR="00294AB2">
        <w:br w:type="page"/>
      </w:r>
    </w:p>
    <w:p w14:paraId="4CC6DBCD" w14:textId="77777777" w:rsidR="0035117A" w:rsidRPr="00EE3BBA" w:rsidRDefault="0035117A" w:rsidP="00EE3BBA">
      <w:pPr>
        <w:pStyle w:val="Heading2"/>
      </w:pPr>
      <w:r w:rsidRPr="00EE3BBA">
        <w:lastRenderedPageBreak/>
        <w:t xml:space="preserve">Preterm Delivery </w:t>
      </w:r>
    </w:p>
    <w:p w14:paraId="03EB31BA" w14:textId="77777777" w:rsidR="0035117A" w:rsidRDefault="0035117A" w:rsidP="00EE3BBA">
      <w:r>
        <w:t xml:space="preserve">In 2016 there were 322 preterm births in NT, representing 9.4% of all births. The difference in the rates of preterm births in Indigenous mothers (14.5%) and non-Indigenous mothers (6.44%) was significant with </w:t>
      </w:r>
      <w:r w:rsidRPr="0096652E">
        <w:rPr>
          <w:rStyle w:val="Emphasis"/>
          <w:b w:val="0"/>
        </w:rPr>
        <w:t>p</w:t>
      </w:r>
      <w:r>
        <w:t xml:space="preserve">&lt;0.001 using a chi-squared test. The influenza vaccination coverage was significantly higher in Indigenous mothers (65.05%) than in non-Indigenous mothers (27.20%) with preterm delivery, </w:t>
      </w:r>
      <w:r w:rsidRPr="0096652E">
        <w:rPr>
          <w:rStyle w:val="Emphasis"/>
          <w:b w:val="0"/>
        </w:rPr>
        <w:t>p</w:t>
      </w:r>
      <w:r>
        <w:t xml:space="preserve">&lt;0.001. </w:t>
      </w:r>
    </w:p>
    <w:p w14:paraId="70DF4F69" w14:textId="77777777" w:rsidR="0035117A" w:rsidRDefault="0035117A" w:rsidP="00EE3BBA">
      <w:r>
        <w:t xml:space="preserve">There were 19 postpartum vaccinations of mothers who delivered preterm infants, with 73.68% uptake in Indigenous women. </w:t>
      </w:r>
    </w:p>
    <w:p w14:paraId="41F65ABE" w14:textId="77777777" w:rsidR="0035117A" w:rsidRPr="00EE3BBA" w:rsidRDefault="0035117A" w:rsidP="00EE3BBA">
      <w:pPr>
        <w:pStyle w:val="Heading2"/>
      </w:pPr>
      <w:r w:rsidRPr="00EE3BBA">
        <w:t xml:space="preserve">Plurality </w:t>
      </w:r>
    </w:p>
    <w:p w14:paraId="2303FE92" w14:textId="77777777" w:rsidR="0035117A" w:rsidRDefault="0035117A" w:rsidP="00EE3BBA">
      <w:r>
        <w:t xml:space="preserve">There were 40 women who birthed twins in 2016 in the NT, constituting 1.2% of all births. Influenza coverage in this cohort was 37.5% (n=15), comprising coverage of 52.63% in Indigenous mothers and 26.32% in non-Indigenous mothers. </w:t>
      </w:r>
    </w:p>
    <w:p w14:paraId="6B49EED1" w14:textId="77777777" w:rsidR="0035117A" w:rsidRPr="00EE3BBA" w:rsidRDefault="0035117A" w:rsidP="00EE3BBA">
      <w:pPr>
        <w:pStyle w:val="Heading2"/>
      </w:pPr>
      <w:r w:rsidRPr="00EE3BBA">
        <w:t xml:space="preserve">Timing of Influenza Vaccination </w:t>
      </w:r>
    </w:p>
    <w:p w14:paraId="0E5BC895" w14:textId="77777777" w:rsidR="0035117A" w:rsidRDefault="0035117A" w:rsidP="00EE3BBA">
      <w:r>
        <w:t>The majority of pregnant women vaccinated for influenza received their vaccine during April to June 2016. The peak uptake from April 2016 to June 2016 was consistent irrespective of the gestational age or Indigenous status (Figure 1). A much lower uptake of maternal influenza vaccination was noted during the peak 2016 Australian influenza season (July to August 2016) as shown in Figure 2. Despite higher uptake of maternal influenza vaccine between April to June 2016, percentages of infants born to vaccinated mothers, each month, were consistent through the year 2016 (Figure 3).</w:t>
      </w:r>
    </w:p>
    <w:p w14:paraId="722AAAF5" w14:textId="77777777" w:rsidR="00225CC0" w:rsidRDefault="00225CC0" w:rsidP="00225CC0">
      <w:pPr>
        <w:pStyle w:val="CDIFigures"/>
        <w:sectPr w:rsidR="00225CC0" w:rsidSect="00A30C37">
          <w:headerReference w:type="default" r:id="rId9"/>
          <w:footerReference w:type="default" r:id="rId10"/>
          <w:footerReference w:type="first" r:id="rId11"/>
          <w:footnotePr>
            <w:numFmt w:val="lowerRoman"/>
          </w:footnotePr>
          <w:pgSz w:w="11906" w:h="16838"/>
          <w:pgMar w:top="720" w:right="720" w:bottom="1134" w:left="720" w:header="709" w:footer="284" w:gutter="0"/>
          <w:cols w:space="708"/>
          <w:titlePg/>
          <w:docGrid w:linePitch="360"/>
        </w:sectPr>
      </w:pPr>
    </w:p>
    <w:p w14:paraId="69ED66FF" w14:textId="77777777" w:rsidR="0035117A" w:rsidRPr="00225CC0" w:rsidRDefault="0035117A" w:rsidP="00225CC0">
      <w:pPr>
        <w:pStyle w:val="CDIFigures"/>
      </w:pPr>
      <w:r w:rsidRPr="00225CC0">
        <w:lastRenderedPageBreak/>
        <w:t xml:space="preserve">Figure 1. Maternal influenza vaccination uptake based on gestational age for mothers delivered in 2016 in Northern </w:t>
      </w:r>
      <w:proofErr w:type="spellStart"/>
      <w:r w:rsidRPr="00225CC0">
        <w:t>Territory</w:t>
      </w:r>
      <w:r w:rsidRPr="00866F8A">
        <w:rPr>
          <w:vertAlign w:val="superscript"/>
        </w:rPr>
        <w:t>a</w:t>
      </w:r>
      <w:proofErr w:type="spellEnd"/>
    </w:p>
    <w:p w14:paraId="5395375A" w14:textId="77777777" w:rsidR="0035117A" w:rsidRDefault="0035117A">
      <w:pPr>
        <w:rPr>
          <w:rFonts w:eastAsia="Times New Roman"/>
        </w:rPr>
      </w:pPr>
      <w:r>
        <w:rPr>
          <w:rFonts w:eastAsia="Times New Roman"/>
          <w:noProof/>
        </w:rPr>
        <w:drawing>
          <wp:inline distT="0" distB="0" distL="0" distR="0" wp14:anchorId="6C094F02" wp14:editId="36D1C6C3">
            <wp:extent cx="8955042" cy="5836932"/>
            <wp:effectExtent l="0" t="0" r="0" b="0"/>
            <wp:docPr id="4" name="Picture 4" descr="Bar chart showing maternal influenza vaccination uptake, based on gestational age, of mothers who delivered in 2016 in Northern Territory. Majority of pregnant women vaccinated for influenza received their vaccine during April to June 2016. The peak uptake from April 2016 to June 2016 was consistent irrespective of the gestational age or Indigenous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showing maternal influenza vaccination uptake, based on gestational age, of mothers who delivered in 2016 in Northern Territory. Majority of pregnant women vaccinated for influenza received their vaccine during April to June 2016. The peak uptake from April 2016 to June 2016 was consistent irrespective of the gestational age or Indigenous statu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955042" cy="5836932"/>
                    </a:xfrm>
                    <a:prstGeom prst="rect">
                      <a:avLst/>
                    </a:prstGeom>
                  </pic:spPr>
                </pic:pic>
              </a:graphicData>
            </a:graphic>
          </wp:inline>
        </w:drawing>
      </w:r>
    </w:p>
    <w:p w14:paraId="1E79550F" w14:textId="77777777" w:rsidR="0035117A" w:rsidRPr="00225CC0" w:rsidRDefault="0035117A" w:rsidP="00225CC0">
      <w:pPr>
        <w:pStyle w:val="CDIfootnotes"/>
      </w:pPr>
      <w:r w:rsidRPr="00225CC0">
        <w:t>a</w:t>
      </w:r>
      <w:r w:rsidRPr="00225CC0">
        <w:tab/>
      </w:r>
      <w:proofErr w:type="gramStart"/>
      <w:r w:rsidRPr="00225CC0">
        <w:t>Mothers</w:t>
      </w:r>
      <w:proofErr w:type="gramEnd"/>
      <w:r w:rsidRPr="00225CC0">
        <w:t xml:space="preserve"> who received both 2015 and 2016 influenza vaccine were not plotted to reduce data duplication.</w:t>
      </w:r>
    </w:p>
    <w:p w14:paraId="2FC0E05D" w14:textId="77777777" w:rsidR="00225CC0" w:rsidRDefault="00225CC0" w:rsidP="00EE3BBA">
      <w:pPr>
        <w:pStyle w:val="CDIFigures"/>
        <w:sectPr w:rsidR="00225CC0" w:rsidSect="00225CC0">
          <w:pgSz w:w="16838" w:h="11906" w:orient="landscape"/>
          <w:pgMar w:top="720" w:right="720" w:bottom="720" w:left="1134" w:header="709" w:footer="284" w:gutter="0"/>
          <w:cols w:space="708"/>
          <w:titlePg/>
          <w:docGrid w:linePitch="360"/>
        </w:sectPr>
      </w:pPr>
    </w:p>
    <w:p w14:paraId="156C274E" w14:textId="77777777" w:rsidR="0035117A" w:rsidRPr="00225CC0" w:rsidRDefault="0035117A" w:rsidP="00225CC0">
      <w:pPr>
        <w:pStyle w:val="CDIFigures"/>
      </w:pPr>
      <w:r w:rsidRPr="00225CC0">
        <w:lastRenderedPageBreak/>
        <w:t xml:space="preserve">Figure 2: Trend in influenza vaccination uptake in pregnancy based on Indigenous status and gestational age during 2016 Influenza </w:t>
      </w:r>
      <w:proofErr w:type="spellStart"/>
      <w:r w:rsidRPr="00225CC0">
        <w:t>season</w:t>
      </w:r>
      <w:r w:rsidRPr="00866F8A">
        <w:rPr>
          <w:vertAlign w:val="superscript"/>
        </w:rPr>
        <w:t>a</w:t>
      </w:r>
      <w:proofErr w:type="spellEnd"/>
    </w:p>
    <w:p w14:paraId="712C94CE" w14:textId="77777777" w:rsidR="0035117A" w:rsidRDefault="0035117A">
      <w:pPr>
        <w:rPr>
          <w:rFonts w:eastAsia="Times New Roman"/>
        </w:rPr>
      </w:pPr>
      <w:r>
        <w:rPr>
          <w:rFonts w:eastAsia="Times New Roman"/>
          <w:noProof/>
        </w:rPr>
        <w:drawing>
          <wp:inline distT="0" distB="0" distL="0" distR="0" wp14:anchorId="3C28EA80" wp14:editId="70F9B641">
            <wp:extent cx="8869698" cy="5779020"/>
            <wp:effectExtent l="0" t="0" r="7620" b="0"/>
            <wp:docPr id="2" name="Picture 2" descr="Dual column and line graph with primary axis demonstrating number of maternal influenza vaccinations administered by month in 2016. The secondary axis demonstrates influenza notifications (red dotted line graph) for Australia by month in 2016. The figure shows a much lower uptake of maternal influenza vaccination during the peak 2016 Australian influenza season of July to Septembe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al column and line graph with primary axis demonstrating number of maternal influenza vaccinations administered by month in 2016. The secondary axis demonstrates influenza notifications (red dotted line graph) for Australia by month in 2016. The figure shows a much lower uptake of maternal influenza vaccination during the peak 2016 Australian influenza season of July to September 201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869698" cy="5779020"/>
                    </a:xfrm>
                    <a:prstGeom prst="rect">
                      <a:avLst/>
                    </a:prstGeom>
                  </pic:spPr>
                </pic:pic>
              </a:graphicData>
            </a:graphic>
          </wp:inline>
        </w:drawing>
      </w:r>
    </w:p>
    <w:p w14:paraId="565588E3" w14:textId="77777777" w:rsidR="0035117A" w:rsidRDefault="0035117A" w:rsidP="00EE3BBA">
      <w:pPr>
        <w:pStyle w:val="CDIfootnotes"/>
      </w:pPr>
      <w:r>
        <w:t>a</w:t>
      </w:r>
      <w:r>
        <w:tab/>
        <w:t>Data for 2016 Influenza season was plotted from the 2016 Influenza Surveillance report from CDNA.</w:t>
      </w:r>
      <w:r w:rsidRPr="00225CC0">
        <w:rPr>
          <w:vertAlign w:val="superscript"/>
          <w:lang w:val="en-US"/>
        </w:rPr>
        <w:t>17</w:t>
      </w:r>
    </w:p>
    <w:p w14:paraId="2A715597" w14:textId="77777777" w:rsidR="00225CC0" w:rsidRDefault="00225CC0" w:rsidP="00225CC0">
      <w:pPr>
        <w:pStyle w:val="CDIFigures"/>
        <w:sectPr w:rsidR="00225CC0" w:rsidSect="00225CC0">
          <w:pgSz w:w="16838" w:h="11906" w:orient="landscape"/>
          <w:pgMar w:top="720" w:right="720" w:bottom="720" w:left="1134" w:header="709" w:footer="284" w:gutter="0"/>
          <w:cols w:space="708"/>
          <w:titlePg/>
          <w:docGrid w:linePitch="360"/>
        </w:sectPr>
      </w:pPr>
    </w:p>
    <w:p w14:paraId="58ED55A0" w14:textId="77777777" w:rsidR="0035117A" w:rsidRPr="00173EAA" w:rsidRDefault="0035117A" w:rsidP="00173EAA">
      <w:pPr>
        <w:pStyle w:val="CDIFigures"/>
      </w:pPr>
      <w:r w:rsidRPr="00173EAA">
        <w:lastRenderedPageBreak/>
        <w:t>Figure 3. Trend of babies born in 2016, based on month of birth, in Northern Territory to mothers vaccinated against influenz</w:t>
      </w:r>
      <w:r w:rsidRPr="003F12CD">
        <w:t>a</w:t>
      </w:r>
    </w:p>
    <w:p w14:paraId="23FAB7D0" w14:textId="77777777" w:rsidR="0035117A" w:rsidRDefault="0035117A">
      <w:pPr>
        <w:rPr>
          <w:rFonts w:eastAsia="Times New Roman"/>
        </w:rPr>
      </w:pPr>
      <w:r>
        <w:rPr>
          <w:rFonts w:eastAsia="Times New Roman"/>
          <w:noProof/>
        </w:rPr>
        <w:drawing>
          <wp:inline distT="0" distB="0" distL="0" distR="0" wp14:anchorId="08B90433" wp14:editId="00D470D8">
            <wp:extent cx="9483090" cy="6170633"/>
            <wp:effectExtent l="0" t="0" r="3810" b="1905"/>
            <wp:docPr id="3" name="Picture 3" descr="Dual column and line graph with y axis demonstrating percentage of maternal influenza vaccination coverage and x-axis being the months of the year. It shows that percentages of infants born to vaccinated mothers, each month, were consistent through the year 2016 for both Indigenous and non - indigenous m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al column and line graph with y axis demonstrating percentage of maternal influenza vaccination coverage and x-axis being the months of the year. It shows that percentages of infants born to vaccinated mothers, each month, were consistent through the year 2016 for both Indigenous and non - indigenous moth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88182" cy="6173946"/>
                    </a:xfrm>
                    <a:prstGeom prst="rect">
                      <a:avLst/>
                    </a:prstGeom>
                    <a:noFill/>
                    <a:ln>
                      <a:noFill/>
                    </a:ln>
                  </pic:spPr>
                </pic:pic>
              </a:graphicData>
            </a:graphic>
          </wp:inline>
        </w:drawing>
      </w:r>
    </w:p>
    <w:p w14:paraId="646A747C" w14:textId="77777777" w:rsidR="00173EAA" w:rsidRDefault="00173EAA" w:rsidP="00EE3BBA">
      <w:pPr>
        <w:pStyle w:val="Heading2"/>
        <w:sectPr w:rsidR="00173EAA" w:rsidSect="00173EAA">
          <w:pgSz w:w="16838" w:h="11906" w:orient="landscape"/>
          <w:pgMar w:top="720" w:right="720" w:bottom="720" w:left="1134" w:header="709" w:footer="284" w:gutter="0"/>
          <w:cols w:space="708"/>
          <w:titlePg/>
          <w:docGrid w:linePitch="360"/>
        </w:sectPr>
      </w:pPr>
    </w:p>
    <w:p w14:paraId="6303B5A7" w14:textId="77777777" w:rsidR="0035117A" w:rsidRPr="00EE3BBA" w:rsidRDefault="0035117A" w:rsidP="00EE3BBA">
      <w:pPr>
        <w:pStyle w:val="Heading2"/>
      </w:pPr>
      <w:r w:rsidRPr="00EE3BBA">
        <w:lastRenderedPageBreak/>
        <w:t xml:space="preserve">Postpartum Vaccination </w:t>
      </w:r>
    </w:p>
    <w:p w14:paraId="205CA422" w14:textId="77777777" w:rsidR="0035117A" w:rsidRDefault="0035117A" w:rsidP="00EE3BBA">
      <w:r>
        <w:t xml:space="preserve">A total of 194 mothers received postpartum influenza vaccination only. Of these postpartum vaccinations, 116 (59.7%) were administered to Indigenous mothers. This further increases the coverage in Indigenous mothers protecting postpartum women and infants with 77.5% (n=993) vs 35.4 % (n=748) in non-Indigenous women. </w:t>
      </w:r>
    </w:p>
    <w:p w14:paraId="1D116560" w14:textId="77777777" w:rsidR="0035117A" w:rsidRPr="00EE3BBA" w:rsidRDefault="0035117A" w:rsidP="00EE3BBA">
      <w:pPr>
        <w:pStyle w:val="Heading2"/>
      </w:pPr>
      <w:r w:rsidRPr="00EE3BBA">
        <w:t xml:space="preserve">Factors affecting maternal influenza vaccination uptake </w:t>
      </w:r>
    </w:p>
    <w:p w14:paraId="3F6AD01E" w14:textId="77777777" w:rsidR="0035117A" w:rsidRDefault="0035117A" w:rsidP="00EE3BBA">
      <w:r>
        <w:t xml:space="preserve">Initial logistic regression analysis revealed that remote location was associated with lower maternal influenza coverage (OR=1.46), but after adjusting for Indigenous status, remote location was not a significant predicator (AOR=0.93, 95% CI 0.74, 1.18, </w:t>
      </w:r>
      <w:r w:rsidRPr="0096652E">
        <w:rPr>
          <w:rStyle w:val="Emphasis"/>
          <w:b w:val="0"/>
        </w:rPr>
        <w:t>p</w:t>
      </w:r>
      <w:r>
        <w:t xml:space="preserve">=0.591). Higher maternal age was associated with lower maternal influenza coverage, similarly adjusting for Indigenous status was not a significant predictor for vaccination uptake (AOR=1.09, 95% CI 0.88, 1.34, </w:t>
      </w:r>
      <w:r w:rsidRPr="0096652E">
        <w:rPr>
          <w:rStyle w:val="Emphasis"/>
          <w:b w:val="0"/>
        </w:rPr>
        <w:t>p</w:t>
      </w:r>
      <w:r>
        <w:t xml:space="preserve">=0.402). Potential socio-demographic factors that may influence influenza vaccination are presented in Table 2. </w:t>
      </w:r>
    </w:p>
    <w:p w14:paraId="7FBEEA3C" w14:textId="77777777" w:rsidR="0035117A" w:rsidRDefault="0035117A" w:rsidP="00EE3BBA">
      <w:pPr>
        <w:pStyle w:val="CDIFigures"/>
      </w:pPr>
      <w:r>
        <w:t>Table 2. Binary logistical regression of categorical predictors of maternal influenza vaccination</w:t>
      </w:r>
    </w:p>
    <w:tbl>
      <w:tblPr>
        <w:tblStyle w:val="CDI-StandardTable"/>
        <w:tblW w:w="10473" w:type="dxa"/>
        <w:jc w:val="center"/>
        <w:tblCellMar>
          <w:top w:w="113" w:type="dxa"/>
          <w:left w:w="113" w:type="dxa"/>
          <w:bottom w:w="113" w:type="dxa"/>
          <w:right w:w="113" w:type="dxa"/>
        </w:tblCellMar>
        <w:tblLook w:val="04A0" w:firstRow="1" w:lastRow="0" w:firstColumn="1" w:lastColumn="0" w:noHBand="0" w:noVBand="1"/>
        <w:tblDescription w:val="Table 2 shows the odds ratio and P values for factors associated with maternal influenza vaccination uptake, including indigenous status, plurality, maternal age, location of birth and timing of influenza vaccination."/>
      </w:tblPr>
      <w:tblGrid>
        <w:gridCol w:w="3953"/>
        <w:gridCol w:w="1304"/>
        <w:gridCol w:w="1304"/>
        <w:gridCol w:w="1304"/>
        <w:gridCol w:w="1304"/>
        <w:gridCol w:w="1304"/>
      </w:tblGrid>
      <w:tr w:rsidR="0096652E" w:rsidRPr="0096652E" w14:paraId="3E380A13" w14:textId="77777777" w:rsidTr="00F463DD">
        <w:trPr>
          <w:cnfStyle w:val="100000000000" w:firstRow="1" w:lastRow="0" w:firstColumn="0" w:lastColumn="0" w:oddVBand="0" w:evenVBand="0" w:oddHBand="0" w:evenHBand="0" w:firstRowFirstColumn="0" w:firstRowLastColumn="0" w:lastRowFirstColumn="0" w:lastRowLastColumn="0"/>
          <w:tblHeader/>
          <w:jc w:val="center"/>
        </w:trPr>
        <w:tc>
          <w:tcPr>
            <w:tcW w:w="3953" w:type="dxa"/>
            <w:hideMark/>
          </w:tcPr>
          <w:p w14:paraId="5A2CE9BF" w14:textId="77777777" w:rsidR="0035117A" w:rsidRPr="0096652E" w:rsidRDefault="0035117A" w:rsidP="00F463DD">
            <w:pPr>
              <w:pStyle w:val="NormalWeb"/>
              <w:jc w:val="both"/>
              <w:rPr>
                <w:color w:val="FFFFFF" w:themeColor="background1"/>
              </w:rPr>
            </w:pPr>
            <w:r w:rsidRPr="0096652E">
              <w:rPr>
                <w:color w:val="FFFFFF" w:themeColor="background1"/>
              </w:rPr>
              <w:t xml:space="preserve">Predictors of maternal influenza </w:t>
            </w:r>
            <w:proofErr w:type="spellStart"/>
            <w:r w:rsidRPr="0096652E">
              <w:rPr>
                <w:color w:val="FFFFFF" w:themeColor="background1"/>
              </w:rPr>
              <w:t>uptake</w:t>
            </w:r>
            <w:r w:rsidRPr="00F463DD">
              <w:rPr>
                <w:color w:val="FFFFFF" w:themeColor="background1"/>
                <w:vertAlign w:val="superscript"/>
              </w:rPr>
              <w:t>a</w:t>
            </w:r>
            <w:proofErr w:type="spellEnd"/>
          </w:p>
        </w:tc>
        <w:tc>
          <w:tcPr>
            <w:tcW w:w="1304" w:type="dxa"/>
            <w:hideMark/>
          </w:tcPr>
          <w:p w14:paraId="0810183C" w14:textId="77777777" w:rsidR="0035117A" w:rsidRPr="0096652E" w:rsidRDefault="0035117A" w:rsidP="00F463DD">
            <w:pPr>
              <w:pStyle w:val="NormalWeb"/>
              <w:jc w:val="center"/>
              <w:rPr>
                <w:color w:val="FFFFFF" w:themeColor="background1"/>
              </w:rPr>
            </w:pPr>
            <w:r w:rsidRPr="0096652E">
              <w:rPr>
                <w:color w:val="FFFFFF" w:themeColor="background1"/>
              </w:rPr>
              <w:t>OR</w:t>
            </w:r>
          </w:p>
        </w:tc>
        <w:tc>
          <w:tcPr>
            <w:tcW w:w="1304" w:type="dxa"/>
            <w:hideMark/>
          </w:tcPr>
          <w:p w14:paraId="6C7E7316" w14:textId="77777777" w:rsidR="0035117A" w:rsidRPr="0096652E" w:rsidRDefault="0035117A" w:rsidP="00F463DD">
            <w:pPr>
              <w:pStyle w:val="NormalWeb"/>
              <w:jc w:val="center"/>
              <w:rPr>
                <w:color w:val="FFFFFF" w:themeColor="background1"/>
              </w:rPr>
            </w:pPr>
            <w:r w:rsidRPr="0096652E">
              <w:rPr>
                <w:color w:val="FFFFFF" w:themeColor="background1"/>
              </w:rPr>
              <w:t>95% CI</w:t>
            </w:r>
          </w:p>
        </w:tc>
        <w:tc>
          <w:tcPr>
            <w:tcW w:w="1304" w:type="dxa"/>
            <w:hideMark/>
          </w:tcPr>
          <w:p w14:paraId="4A120329" w14:textId="77777777" w:rsidR="0035117A" w:rsidRPr="0096652E" w:rsidRDefault="0035117A" w:rsidP="00F463DD">
            <w:pPr>
              <w:pStyle w:val="NormalWeb"/>
              <w:jc w:val="center"/>
              <w:rPr>
                <w:color w:val="FFFFFF" w:themeColor="background1"/>
              </w:rPr>
            </w:pPr>
            <w:r w:rsidRPr="0096652E">
              <w:rPr>
                <w:color w:val="FFFFFF" w:themeColor="background1"/>
              </w:rPr>
              <w:t>AOR</w:t>
            </w:r>
          </w:p>
        </w:tc>
        <w:tc>
          <w:tcPr>
            <w:tcW w:w="1304" w:type="dxa"/>
            <w:hideMark/>
          </w:tcPr>
          <w:p w14:paraId="30101296" w14:textId="77777777" w:rsidR="0035117A" w:rsidRPr="0096652E" w:rsidRDefault="0035117A" w:rsidP="00F463DD">
            <w:pPr>
              <w:pStyle w:val="NormalWeb"/>
              <w:jc w:val="center"/>
              <w:rPr>
                <w:color w:val="FFFFFF" w:themeColor="background1"/>
              </w:rPr>
            </w:pPr>
            <w:r w:rsidRPr="0096652E">
              <w:rPr>
                <w:color w:val="FFFFFF" w:themeColor="background1"/>
              </w:rPr>
              <w:t>95%CI</w:t>
            </w:r>
          </w:p>
        </w:tc>
        <w:tc>
          <w:tcPr>
            <w:tcW w:w="1304" w:type="dxa"/>
            <w:hideMark/>
          </w:tcPr>
          <w:p w14:paraId="73A5E466" w14:textId="77777777" w:rsidR="0035117A" w:rsidRPr="0096652E" w:rsidRDefault="0035117A" w:rsidP="00F463DD">
            <w:pPr>
              <w:pStyle w:val="NormalWeb"/>
              <w:jc w:val="center"/>
              <w:rPr>
                <w:color w:val="FFFFFF" w:themeColor="background1"/>
              </w:rPr>
            </w:pPr>
            <w:r w:rsidRPr="00595A90">
              <w:rPr>
                <w:i/>
                <w:color w:val="FFFFFF" w:themeColor="background1"/>
              </w:rPr>
              <w:t>p</w:t>
            </w:r>
            <w:r w:rsidRPr="0096652E">
              <w:rPr>
                <w:color w:val="FFFFFF" w:themeColor="background1"/>
              </w:rPr>
              <w:t>-</w:t>
            </w:r>
            <w:proofErr w:type="spellStart"/>
            <w:r w:rsidRPr="0096652E">
              <w:rPr>
                <w:color w:val="FFFFFF" w:themeColor="background1"/>
              </w:rPr>
              <w:t>value</w:t>
            </w:r>
            <w:r w:rsidRPr="00595A90">
              <w:rPr>
                <w:color w:val="FFFFFF" w:themeColor="background1"/>
                <w:vertAlign w:val="superscript"/>
              </w:rPr>
              <w:t>b</w:t>
            </w:r>
            <w:proofErr w:type="spellEnd"/>
          </w:p>
        </w:tc>
      </w:tr>
      <w:tr w:rsidR="00F463DD" w14:paraId="674615EF" w14:textId="77777777" w:rsidTr="00F463DD">
        <w:trPr>
          <w:jc w:val="center"/>
        </w:trPr>
        <w:tc>
          <w:tcPr>
            <w:tcW w:w="3953" w:type="dxa"/>
            <w:hideMark/>
          </w:tcPr>
          <w:p w14:paraId="06E75FD6" w14:textId="77777777" w:rsidR="0035117A" w:rsidRDefault="0035117A" w:rsidP="00F463DD">
            <w:pPr>
              <w:pStyle w:val="NormalWeb"/>
              <w:jc w:val="both"/>
            </w:pPr>
            <w:r>
              <w:t>Indigenous vs non -Indigenous mothers</w:t>
            </w:r>
          </w:p>
        </w:tc>
        <w:tc>
          <w:tcPr>
            <w:tcW w:w="1304" w:type="dxa"/>
            <w:hideMark/>
          </w:tcPr>
          <w:p w14:paraId="75543B8D" w14:textId="77777777" w:rsidR="0035117A" w:rsidRDefault="0035117A" w:rsidP="00F463DD">
            <w:pPr>
              <w:pStyle w:val="NormalWeb"/>
              <w:jc w:val="center"/>
            </w:pPr>
            <w:r>
              <w:t>4.67</w:t>
            </w:r>
          </w:p>
        </w:tc>
        <w:tc>
          <w:tcPr>
            <w:tcW w:w="1304" w:type="dxa"/>
            <w:hideMark/>
          </w:tcPr>
          <w:p w14:paraId="3B7D93DF" w14:textId="77777777" w:rsidR="0035117A" w:rsidRDefault="0035117A" w:rsidP="00F463DD">
            <w:pPr>
              <w:pStyle w:val="NormalWeb"/>
              <w:jc w:val="center"/>
            </w:pPr>
            <w:r>
              <w:t>4.02, 5.42</w:t>
            </w:r>
          </w:p>
        </w:tc>
        <w:tc>
          <w:tcPr>
            <w:tcW w:w="1304" w:type="dxa"/>
            <w:hideMark/>
          </w:tcPr>
          <w:p w14:paraId="5B9EB165" w14:textId="77777777" w:rsidR="0035117A" w:rsidRDefault="0035117A" w:rsidP="00F463DD">
            <w:pPr>
              <w:pStyle w:val="NormalWeb"/>
              <w:jc w:val="center"/>
            </w:pPr>
            <w:r>
              <w:t>4.67</w:t>
            </w:r>
          </w:p>
        </w:tc>
        <w:tc>
          <w:tcPr>
            <w:tcW w:w="1304" w:type="dxa"/>
            <w:hideMark/>
          </w:tcPr>
          <w:p w14:paraId="7208524B" w14:textId="77777777" w:rsidR="0035117A" w:rsidRDefault="0035117A" w:rsidP="00F463DD">
            <w:pPr>
              <w:pStyle w:val="NormalWeb"/>
              <w:jc w:val="center"/>
            </w:pPr>
            <w:r>
              <w:t>4.02, 5.42</w:t>
            </w:r>
          </w:p>
        </w:tc>
        <w:tc>
          <w:tcPr>
            <w:tcW w:w="1304" w:type="dxa"/>
            <w:hideMark/>
          </w:tcPr>
          <w:p w14:paraId="444A08F2" w14:textId="77777777" w:rsidR="0035117A" w:rsidRDefault="0035117A" w:rsidP="00F463DD">
            <w:pPr>
              <w:pStyle w:val="NormalWeb"/>
              <w:jc w:val="center"/>
            </w:pPr>
            <w:r>
              <w:t>&lt;0.001</w:t>
            </w:r>
          </w:p>
        </w:tc>
      </w:tr>
      <w:tr w:rsidR="00F463DD" w14:paraId="0D2F1CA2" w14:textId="77777777" w:rsidTr="00F463DD">
        <w:trPr>
          <w:cnfStyle w:val="000000010000" w:firstRow="0" w:lastRow="0" w:firstColumn="0" w:lastColumn="0" w:oddVBand="0" w:evenVBand="0" w:oddHBand="0" w:evenHBand="1" w:firstRowFirstColumn="0" w:firstRowLastColumn="0" w:lastRowFirstColumn="0" w:lastRowLastColumn="0"/>
          <w:jc w:val="center"/>
        </w:trPr>
        <w:tc>
          <w:tcPr>
            <w:tcW w:w="3953" w:type="dxa"/>
            <w:hideMark/>
          </w:tcPr>
          <w:p w14:paraId="06C472DB" w14:textId="77777777" w:rsidR="0035117A" w:rsidRDefault="0035117A" w:rsidP="00F463DD">
            <w:pPr>
              <w:pStyle w:val="NormalWeb"/>
              <w:jc w:val="both"/>
            </w:pPr>
            <w:r>
              <w:t>Singleton vs plurality</w:t>
            </w:r>
          </w:p>
        </w:tc>
        <w:tc>
          <w:tcPr>
            <w:tcW w:w="1304" w:type="dxa"/>
            <w:hideMark/>
          </w:tcPr>
          <w:p w14:paraId="3976E6CB" w14:textId="77777777" w:rsidR="0035117A" w:rsidRDefault="0035117A" w:rsidP="00F463DD">
            <w:pPr>
              <w:pStyle w:val="NormalWeb"/>
              <w:jc w:val="center"/>
            </w:pPr>
            <w:r>
              <w:t>1.40</w:t>
            </w:r>
          </w:p>
        </w:tc>
        <w:tc>
          <w:tcPr>
            <w:tcW w:w="1304" w:type="dxa"/>
            <w:hideMark/>
          </w:tcPr>
          <w:p w14:paraId="2180CC2B" w14:textId="77777777" w:rsidR="0035117A" w:rsidRDefault="0035117A" w:rsidP="00F463DD">
            <w:pPr>
              <w:pStyle w:val="NormalWeb"/>
              <w:jc w:val="center"/>
            </w:pPr>
            <w:r>
              <w:t>0.73, 2.67</w:t>
            </w:r>
          </w:p>
        </w:tc>
        <w:tc>
          <w:tcPr>
            <w:tcW w:w="1304" w:type="dxa"/>
            <w:hideMark/>
          </w:tcPr>
          <w:p w14:paraId="65255FF7" w14:textId="77777777" w:rsidR="0035117A" w:rsidRDefault="0035117A" w:rsidP="00F463DD">
            <w:pPr>
              <w:pStyle w:val="NormalWeb"/>
              <w:jc w:val="center"/>
            </w:pPr>
            <w:r>
              <w:t>1.74</w:t>
            </w:r>
          </w:p>
        </w:tc>
        <w:tc>
          <w:tcPr>
            <w:tcW w:w="1304" w:type="dxa"/>
            <w:hideMark/>
          </w:tcPr>
          <w:p w14:paraId="65DF7878" w14:textId="77777777" w:rsidR="0035117A" w:rsidRDefault="0035117A" w:rsidP="00F463DD">
            <w:pPr>
              <w:pStyle w:val="NormalWeb"/>
              <w:jc w:val="center"/>
            </w:pPr>
            <w:r>
              <w:t>0.87, 3.48</w:t>
            </w:r>
          </w:p>
        </w:tc>
        <w:tc>
          <w:tcPr>
            <w:tcW w:w="1304" w:type="dxa"/>
            <w:hideMark/>
          </w:tcPr>
          <w:p w14:paraId="491D8975" w14:textId="77777777" w:rsidR="0035117A" w:rsidRDefault="0035117A" w:rsidP="00F463DD">
            <w:pPr>
              <w:pStyle w:val="NormalWeb"/>
              <w:jc w:val="center"/>
            </w:pPr>
            <w:r>
              <w:t>0.108</w:t>
            </w:r>
          </w:p>
        </w:tc>
      </w:tr>
      <w:tr w:rsidR="00F463DD" w14:paraId="557D47D3" w14:textId="77777777" w:rsidTr="00F463DD">
        <w:trPr>
          <w:jc w:val="center"/>
        </w:trPr>
        <w:tc>
          <w:tcPr>
            <w:tcW w:w="3953" w:type="dxa"/>
            <w:hideMark/>
          </w:tcPr>
          <w:p w14:paraId="636A1F22" w14:textId="77777777" w:rsidR="0035117A" w:rsidRDefault="0035117A" w:rsidP="00F463DD">
            <w:pPr>
              <w:pStyle w:val="NormalWeb"/>
              <w:jc w:val="both"/>
            </w:pPr>
            <w:r>
              <w:t>Term vs preterm deliveries</w:t>
            </w:r>
          </w:p>
        </w:tc>
        <w:tc>
          <w:tcPr>
            <w:tcW w:w="1304" w:type="dxa"/>
            <w:hideMark/>
          </w:tcPr>
          <w:p w14:paraId="79394299" w14:textId="77777777" w:rsidR="0035117A" w:rsidRDefault="0035117A" w:rsidP="00F463DD">
            <w:pPr>
              <w:pStyle w:val="NormalWeb"/>
              <w:jc w:val="center"/>
            </w:pPr>
            <w:r>
              <w:t>0.85</w:t>
            </w:r>
          </w:p>
        </w:tc>
        <w:tc>
          <w:tcPr>
            <w:tcW w:w="1304" w:type="dxa"/>
            <w:hideMark/>
          </w:tcPr>
          <w:p w14:paraId="24BCF353" w14:textId="77777777" w:rsidR="0035117A" w:rsidRDefault="0035117A" w:rsidP="00F463DD">
            <w:pPr>
              <w:pStyle w:val="NormalWeb"/>
              <w:jc w:val="center"/>
            </w:pPr>
            <w:r>
              <w:t>0.68, 1.07</w:t>
            </w:r>
          </w:p>
        </w:tc>
        <w:tc>
          <w:tcPr>
            <w:tcW w:w="1304" w:type="dxa"/>
            <w:hideMark/>
          </w:tcPr>
          <w:p w14:paraId="7FCF87D9" w14:textId="77777777" w:rsidR="0035117A" w:rsidRDefault="0035117A" w:rsidP="00F463DD">
            <w:pPr>
              <w:pStyle w:val="NormalWeb"/>
              <w:jc w:val="center"/>
            </w:pPr>
            <w:r>
              <w:t>1.22</w:t>
            </w:r>
          </w:p>
        </w:tc>
        <w:tc>
          <w:tcPr>
            <w:tcW w:w="1304" w:type="dxa"/>
            <w:hideMark/>
          </w:tcPr>
          <w:p w14:paraId="579B81B9" w14:textId="77777777" w:rsidR="0035117A" w:rsidRDefault="0035117A" w:rsidP="00F463DD">
            <w:pPr>
              <w:pStyle w:val="NormalWeb"/>
              <w:jc w:val="center"/>
            </w:pPr>
            <w:r>
              <w:t>0.95, 1.57</w:t>
            </w:r>
          </w:p>
        </w:tc>
        <w:tc>
          <w:tcPr>
            <w:tcW w:w="1304" w:type="dxa"/>
            <w:hideMark/>
          </w:tcPr>
          <w:p w14:paraId="03CC73A6" w14:textId="77777777" w:rsidR="0035117A" w:rsidRDefault="0035117A" w:rsidP="00F463DD">
            <w:pPr>
              <w:pStyle w:val="NormalWeb"/>
              <w:jc w:val="center"/>
            </w:pPr>
            <w:r>
              <w:t>0.112</w:t>
            </w:r>
          </w:p>
        </w:tc>
      </w:tr>
      <w:tr w:rsidR="00F463DD" w14:paraId="49BE7244" w14:textId="77777777" w:rsidTr="00F463DD">
        <w:trPr>
          <w:cnfStyle w:val="000000010000" w:firstRow="0" w:lastRow="0" w:firstColumn="0" w:lastColumn="0" w:oddVBand="0" w:evenVBand="0" w:oddHBand="0" w:evenHBand="1" w:firstRowFirstColumn="0" w:firstRowLastColumn="0" w:lastRowFirstColumn="0" w:lastRowLastColumn="0"/>
          <w:jc w:val="center"/>
        </w:trPr>
        <w:tc>
          <w:tcPr>
            <w:tcW w:w="3953" w:type="dxa"/>
            <w:hideMark/>
          </w:tcPr>
          <w:p w14:paraId="42393D0C" w14:textId="77777777" w:rsidR="0035117A" w:rsidRDefault="0035117A" w:rsidP="00F463DD">
            <w:pPr>
              <w:pStyle w:val="NormalWeb"/>
              <w:jc w:val="both"/>
            </w:pPr>
            <w:r>
              <w:t>Maternal age below 35 vs 35 years old and above</w:t>
            </w:r>
          </w:p>
        </w:tc>
        <w:tc>
          <w:tcPr>
            <w:tcW w:w="1304" w:type="dxa"/>
            <w:hideMark/>
          </w:tcPr>
          <w:p w14:paraId="28E7D592" w14:textId="77777777" w:rsidR="0035117A" w:rsidRDefault="0035117A" w:rsidP="00F463DD">
            <w:pPr>
              <w:pStyle w:val="NormalWeb"/>
              <w:jc w:val="center"/>
            </w:pPr>
            <w:r>
              <w:t>1.47</w:t>
            </w:r>
          </w:p>
        </w:tc>
        <w:tc>
          <w:tcPr>
            <w:tcW w:w="1304" w:type="dxa"/>
            <w:hideMark/>
          </w:tcPr>
          <w:p w14:paraId="60F8FE34" w14:textId="77777777" w:rsidR="0035117A" w:rsidRDefault="0035117A" w:rsidP="00F463DD">
            <w:pPr>
              <w:pStyle w:val="NormalWeb"/>
              <w:jc w:val="center"/>
            </w:pPr>
            <w:r>
              <w:t>1.21, 1.79</w:t>
            </w:r>
          </w:p>
        </w:tc>
        <w:tc>
          <w:tcPr>
            <w:tcW w:w="1304" w:type="dxa"/>
            <w:hideMark/>
          </w:tcPr>
          <w:p w14:paraId="4B3D0B9F" w14:textId="77777777" w:rsidR="0035117A" w:rsidRDefault="0035117A" w:rsidP="00F463DD">
            <w:pPr>
              <w:pStyle w:val="NormalWeb"/>
              <w:jc w:val="center"/>
            </w:pPr>
            <w:r>
              <w:t>1.09</w:t>
            </w:r>
          </w:p>
        </w:tc>
        <w:tc>
          <w:tcPr>
            <w:tcW w:w="1304" w:type="dxa"/>
            <w:hideMark/>
          </w:tcPr>
          <w:p w14:paraId="7FF3C0D4" w14:textId="77777777" w:rsidR="0035117A" w:rsidRDefault="0035117A" w:rsidP="00F463DD">
            <w:pPr>
              <w:pStyle w:val="NormalWeb"/>
              <w:jc w:val="center"/>
            </w:pPr>
            <w:r>
              <w:t>0.88, 1.34</w:t>
            </w:r>
          </w:p>
        </w:tc>
        <w:tc>
          <w:tcPr>
            <w:tcW w:w="1304" w:type="dxa"/>
            <w:hideMark/>
          </w:tcPr>
          <w:p w14:paraId="45397EB3" w14:textId="77777777" w:rsidR="0035117A" w:rsidRDefault="0035117A" w:rsidP="00F463DD">
            <w:pPr>
              <w:pStyle w:val="NormalWeb"/>
              <w:jc w:val="center"/>
            </w:pPr>
            <w:r>
              <w:t>0.402</w:t>
            </w:r>
          </w:p>
        </w:tc>
      </w:tr>
      <w:tr w:rsidR="00F463DD" w14:paraId="5084B43B" w14:textId="77777777" w:rsidTr="00F463DD">
        <w:trPr>
          <w:jc w:val="center"/>
        </w:trPr>
        <w:tc>
          <w:tcPr>
            <w:tcW w:w="3953" w:type="dxa"/>
            <w:hideMark/>
          </w:tcPr>
          <w:p w14:paraId="2A32815B" w14:textId="77777777" w:rsidR="0035117A" w:rsidRDefault="0035117A" w:rsidP="00F463DD">
            <w:pPr>
              <w:pStyle w:val="NormalWeb"/>
              <w:jc w:val="both"/>
            </w:pPr>
            <w:r>
              <w:t>Remote location vs urban location</w:t>
            </w:r>
          </w:p>
        </w:tc>
        <w:tc>
          <w:tcPr>
            <w:tcW w:w="1304" w:type="dxa"/>
            <w:hideMark/>
          </w:tcPr>
          <w:p w14:paraId="6E99540D" w14:textId="77777777" w:rsidR="0035117A" w:rsidRDefault="0035117A" w:rsidP="00F463DD">
            <w:pPr>
              <w:pStyle w:val="NormalWeb"/>
              <w:jc w:val="center"/>
            </w:pPr>
            <w:r>
              <w:t>1.46</w:t>
            </w:r>
          </w:p>
        </w:tc>
        <w:tc>
          <w:tcPr>
            <w:tcW w:w="1304" w:type="dxa"/>
            <w:hideMark/>
          </w:tcPr>
          <w:p w14:paraId="0B3A6851" w14:textId="77777777" w:rsidR="0035117A" w:rsidRDefault="0035117A" w:rsidP="00F463DD">
            <w:pPr>
              <w:pStyle w:val="NormalWeb"/>
              <w:jc w:val="center"/>
            </w:pPr>
            <w:r>
              <w:t>1.17, 1.81</w:t>
            </w:r>
          </w:p>
        </w:tc>
        <w:tc>
          <w:tcPr>
            <w:tcW w:w="1304" w:type="dxa"/>
            <w:hideMark/>
          </w:tcPr>
          <w:p w14:paraId="5AC0ACFD" w14:textId="77777777" w:rsidR="0035117A" w:rsidRDefault="0035117A" w:rsidP="00F463DD">
            <w:pPr>
              <w:pStyle w:val="NormalWeb"/>
              <w:jc w:val="center"/>
            </w:pPr>
            <w:r>
              <w:t>0.93</w:t>
            </w:r>
          </w:p>
        </w:tc>
        <w:tc>
          <w:tcPr>
            <w:tcW w:w="1304" w:type="dxa"/>
            <w:hideMark/>
          </w:tcPr>
          <w:p w14:paraId="2CB93D47" w14:textId="77777777" w:rsidR="0035117A" w:rsidRDefault="0035117A" w:rsidP="00F463DD">
            <w:pPr>
              <w:pStyle w:val="NormalWeb"/>
              <w:jc w:val="center"/>
            </w:pPr>
            <w:r>
              <w:t>0.74, 1.18</w:t>
            </w:r>
          </w:p>
        </w:tc>
        <w:tc>
          <w:tcPr>
            <w:tcW w:w="1304" w:type="dxa"/>
            <w:hideMark/>
          </w:tcPr>
          <w:p w14:paraId="59709EB0" w14:textId="77777777" w:rsidR="0035117A" w:rsidRDefault="0035117A" w:rsidP="00F463DD">
            <w:pPr>
              <w:pStyle w:val="NormalWeb"/>
              <w:jc w:val="center"/>
            </w:pPr>
            <w:r>
              <w:t>0.591</w:t>
            </w:r>
          </w:p>
        </w:tc>
      </w:tr>
      <w:tr w:rsidR="00F463DD" w14:paraId="305719BD" w14:textId="77777777" w:rsidTr="00F463DD">
        <w:trPr>
          <w:cnfStyle w:val="000000010000" w:firstRow="0" w:lastRow="0" w:firstColumn="0" w:lastColumn="0" w:oddVBand="0" w:evenVBand="0" w:oddHBand="0" w:evenHBand="1" w:firstRowFirstColumn="0" w:firstRowLastColumn="0" w:lastRowFirstColumn="0" w:lastRowLastColumn="0"/>
          <w:jc w:val="center"/>
        </w:trPr>
        <w:tc>
          <w:tcPr>
            <w:tcW w:w="3953" w:type="dxa"/>
            <w:hideMark/>
          </w:tcPr>
          <w:p w14:paraId="0E0323AA" w14:textId="77777777" w:rsidR="0035117A" w:rsidRDefault="0035117A" w:rsidP="00F463DD">
            <w:pPr>
              <w:pStyle w:val="NormalWeb"/>
              <w:jc w:val="both"/>
            </w:pPr>
            <w:r>
              <w:t>Vaccination between April to June 2016</w:t>
            </w:r>
          </w:p>
        </w:tc>
        <w:tc>
          <w:tcPr>
            <w:tcW w:w="1304" w:type="dxa"/>
            <w:hideMark/>
          </w:tcPr>
          <w:p w14:paraId="297BD746" w14:textId="77777777" w:rsidR="0035117A" w:rsidRDefault="0035117A" w:rsidP="00F463DD">
            <w:pPr>
              <w:pStyle w:val="NormalWeb"/>
              <w:jc w:val="center"/>
            </w:pPr>
            <w:r>
              <w:t>2.67</w:t>
            </w:r>
          </w:p>
        </w:tc>
        <w:tc>
          <w:tcPr>
            <w:tcW w:w="1304" w:type="dxa"/>
            <w:hideMark/>
          </w:tcPr>
          <w:p w14:paraId="0EFE59D8" w14:textId="77777777" w:rsidR="0035117A" w:rsidRDefault="0035117A" w:rsidP="00F463DD">
            <w:pPr>
              <w:pStyle w:val="NormalWeb"/>
              <w:jc w:val="center"/>
            </w:pPr>
            <w:r>
              <w:t>1.95, 3.66</w:t>
            </w:r>
          </w:p>
        </w:tc>
        <w:tc>
          <w:tcPr>
            <w:tcW w:w="1304" w:type="dxa"/>
            <w:hideMark/>
          </w:tcPr>
          <w:p w14:paraId="4EC97CE6" w14:textId="77777777" w:rsidR="0035117A" w:rsidRDefault="0035117A" w:rsidP="00F463DD">
            <w:pPr>
              <w:pStyle w:val="NormalWeb"/>
              <w:jc w:val="center"/>
            </w:pPr>
            <w:r>
              <w:t>2.78</w:t>
            </w:r>
          </w:p>
        </w:tc>
        <w:tc>
          <w:tcPr>
            <w:tcW w:w="1304" w:type="dxa"/>
            <w:hideMark/>
          </w:tcPr>
          <w:p w14:paraId="22C95DB2" w14:textId="77777777" w:rsidR="0035117A" w:rsidRDefault="0035117A" w:rsidP="00F463DD">
            <w:pPr>
              <w:pStyle w:val="NormalWeb"/>
              <w:jc w:val="center"/>
            </w:pPr>
            <w:r>
              <w:t>2.02, 3.82</w:t>
            </w:r>
          </w:p>
        </w:tc>
        <w:tc>
          <w:tcPr>
            <w:tcW w:w="1304" w:type="dxa"/>
            <w:hideMark/>
          </w:tcPr>
          <w:p w14:paraId="221C3CD9" w14:textId="77777777" w:rsidR="0035117A" w:rsidRDefault="0035117A" w:rsidP="00F463DD">
            <w:pPr>
              <w:pStyle w:val="NormalWeb"/>
              <w:jc w:val="center"/>
            </w:pPr>
            <w:r>
              <w:t>&lt;0.001</w:t>
            </w:r>
          </w:p>
        </w:tc>
      </w:tr>
      <w:tr w:rsidR="00F463DD" w14:paraId="5C03B94C" w14:textId="77777777" w:rsidTr="00F463DD">
        <w:trPr>
          <w:jc w:val="center"/>
        </w:trPr>
        <w:tc>
          <w:tcPr>
            <w:tcW w:w="3953" w:type="dxa"/>
            <w:hideMark/>
          </w:tcPr>
          <w:p w14:paraId="18833763" w14:textId="77777777" w:rsidR="0035117A" w:rsidRDefault="0035117A" w:rsidP="00F463DD">
            <w:pPr>
              <w:pStyle w:val="NormalWeb"/>
              <w:jc w:val="both"/>
            </w:pPr>
            <w:r>
              <w:t>Central vs Top End birthing hospital</w:t>
            </w:r>
          </w:p>
        </w:tc>
        <w:tc>
          <w:tcPr>
            <w:tcW w:w="1304" w:type="dxa"/>
            <w:hideMark/>
          </w:tcPr>
          <w:p w14:paraId="7CF08EA1" w14:textId="77777777" w:rsidR="0035117A" w:rsidRDefault="0035117A" w:rsidP="00F463DD">
            <w:pPr>
              <w:pStyle w:val="NormalWeb"/>
              <w:jc w:val="center"/>
            </w:pPr>
            <w:r>
              <w:t>1.46</w:t>
            </w:r>
          </w:p>
        </w:tc>
        <w:tc>
          <w:tcPr>
            <w:tcW w:w="1304" w:type="dxa"/>
            <w:hideMark/>
          </w:tcPr>
          <w:p w14:paraId="339CA323" w14:textId="77777777" w:rsidR="0035117A" w:rsidRDefault="0035117A" w:rsidP="00F463DD">
            <w:pPr>
              <w:pStyle w:val="NormalWeb"/>
              <w:jc w:val="center"/>
            </w:pPr>
            <w:r>
              <w:t>1.25, 1.71</w:t>
            </w:r>
          </w:p>
        </w:tc>
        <w:tc>
          <w:tcPr>
            <w:tcW w:w="1304" w:type="dxa"/>
            <w:hideMark/>
          </w:tcPr>
          <w:p w14:paraId="1B2B37E1" w14:textId="77777777" w:rsidR="0035117A" w:rsidRDefault="0035117A" w:rsidP="00F463DD">
            <w:pPr>
              <w:pStyle w:val="NormalWeb"/>
              <w:jc w:val="center"/>
            </w:pPr>
            <w:r>
              <w:t>1.05</w:t>
            </w:r>
          </w:p>
        </w:tc>
        <w:tc>
          <w:tcPr>
            <w:tcW w:w="1304" w:type="dxa"/>
            <w:hideMark/>
          </w:tcPr>
          <w:p w14:paraId="640B751F" w14:textId="77777777" w:rsidR="0035117A" w:rsidRDefault="0035117A" w:rsidP="00F463DD">
            <w:pPr>
              <w:pStyle w:val="NormalWeb"/>
              <w:jc w:val="center"/>
            </w:pPr>
            <w:r>
              <w:t>0.89, 1.25</w:t>
            </w:r>
          </w:p>
        </w:tc>
        <w:tc>
          <w:tcPr>
            <w:tcW w:w="1304" w:type="dxa"/>
            <w:hideMark/>
          </w:tcPr>
          <w:p w14:paraId="269923EB" w14:textId="77777777" w:rsidR="0035117A" w:rsidRDefault="0035117A" w:rsidP="00F463DD">
            <w:pPr>
              <w:pStyle w:val="NormalWeb"/>
              <w:jc w:val="center"/>
            </w:pPr>
            <w:r>
              <w:t>0.510</w:t>
            </w:r>
          </w:p>
        </w:tc>
      </w:tr>
    </w:tbl>
    <w:p w14:paraId="15E88B07" w14:textId="77777777" w:rsidR="0035117A" w:rsidRPr="00934919" w:rsidRDefault="0035117A" w:rsidP="003F12CD">
      <w:pPr>
        <w:pStyle w:val="CDIfootnotes"/>
        <w:spacing w:after="0" w:afterAutospacing="0"/>
      </w:pPr>
      <w:r w:rsidRPr="00934919">
        <w:t>a</w:t>
      </w:r>
      <w:r w:rsidRPr="00934919">
        <w:tab/>
        <w:t>OR = odds ratio; CI = confidence interval. Adjusted odds ratio (AOR) was only adjusted for Indigenous status.</w:t>
      </w:r>
    </w:p>
    <w:p w14:paraId="152A4D09" w14:textId="77777777" w:rsidR="0035117A" w:rsidRPr="00934919" w:rsidRDefault="0035117A" w:rsidP="003F12CD">
      <w:pPr>
        <w:pStyle w:val="CDIfootnotes"/>
        <w:spacing w:before="0" w:beforeAutospacing="0"/>
      </w:pPr>
      <w:r w:rsidRPr="00934919">
        <w:t>b</w:t>
      </w:r>
      <w:r w:rsidRPr="00934919">
        <w:tab/>
        <w:t>p-value calculated on AOR using Wald chi-squared test.</w:t>
      </w:r>
    </w:p>
    <w:p w14:paraId="12D9FC4F" w14:textId="77777777" w:rsidR="0035117A" w:rsidRDefault="0035117A" w:rsidP="00EE3BBA">
      <w:r>
        <w:t xml:space="preserve">The major predicators of increased maternal influenza coverage were Indigenous status and month of vaccination (during April to June) (see Figure 1). </w:t>
      </w:r>
    </w:p>
    <w:p w14:paraId="4FB1125A" w14:textId="77777777" w:rsidR="0035117A" w:rsidRPr="00EE3BBA" w:rsidRDefault="0035117A" w:rsidP="00EE3BBA">
      <w:pPr>
        <w:pStyle w:val="Heading1"/>
      </w:pPr>
      <w:r w:rsidRPr="00EE3BBA">
        <w:t xml:space="preserve">Discussion </w:t>
      </w:r>
    </w:p>
    <w:p w14:paraId="5719F49D" w14:textId="77777777" w:rsidR="0035117A" w:rsidRDefault="0035117A" w:rsidP="00EE3BBA">
      <w:r>
        <w:t>In Australia, the influenza season typically occurs from May to October, except in the tropical region, where circulating influenza is recorded year-round.</w:t>
      </w:r>
      <w:r>
        <w:rPr>
          <w:vertAlign w:val="superscript"/>
        </w:rPr>
        <w:t>18</w:t>
      </w:r>
      <w:r>
        <w:t xml:space="preserve"> In the tropical region, a bimodal influenza season is seen, with peaks during December to January and July to August.</w:t>
      </w:r>
      <w:r>
        <w:rPr>
          <w:vertAlign w:val="superscript"/>
        </w:rPr>
        <w:t>18</w:t>
      </w:r>
      <w:r>
        <w:t xml:space="preserve"> Each year, there is a range of seasonal inactivated influenza vaccines available for antenatal administration, as part of the NIP. The overall maternal influenza vaccination coverage in our cohort was 45.61%. However, there was a significant disparity in the distribution of the coverage among the Indigenous mothers (68.5%) and non-Indigenous mothers (31.7%). The odds ratio for Indigenous versus non-Indigenous mothers receiving influenza vaccine was 4.67 (95% CI 4.02, 5.42, </w:t>
      </w:r>
      <w:r w:rsidRPr="0096652E">
        <w:rPr>
          <w:rStyle w:val="Emphasis"/>
          <w:b w:val="0"/>
        </w:rPr>
        <w:t>p</w:t>
      </w:r>
      <w:r>
        <w:t>&lt;0.001). This is in contrast to previously published literature that noted that Indigenous mothers had lower coverage of influenza vaccination.</w:t>
      </w:r>
      <w:r>
        <w:rPr>
          <w:vertAlign w:val="superscript"/>
        </w:rPr>
        <w:t>19</w:t>
      </w:r>
      <w:r>
        <w:t xml:space="preserve"> Higher rate of vaccination uptake in Indigenous mothers is likely to be linked to the annual free influenza vaccine </w:t>
      </w:r>
      <w:r>
        <w:lastRenderedPageBreak/>
        <w:t xml:space="preserve">offered to all Indigenous Australians from age 15 years old, regardless of their pregnancy status. The higher uptake in Indigenous mothers persisted in preterm births (65.05%) and multiple births (52.63%). </w:t>
      </w:r>
    </w:p>
    <w:p w14:paraId="19CA16C9" w14:textId="77777777" w:rsidR="0035117A" w:rsidRDefault="0035117A" w:rsidP="00EE3BBA">
      <w:r>
        <w:t xml:space="preserve">Amongst mothers with valid immunisation status, 20.2% (n=312) received the influenza vaccine in the first trimester, 35.4% (n=548) during the second trimester and 32.2% (n=498) in the third trimester. </w:t>
      </w:r>
    </w:p>
    <w:p w14:paraId="78D8D823" w14:textId="77777777" w:rsidR="0035117A" w:rsidRDefault="0035117A" w:rsidP="00EE3BBA">
      <w:r>
        <w:t xml:space="preserve">In our study, factors associated with an increased uptake of maternal influenza vaccination (unadjusted for Indigenous status) were maternal age below 35 years, birthing at remote locations and birthing at Central Australian hospitals. The preponderance of vaccinations between April and June 2016 (58.9% of the 2016 total, </w:t>
      </w:r>
      <w:r w:rsidRPr="0096652E">
        <w:rPr>
          <w:rStyle w:val="Emphasis"/>
          <w:b w:val="0"/>
        </w:rPr>
        <w:t>p</w:t>
      </w:r>
      <w:r>
        <w:t xml:space="preserve">&lt;0.001) strongly suggests the timing of presentation to a doctor was also a factor, with the probability of vaccination uptake influenced by concurrence with the national influenza campaign and/or greater vaccine availability at this time. Plurality and infant gestational age at delivery were not independent predictors of maternal influenza uptake. </w:t>
      </w:r>
    </w:p>
    <w:p w14:paraId="31E89C9E" w14:textId="77777777" w:rsidR="0035117A" w:rsidRDefault="0035117A" w:rsidP="00EE3BBA">
      <w:r>
        <w:t xml:space="preserve">Despite the differences in coverage based on Indigenous status and trimester of vaccination, our study identified timing of influenza vaccine administration was similar for all subgroups (pre-conception; during pregnancy; postpartum; and pre-conception and postpartum). This is consistent for all gestational ages, irrespective of Indigenous status. </w:t>
      </w:r>
    </w:p>
    <w:p w14:paraId="43CD3470" w14:textId="77777777" w:rsidR="0035117A" w:rsidRDefault="0035117A" w:rsidP="00EE3BBA">
      <w:r>
        <w:t xml:space="preserve">After adjusting for Indigenous status, the odds ratio for 2016-vaccinated pregnant women receiving influenza vaccine between April and June 2016, against receiving it during the year’s other quarters, was 2.78 (95% CI 2.02, 3.82; </w:t>
      </w:r>
      <w:r w:rsidRPr="0096652E">
        <w:rPr>
          <w:rStyle w:val="Emphasis"/>
          <w:b w:val="0"/>
        </w:rPr>
        <w:t>p</w:t>
      </w:r>
      <w:r>
        <w:t>&lt;0.001). This correlates with the annual influenza immunisation campaign by NT and the Australian Government. While the hypothesis of Indigenous Australians (including the subset of antenatal population) receiving the vaccine during the annual flu vaccination campaign seems a valid explanation for this trend, the data also highlight a similar peak in the uptake of influenza vaccine in non-Indigenous women from April to June 2016 (Figure</w:t>
      </w:r>
      <w:r w:rsidR="00294AB2">
        <w:t> </w:t>
      </w:r>
      <w:r>
        <w:t xml:space="preserve">2). </w:t>
      </w:r>
    </w:p>
    <w:p w14:paraId="32617AC4" w14:textId="77777777" w:rsidR="0035117A" w:rsidRDefault="0035117A" w:rsidP="00EE3BBA">
      <w:r>
        <w:t xml:space="preserve">In 2016, the Australian flu season was between July to October with a peak between late August and mid-September. The distinct pattern of the uptake regardless of Indigenous status highlights a low uptake during peak influenza season and an opportunity to continue to promote influenza vaccine. During April and May, there are intense promotional campaigns by governmental and non-governmental sectors promoting the influenza vaccine on various platforms including social media and electronic media such as radio and television. Health clinics and pharmacies offer walk-in vaccination clinics from April to May when the vaccines are rolled out and this has likely led to promotion of vaccine at this time. However, the vaccination drive is not sustained throughout the influenza season with dwindling advertisements later in the year. We postulate that this likely influenced the uptake of influenza vaccination in the maternal population in our cohort. </w:t>
      </w:r>
    </w:p>
    <w:p w14:paraId="60AF6F04" w14:textId="77777777" w:rsidR="0035117A" w:rsidRDefault="0035117A" w:rsidP="00EE3BBA">
      <w:r>
        <w:t xml:space="preserve">An analysis of the 2017 influenza season from NT highlighted that pregnancy remained a significant risk factor for influenza with an odds ratio of 3.5 (CI 2.46, 4.90, </w:t>
      </w:r>
      <w:r w:rsidRPr="0096652E">
        <w:rPr>
          <w:rStyle w:val="Emphasis"/>
          <w:b w:val="0"/>
        </w:rPr>
        <w:t>p</w:t>
      </w:r>
      <w:r>
        <w:t>&lt;0.001).</w:t>
      </w:r>
      <w:r>
        <w:rPr>
          <w:vertAlign w:val="superscript"/>
        </w:rPr>
        <w:t>20</w:t>
      </w:r>
      <w:r>
        <w:t xml:space="preserve"> There needs to be a targeted approach to address concerns of non-Indigenous mothers and increase vaccination uptake in these women due to the morbidity associated with influenza. </w:t>
      </w:r>
    </w:p>
    <w:p w14:paraId="4542E709" w14:textId="77777777" w:rsidR="0035117A" w:rsidRDefault="0035117A" w:rsidP="00EE3BBA">
      <w:r>
        <w:t xml:space="preserve">It is prudent to promote early influenza vaccination uptake, but it is crucial to continue to encourage influenza vaccination throughout the influenza season, especially for the maternal population. </w:t>
      </w:r>
    </w:p>
    <w:p w14:paraId="32A62467" w14:textId="77777777" w:rsidR="0035117A" w:rsidRDefault="0035117A" w:rsidP="00EE3BBA">
      <w:r>
        <w:t>In addition to protecting the mother, recent studies have shown great benefit from antenatal and postpartum influenza vaccination.</w:t>
      </w:r>
      <w:r>
        <w:rPr>
          <w:vertAlign w:val="superscript"/>
        </w:rPr>
        <w:t>1–3,10,21</w:t>
      </w:r>
      <w:r>
        <w:t xml:space="preserve"> A recent randomised control trial showed maternal immunisation protects newborn infants from hospitalisation associated with lower respiratory tract infections during the first 6 months with a vaccine efficacy of 43.1%.</w:t>
      </w:r>
      <w:r>
        <w:rPr>
          <w:vertAlign w:val="superscript"/>
        </w:rPr>
        <w:t>1</w:t>
      </w:r>
      <w:r>
        <w:t xml:space="preserve"> There is transplacental transfer of influenza antibodies and breast milk transfer of immunoglobulin A and G protecting newborns up to 6 months of life.</w:t>
      </w:r>
      <w:r>
        <w:rPr>
          <w:vertAlign w:val="superscript"/>
        </w:rPr>
        <w:t>11,22</w:t>
      </w:r>
      <w:r>
        <w:t xml:space="preserve"> As the influenza vaccine only becomes </w:t>
      </w:r>
      <w:r>
        <w:lastRenderedPageBreak/>
        <w:t xml:space="preserve">available for use from 6 months of age onwards, infants rely on passive transfer maternal immunity for protection against influenza. Therefore, the most effective way to protect newborns from the adverse effects of influenza infection is through maternal vaccination. </w:t>
      </w:r>
    </w:p>
    <w:p w14:paraId="2ACF5EFB" w14:textId="77777777" w:rsidR="0035117A" w:rsidRDefault="0035117A" w:rsidP="00EE3BBA">
      <w:r>
        <w:t xml:space="preserve">However, as the exact timing of pregnancy cannot be accurately predicted, vaccination should be offered all year round with sustained vaccination health promotion campaigns specifically targeting the maternal population. The high uptake of the vaccine from April to June in both Indigenous and non-Indigenous women suggests acceptance towards the vaccine when linked to nationwide influenza health promotion campaigns. </w:t>
      </w:r>
    </w:p>
    <w:p w14:paraId="707B9BAC" w14:textId="77777777" w:rsidR="0035117A" w:rsidRDefault="0035117A" w:rsidP="00EE3BBA">
      <w:r>
        <w:t>Studies have shown that provider recommendation is a strong predictor of uptake for maternal immunisation.</w:t>
      </w:r>
      <w:r>
        <w:rPr>
          <w:vertAlign w:val="superscript"/>
        </w:rPr>
        <w:t>23–26</w:t>
      </w:r>
      <w:r>
        <w:t xml:space="preserve"> As there is an extremely high uptake during the initial roll out of the vaccine, we postulate that there is a waning of vaccine recommendation by health care providers during the second half of each year. The lack of uptake shows the need for greater awareness by healthcare providers on the availability of influenza vaccine and on the benefits of influenza vaccine for the maternal population, protecting the mother and baby throughout the year. </w:t>
      </w:r>
    </w:p>
    <w:p w14:paraId="5110032E" w14:textId="77777777" w:rsidR="0035117A" w:rsidRDefault="0035117A" w:rsidP="00EE3BBA">
      <w:r>
        <w:t>A nationwide year-round maternal immunisation campaign is essential to increase awareness. Education of healthcare workers on the availability of the influenza vaccine and the benefits to antenatal mothers beyond the pregnancy should be reinforced to ensure confidence in recommending influenza vaccine. Consistent recommendations from antenatal care providers are critical to improving influenza vaccine coverage in pregnant women. With the established safety of influenza vaccines, a year-round vaccination campaign is key to increase confidence in women and therefore improve uptake.</w:t>
      </w:r>
      <w:r>
        <w:rPr>
          <w:vertAlign w:val="superscript"/>
        </w:rPr>
        <w:t>1,27,</w:t>
      </w:r>
      <w:proofErr w:type="gramStart"/>
      <w:r>
        <w:rPr>
          <w:vertAlign w:val="superscript"/>
        </w:rPr>
        <w:t>28</w:t>
      </w:r>
      <w:proofErr w:type="gramEnd"/>
      <w:r>
        <w:rPr>
          <w:vertAlign w:val="superscript"/>
        </w:rPr>
        <w:t xml:space="preserve"> </w:t>
      </w:r>
    </w:p>
    <w:p w14:paraId="6E56D28D" w14:textId="77777777" w:rsidR="0035117A" w:rsidRPr="00EE3BBA" w:rsidRDefault="0035117A" w:rsidP="00EE3BBA">
      <w:pPr>
        <w:pStyle w:val="Heading2"/>
      </w:pPr>
      <w:r w:rsidRPr="00EE3BBA">
        <w:t xml:space="preserve">Strengths and limitations </w:t>
      </w:r>
    </w:p>
    <w:p w14:paraId="13D85912" w14:textId="77777777" w:rsidR="0035117A" w:rsidRDefault="0035117A" w:rsidP="00EE3BBA">
      <w:r>
        <w:t xml:space="preserve">A limitation in our study was the lack of data available from the private hospital in NT. In 2016 there were an estimated 550 births in the private hospital. There is a possibility that the inclusion of data of pregnant women who delivered in the private hospital may increase the coverage rate among non-Indigenous pregnant women. While this is feasible, the low coverage in non-Indigenous women delivering in the public hospitals in the NT needs to be addressed regardless. There may be missing data, not reflected in the NTIR, for non-Indigenous mothers that receive influenza vaccination as part of workplace vaccination campaigns. </w:t>
      </w:r>
    </w:p>
    <w:p w14:paraId="6DDDC61A" w14:textId="77777777" w:rsidR="0035117A" w:rsidRDefault="0035117A" w:rsidP="00EE3BBA">
      <w:r>
        <w:t xml:space="preserve">All other antenatal influenza vaccination data from interstate and overseas have been based on surveys and a sampled cohort. Our study includes all pregnant women that delivered in the public hospitals in NT in 2016 with validated vaccination status, providing an accurate overview of the current behavioural pattern of maternal influenza uptake in the NT. </w:t>
      </w:r>
    </w:p>
    <w:p w14:paraId="7005C6FB" w14:textId="77777777" w:rsidR="0035117A" w:rsidRPr="00EE3BBA" w:rsidRDefault="0035117A" w:rsidP="00EE3BBA">
      <w:pPr>
        <w:pStyle w:val="Heading1"/>
      </w:pPr>
      <w:r w:rsidRPr="00EE3BBA">
        <w:t xml:space="preserve">Conclusion </w:t>
      </w:r>
    </w:p>
    <w:p w14:paraId="28AF8EFC" w14:textId="77777777" w:rsidR="0035117A" w:rsidRDefault="0035117A" w:rsidP="00EE3BBA">
      <w:r>
        <w:t xml:space="preserve">A nationwide robust year-round maternal influenza vaccination campaign is required to promote the benefits of influenza vaccination to both mothers and babies. The timing of influenza vaccine in relation to the gestational age of the pregnancy correlates with the availability of the vaccine and influenza promotional campaign. There should be a greater emphasis on targeting non-Indigenous pregnant women in the NT. Healthcare providers should be aware of the availability of flu vaccine and should promote the vaccine all year round. Antenatal care providers, including midwives, have a key role in providing evidence-based recommendations to pregnant women with a need to encourage uptake throughout the year. A year-round promotional campaign may address the gaps in maternal influenza vaccination, reduce missed opportunities and increase uptake in non-Indigenous mothers. </w:t>
      </w:r>
    </w:p>
    <w:p w14:paraId="720D2080" w14:textId="77777777" w:rsidR="0035117A" w:rsidRPr="00EE3BBA" w:rsidRDefault="0035117A" w:rsidP="00EE3BBA">
      <w:pPr>
        <w:pStyle w:val="Heading1"/>
      </w:pPr>
      <w:r w:rsidRPr="00EE3BBA">
        <w:lastRenderedPageBreak/>
        <w:t xml:space="preserve">Acknowledgements </w:t>
      </w:r>
    </w:p>
    <w:p w14:paraId="7CA4CF39" w14:textId="77777777" w:rsidR="0035117A" w:rsidRDefault="0035117A" w:rsidP="00EE3BBA">
      <w:r>
        <w:t xml:space="preserve">We acknowledge the Northern Territory Perinatal Register and Northern Territory Immunisation Register for their data contribution. </w:t>
      </w:r>
    </w:p>
    <w:p w14:paraId="59AEC04E" w14:textId="77777777" w:rsidR="0035117A" w:rsidRPr="00EE3BBA" w:rsidRDefault="0035117A" w:rsidP="00EE3BBA">
      <w:pPr>
        <w:pStyle w:val="Heading1"/>
      </w:pPr>
      <w:r w:rsidRPr="00EE3BBA">
        <w:t xml:space="preserve">Declarations </w:t>
      </w:r>
    </w:p>
    <w:p w14:paraId="20146141" w14:textId="77777777" w:rsidR="0035117A" w:rsidRDefault="0035117A" w:rsidP="00EE3BBA">
      <w:r>
        <w:t xml:space="preserve">The datasets generated and analysed during the current study are not publicly available due identifiable patient data. </w:t>
      </w:r>
    </w:p>
    <w:p w14:paraId="48E3CA30" w14:textId="77777777" w:rsidR="0035117A" w:rsidRPr="00EE3BBA" w:rsidRDefault="0035117A" w:rsidP="00EE3BBA">
      <w:pPr>
        <w:pStyle w:val="Heading2"/>
      </w:pPr>
      <w:r w:rsidRPr="00EE3BBA">
        <w:t xml:space="preserve">Author contributions </w:t>
      </w:r>
    </w:p>
    <w:p w14:paraId="65D06987" w14:textId="77777777" w:rsidR="0035117A" w:rsidRDefault="0035117A" w:rsidP="00EE3BBA">
      <w:r>
        <w:t xml:space="preserve">PJ: Study concept and design, analysis or interpretation of data, drafting of the manuscript, critical revision of the manuscript for important intellectual content, statistical analysis. </w:t>
      </w:r>
    </w:p>
    <w:p w14:paraId="076D54EF" w14:textId="77777777" w:rsidR="0035117A" w:rsidRDefault="0035117A" w:rsidP="00EE3BBA">
      <w:r>
        <w:t xml:space="preserve">PG: Analysis or interpretation of data, drafting of the manuscript, critical revision of the manuscript for important intellectual content, statistical analysis. </w:t>
      </w:r>
    </w:p>
    <w:p w14:paraId="08601617" w14:textId="77777777" w:rsidR="0035117A" w:rsidRDefault="0035117A" w:rsidP="00EE3BBA">
      <w:r>
        <w:t xml:space="preserve">RW: Study concept and design, acquisition of data, analysis or interpretation of data, critical revision of the manuscript for important intellectual content. </w:t>
      </w:r>
    </w:p>
    <w:p w14:paraId="693C2BD9" w14:textId="77777777" w:rsidR="0035117A" w:rsidRDefault="0035117A" w:rsidP="00EE3BBA">
      <w:r>
        <w:t xml:space="preserve">PJ and PG are co-first authors. </w:t>
      </w:r>
    </w:p>
    <w:p w14:paraId="446B0637" w14:textId="77777777" w:rsidR="0035117A" w:rsidRDefault="0035117A" w:rsidP="00EE3BBA">
      <w:r>
        <w:t xml:space="preserve">Obtained funding: nil. </w:t>
      </w:r>
    </w:p>
    <w:p w14:paraId="58DA3269" w14:textId="77777777" w:rsidR="0035117A" w:rsidRDefault="0035117A" w:rsidP="00EE3BBA">
      <w:r>
        <w:t xml:space="preserve">The authors declare that they have no competing interests. </w:t>
      </w:r>
    </w:p>
    <w:p w14:paraId="45CCDC75" w14:textId="77777777" w:rsidR="0035117A" w:rsidRPr="00EE3BBA" w:rsidRDefault="0035117A" w:rsidP="00EE3BBA">
      <w:pPr>
        <w:pStyle w:val="Heading1"/>
      </w:pPr>
      <w:r w:rsidRPr="00EE3BBA">
        <w:t xml:space="preserve">Author details </w:t>
      </w:r>
    </w:p>
    <w:p w14:paraId="5F324713" w14:textId="77777777" w:rsidR="0035117A" w:rsidRDefault="0035117A" w:rsidP="00ED3CB6">
      <w:pPr>
        <w:pStyle w:val="NoSpacing"/>
      </w:pPr>
      <w:r>
        <w:t xml:space="preserve">Dr Priya </w:t>
      </w:r>
      <w:proofErr w:type="spellStart"/>
      <w:r>
        <w:t>Darshene</w:t>
      </w:r>
      <w:proofErr w:type="spellEnd"/>
      <w:r>
        <w:t xml:space="preserve"> Janagaraj</w:t>
      </w:r>
      <w:r>
        <w:rPr>
          <w:vertAlign w:val="superscript"/>
        </w:rPr>
        <w:t xml:space="preserve">1 </w:t>
      </w:r>
    </w:p>
    <w:p w14:paraId="26DD8430" w14:textId="77777777" w:rsidR="0035117A" w:rsidRDefault="0035117A" w:rsidP="00ED3CB6">
      <w:pPr>
        <w:pStyle w:val="NoSpacing"/>
      </w:pPr>
      <w:r>
        <w:t xml:space="preserve">Dr Pari </w:t>
      </w:r>
      <w:proofErr w:type="spellStart"/>
      <w:r>
        <w:t>Shanmuga</w:t>
      </w:r>
      <w:proofErr w:type="spellEnd"/>
      <w:r>
        <w:t xml:space="preserve"> Raman </w:t>
      </w:r>
      <w:proofErr w:type="spellStart"/>
      <w:r>
        <w:t>Gurusamy</w:t>
      </w:r>
      <w:proofErr w:type="spellEnd"/>
      <w:r>
        <w:t xml:space="preserve"> </w:t>
      </w:r>
      <w:r>
        <w:rPr>
          <w:vertAlign w:val="superscript"/>
        </w:rPr>
        <w:t xml:space="preserve">2 </w:t>
      </w:r>
    </w:p>
    <w:p w14:paraId="1B24E893" w14:textId="77777777" w:rsidR="0035117A" w:rsidRDefault="0035117A" w:rsidP="00ED3CB6">
      <w:pPr>
        <w:pStyle w:val="NoSpacing"/>
      </w:pPr>
      <w:r>
        <w:t>Dr Rosalind Webby</w:t>
      </w:r>
      <w:r>
        <w:rPr>
          <w:vertAlign w:val="superscript"/>
        </w:rPr>
        <w:t xml:space="preserve">3 </w:t>
      </w:r>
    </w:p>
    <w:p w14:paraId="71FB1FA6" w14:textId="77777777" w:rsidR="0035117A" w:rsidRPr="00EE3BBA" w:rsidRDefault="0035117A" w:rsidP="006C4F86">
      <w:pPr>
        <w:pStyle w:val="ListParagraph"/>
        <w:numPr>
          <w:ilvl w:val="0"/>
          <w:numId w:val="9"/>
        </w:numPr>
        <w:spacing w:before="240"/>
        <w:rPr>
          <w:rFonts w:eastAsia="Times New Roman"/>
        </w:rPr>
      </w:pPr>
      <w:r w:rsidRPr="00EE3BBA">
        <w:rPr>
          <w:rFonts w:eastAsia="Times New Roman"/>
        </w:rPr>
        <w:t xml:space="preserve">Public Health Registrar, NT Centre for Disease Control (CDC), Northern Territory Australia </w:t>
      </w:r>
    </w:p>
    <w:p w14:paraId="49FA11C0" w14:textId="77777777" w:rsidR="0035117A" w:rsidRPr="00EE3BBA" w:rsidRDefault="0035117A" w:rsidP="00EE3BBA">
      <w:pPr>
        <w:pStyle w:val="ListParagraph"/>
        <w:numPr>
          <w:ilvl w:val="0"/>
          <w:numId w:val="9"/>
        </w:numPr>
        <w:rPr>
          <w:rFonts w:eastAsia="Times New Roman"/>
        </w:rPr>
      </w:pPr>
      <w:r w:rsidRPr="00EE3BBA">
        <w:rPr>
          <w:rFonts w:eastAsia="Times New Roman"/>
        </w:rPr>
        <w:t xml:space="preserve">Obstetrics and Gynaecology Registrar, Department of Obstetrics and </w:t>
      </w:r>
      <w:proofErr w:type="spellStart"/>
      <w:r w:rsidRPr="00EE3BBA">
        <w:rPr>
          <w:rFonts w:eastAsia="Times New Roman"/>
        </w:rPr>
        <w:t>Gynecology</w:t>
      </w:r>
      <w:proofErr w:type="spellEnd"/>
      <w:r w:rsidRPr="00EE3BBA">
        <w:rPr>
          <w:rFonts w:eastAsia="Times New Roman"/>
        </w:rPr>
        <w:t xml:space="preserve">, Top End Health Services, Northern Territory Australia </w:t>
      </w:r>
    </w:p>
    <w:p w14:paraId="1987C2B3" w14:textId="77777777" w:rsidR="0035117A" w:rsidRPr="00EE3BBA" w:rsidRDefault="0035117A" w:rsidP="00EE3BBA">
      <w:pPr>
        <w:pStyle w:val="ListParagraph"/>
        <w:numPr>
          <w:ilvl w:val="0"/>
          <w:numId w:val="9"/>
        </w:numPr>
        <w:rPr>
          <w:rFonts w:eastAsia="Times New Roman"/>
        </w:rPr>
      </w:pPr>
      <w:r w:rsidRPr="00EE3BBA">
        <w:rPr>
          <w:rFonts w:eastAsia="Times New Roman"/>
        </w:rPr>
        <w:t xml:space="preserve">Head of Immunisation, NT Centre for Disease Control (CDC), Northern Territory Australia </w:t>
      </w:r>
    </w:p>
    <w:p w14:paraId="08451F9A" w14:textId="77777777" w:rsidR="0035117A" w:rsidRPr="00EE3BBA" w:rsidRDefault="0035117A" w:rsidP="00EE3BBA">
      <w:pPr>
        <w:pStyle w:val="Heading2"/>
      </w:pPr>
      <w:r w:rsidRPr="00EE3BBA">
        <w:t xml:space="preserve">Corresponding Author </w:t>
      </w:r>
    </w:p>
    <w:p w14:paraId="5EDA10DD" w14:textId="77777777" w:rsidR="0035117A" w:rsidRDefault="0035117A" w:rsidP="00ED3CB6">
      <w:pPr>
        <w:pStyle w:val="NoSpacing"/>
      </w:pPr>
      <w:r>
        <w:t xml:space="preserve">Dr. Priya </w:t>
      </w:r>
      <w:proofErr w:type="spellStart"/>
      <w:r>
        <w:t>Darshene</w:t>
      </w:r>
      <w:proofErr w:type="spellEnd"/>
      <w:r>
        <w:t xml:space="preserve"> </w:t>
      </w:r>
      <w:proofErr w:type="spellStart"/>
      <w:r>
        <w:t>Janagaraj</w:t>
      </w:r>
      <w:proofErr w:type="spellEnd"/>
      <w:r>
        <w:t xml:space="preserve"> </w:t>
      </w:r>
    </w:p>
    <w:p w14:paraId="6EC5D7C8" w14:textId="77777777" w:rsidR="0035117A" w:rsidRDefault="0035117A" w:rsidP="00ED3CB6">
      <w:pPr>
        <w:pStyle w:val="NoSpacing"/>
      </w:pPr>
      <w:r>
        <w:t xml:space="preserve">Centre for Disease Control (CDC), Northern Territory Australia </w:t>
      </w:r>
    </w:p>
    <w:p w14:paraId="36F40A45" w14:textId="77777777" w:rsidR="0035117A" w:rsidRDefault="0035117A" w:rsidP="00ED3CB6">
      <w:pPr>
        <w:pStyle w:val="NoSpacing"/>
      </w:pPr>
      <w:r>
        <w:t xml:space="preserve">Building 4 Royal Darwin Hospital Rocklands Drive Tiwi NT 0810 </w:t>
      </w:r>
    </w:p>
    <w:p w14:paraId="4B3AC139" w14:textId="77777777" w:rsidR="0035117A" w:rsidRDefault="0035117A" w:rsidP="00ED3CB6">
      <w:pPr>
        <w:pStyle w:val="NoSpacing"/>
      </w:pPr>
      <w:r>
        <w:t xml:space="preserve">+61889228044 </w:t>
      </w:r>
    </w:p>
    <w:p w14:paraId="28137E7A" w14:textId="77777777" w:rsidR="0035117A" w:rsidRDefault="0035117A" w:rsidP="00ED3CB6">
      <w:pPr>
        <w:pStyle w:val="NoSpacing"/>
      </w:pPr>
      <w:r>
        <w:t>Priya.Janagaraj@nt.gov.au</w:t>
      </w:r>
    </w:p>
    <w:p w14:paraId="0EE7CED6" w14:textId="77777777" w:rsidR="0035117A" w:rsidRDefault="0035117A" w:rsidP="00ED3CB6">
      <w:pPr>
        <w:pStyle w:val="NoSpacing"/>
      </w:pPr>
      <w:r>
        <w:t xml:space="preserve">priyadarshene@gmail.com </w:t>
      </w:r>
    </w:p>
    <w:p w14:paraId="6DF6AA47" w14:textId="77777777" w:rsidR="00ED3CB6" w:rsidRDefault="00ED3CB6">
      <w:pPr>
        <w:rPr>
          <w:rFonts w:asciiTheme="majorHAnsi" w:eastAsiaTheme="majorEastAsia" w:hAnsiTheme="majorHAnsi" w:cstheme="majorBidi"/>
          <w:b/>
          <w:bCs/>
          <w:sz w:val="32"/>
          <w:szCs w:val="28"/>
        </w:rPr>
      </w:pPr>
      <w:r>
        <w:br w:type="page"/>
      </w:r>
    </w:p>
    <w:p w14:paraId="2AEF4B06" w14:textId="77777777" w:rsidR="0035117A" w:rsidRPr="00EE3BBA" w:rsidRDefault="0035117A" w:rsidP="00EE3BBA">
      <w:pPr>
        <w:pStyle w:val="Heading1"/>
      </w:pPr>
      <w:r w:rsidRPr="00EE3BBA">
        <w:lastRenderedPageBreak/>
        <w:t xml:space="preserve">References </w:t>
      </w:r>
    </w:p>
    <w:p w14:paraId="391DE7F1"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Nunes MC, </w:t>
      </w:r>
      <w:proofErr w:type="spellStart"/>
      <w:r w:rsidRPr="007B4E9D">
        <w:rPr>
          <w:rFonts w:eastAsia="Times New Roman"/>
        </w:rPr>
        <w:t>Cutland</w:t>
      </w:r>
      <w:proofErr w:type="spellEnd"/>
      <w:r w:rsidRPr="007B4E9D">
        <w:rPr>
          <w:rFonts w:eastAsia="Times New Roman"/>
        </w:rPr>
        <w:t xml:space="preserve"> CL, Jones S, Downs S, Weinberg A, Ortiz JR et al. Efficacy of maternal influenza vaccination against all-cause lower respiratory tract infection hospitalizations in young infants: results from a randomized controlled trial. </w:t>
      </w:r>
      <w:r w:rsidRPr="0096652E">
        <w:rPr>
          <w:rStyle w:val="Emphasis"/>
          <w:rFonts w:eastAsia="Times New Roman"/>
          <w:b w:val="0"/>
        </w:rPr>
        <w:t>Clin Infect Dis</w:t>
      </w:r>
      <w:r w:rsidRPr="007B4E9D">
        <w:rPr>
          <w:rFonts w:eastAsia="Times New Roman"/>
        </w:rPr>
        <w:t xml:space="preserve">. 2017;65(7):1066–71. </w:t>
      </w:r>
    </w:p>
    <w:p w14:paraId="4B57DC52"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Tapia MD, Sow SO, Tamboura B, </w:t>
      </w:r>
      <w:proofErr w:type="spellStart"/>
      <w:r w:rsidRPr="007B4E9D">
        <w:rPr>
          <w:rFonts w:eastAsia="Times New Roman"/>
        </w:rPr>
        <w:t>Tégueté</w:t>
      </w:r>
      <w:proofErr w:type="spellEnd"/>
      <w:r w:rsidRPr="007B4E9D">
        <w:rPr>
          <w:rFonts w:eastAsia="Times New Roman"/>
        </w:rPr>
        <w:t xml:space="preserve"> I, </w:t>
      </w:r>
      <w:proofErr w:type="spellStart"/>
      <w:r w:rsidRPr="007B4E9D">
        <w:rPr>
          <w:rFonts w:eastAsia="Times New Roman"/>
        </w:rPr>
        <w:t>Pasetti</w:t>
      </w:r>
      <w:proofErr w:type="spellEnd"/>
      <w:r w:rsidRPr="007B4E9D">
        <w:rPr>
          <w:rFonts w:eastAsia="Times New Roman"/>
        </w:rPr>
        <w:t xml:space="preserve"> MF, </w:t>
      </w:r>
      <w:proofErr w:type="spellStart"/>
      <w:r w:rsidRPr="007B4E9D">
        <w:rPr>
          <w:rFonts w:eastAsia="Times New Roman"/>
        </w:rPr>
        <w:t>Kodio</w:t>
      </w:r>
      <w:proofErr w:type="spellEnd"/>
      <w:r w:rsidRPr="007B4E9D">
        <w:rPr>
          <w:rFonts w:eastAsia="Times New Roman"/>
        </w:rPr>
        <w:t xml:space="preserve"> M et al. Maternal immunisation with trivalent inactivated influenza vaccine for prevention of influenza in infants in Mali: a prospective, active-controlled, observer-blind, randomised phase 4 trial. </w:t>
      </w:r>
      <w:r w:rsidRPr="0096652E">
        <w:rPr>
          <w:rStyle w:val="Emphasis"/>
          <w:rFonts w:eastAsia="Times New Roman"/>
          <w:b w:val="0"/>
        </w:rPr>
        <w:t>Lancet Infect Dis</w:t>
      </w:r>
      <w:r w:rsidRPr="007B4E9D">
        <w:rPr>
          <w:rFonts w:eastAsia="Times New Roman"/>
        </w:rPr>
        <w:t xml:space="preserve">. 2016;16(9):1026–35. </w:t>
      </w:r>
    </w:p>
    <w:p w14:paraId="04AC127B"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Fell DB, </w:t>
      </w:r>
      <w:proofErr w:type="spellStart"/>
      <w:r w:rsidRPr="007B4E9D">
        <w:rPr>
          <w:rFonts w:eastAsia="Times New Roman"/>
        </w:rPr>
        <w:t>Bhutta</w:t>
      </w:r>
      <w:proofErr w:type="spellEnd"/>
      <w:r w:rsidRPr="007B4E9D">
        <w:rPr>
          <w:rFonts w:eastAsia="Times New Roman"/>
        </w:rPr>
        <w:t xml:space="preserve"> ZA, Hutcheon JA, </w:t>
      </w:r>
      <w:proofErr w:type="spellStart"/>
      <w:r w:rsidRPr="007B4E9D">
        <w:rPr>
          <w:rFonts w:eastAsia="Times New Roman"/>
        </w:rPr>
        <w:t>Karron</w:t>
      </w:r>
      <w:proofErr w:type="spellEnd"/>
      <w:r w:rsidRPr="007B4E9D">
        <w:rPr>
          <w:rFonts w:eastAsia="Times New Roman"/>
        </w:rPr>
        <w:t xml:space="preserve"> RA, Knight M, Kramer MS et al. Report of the WHO technical consultation on the effect of maternal influenza and influenza vaccination on the developing </w:t>
      </w:r>
      <w:proofErr w:type="spellStart"/>
      <w:r w:rsidRPr="007B4E9D">
        <w:rPr>
          <w:rFonts w:eastAsia="Times New Roman"/>
        </w:rPr>
        <w:t>fetus</w:t>
      </w:r>
      <w:proofErr w:type="spellEnd"/>
      <w:r w:rsidRPr="007B4E9D">
        <w:rPr>
          <w:rFonts w:eastAsia="Times New Roman"/>
        </w:rPr>
        <w:t xml:space="preserve">: Montreal, Canada, September 30 – October 1, 2015. </w:t>
      </w:r>
      <w:r w:rsidRPr="0096652E">
        <w:rPr>
          <w:rStyle w:val="Emphasis"/>
          <w:rFonts w:eastAsia="Times New Roman"/>
          <w:b w:val="0"/>
        </w:rPr>
        <w:t>Vaccine</w:t>
      </w:r>
      <w:r w:rsidRPr="007B4E9D">
        <w:rPr>
          <w:rFonts w:eastAsia="Times New Roman"/>
        </w:rPr>
        <w:t xml:space="preserve">. 2017;35(18):2279–87. </w:t>
      </w:r>
    </w:p>
    <w:p w14:paraId="584DA03F" w14:textId="77777777" w:rsidR="0035117A" w:rsidRPr="007B4E9D" w:rsidRDefault="0035117A" w:rsidP="007B4E9D">
      <w:pPr>
        <w:pStyle w:val="ListParagraph"/>
        <w:numPr>
          <w:ilvl w:val="0"/>
          <w:numId w:val="10"/>
        </w:numPr>
        <w:rPr>
          <w:rFonts w:eastAsia="Times New Roman"/>
        </w:rPr>
      </w:pPr>
      <w:proofErr w:type="spellStart"/>
      <w:r w:rsidRPr="007B4E9D">
        <w:rPr>
          <w:rFonts w:eastAsia="Times New Roman"/>
        </w:rPr>
        <w:t>Ghebrehewet</w:t>
      </w:r>
      <w:proofErr w:type="spellEnd"/>
      <w:r w:rsidRPr="007B4E9D">
        <w:rPr>
          <w:rFonts w:eastAsia="Times New Roman"/>
        </w:rPr>
        <w:t xml:space="preserve"> S, MacPherson P, Ho A. Influenza. </w:t>
      </w:r>
      <w:r w:rsidRPr="0096652E">
        <w:rPr>
          <w:rStyle w:val="Emphasis"/>
          <w:rFonts w:eastAsia="Times New Roman"/>
          <w:b w:val="0"/>
        </w:rPr>
        <w:t>BMJ</w:t>
      </w:r>
      <w:r w:rsidRPr="007B4E9D">
        <w:rPr>
          <w:rFonts w:eastAsia="Times New Roman"/>
        </w:rPr>
        <w:t xml:space="preserve">. 2016;355:i6258. </w:t>
      </w:r>
    </w:p>
    <w:p w14:paraId="35096721"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Ravindran M, Gowtham S, Mehta P, Narayanan P. Retrospective analysis of maternal and foetal outcome of H1N1 influenza amongst antenatal mothers at a tertiary care hospital. </w:t>
      </w:r>
      <w:r w:rsidRPr="0096652E">
        <w:rPr>
          <w:rStyle w:val="Emphasis"/>
          <w:rFonts w:eastAsia="Times New Roman"/>
          <w:b w:val="0"/>
        </w:rPr>
        <w:t xml:space="preserve">J Patient </w:t>
      </w:r>
      <w:proofErr w:type="spellStart"/>
      <w:r w:rsidRPr="0096652E">
        <w:rPr>
          <w:rStyle w:val="Emphasis"/>
          <w:rFonts w:eastAsia="Times New Roman"/>
          <w:b w:val="0"/>
        </w:rPr>
        <w:t>Saf</w:t>
      </w:r>
      <w:proofErr w:type="spellEnd"/>
      <w:r w:rsidRPr="0096652E">
        <w:rPr>
          <w:rStyle w:val="Emphasis"/>
          <w:rFonts w:eastAsia="Times New Roman"/>
          <w:b w:val="0"/>
        </w:rPr>
        <w:t xml:space="preserve"> Infect Control</w:t>
      </w:r>
      <w:r w:rsidRPr="007B4E9D">
        <w:rPr>
          <w:rFonts w:eastAsia="Times New Roman"/>
        </w:rPr>
        <w:t xml:space="preserve">. 2017;5(2):69–72. </w:t>
      </w:r>
    </w:p>
    <w:p w14:paraId="44C63973"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Louie JK, </w:t>
      </w:r>
      <w:proofErr w:type="spellStart"/>
      <w:r w:rsidRPr="007B4E9D">
        <w:rPr>
          <w:rFonts w:eastAsia="Times New Roman"/>
        </w:rPr>
        <w:t>Salibay</w:t>
      </w:r>
      <w:proofErr w:type="spellEnd"/>
      <w:r w:rsidRPr="007B4E9D">
        <w:rPr>
          <w:rFonts w:eastAsia="Times New Roman"/>
        </w:rPr>
        <w:t xml:space="preserve"> CJ, Kang M, Glenn-Finer RE, Murray EL, Jamieson DJ. Pregnancy and severe influenza infection in the 2013–2014 influenza season. </w:t>
      </w:r>
      <w:proofErr w:type="spellStart"/>
      <w:r w:rsidRPr="0096652E">
        <w:rPr>
          <w:rStyle w:val="Emphasis"/>
          <w:rFonts w:eastAsia="Times New Roman"/>
          <w:b w:val="0"/>
        </w:rPr>
        <w:t>Obstet</w:t>
      </w:r>
      <w:proofErr w:type="spellEnd"/>
      <w:r w:rsidRPr="0096652E">
        <w:rPr>
          <w:rStyle w:val="Emphasis"/>
          <w:rFonts w:eastAsia="Times New Roman"/>
          <w:b w:val="0"/>
        </w:rPr>
        <w:t xml:space="preserve"> Gynecol</w:t>
      </w:r>
      <w:r w:rsidRPr="007B4E9D">
        <w:rPr>
          <w:rFonts w:eastAsia="Times New Roman"/>
        </w:rPr>
        <w:t xml:space="preserve">. 2015;125(1):184–92. </w:t>
      </w:r>
    </w:p>
    <w:p w14:paraId="0396D02A" w14:textId="77777777" w:rsidR="0035117A" w:rsidRPr="007B4E9D" w:rsidRDefault="0035117A" w:rsidP="007B4E9D">
      <w:pPr>
        <w:pStyle w:val="ListParagraph"/>
        <w:numPr>
          <w:ilvl w:val="0"/>
          <w:numId w:val="10"/>
        </w:numPr>
        <w:rPr>
          <w:rFonts w:eastAsia="Times New Roman"/>
        </w:rPr>
      </w:pPr>
      <w:proofErr w:type="spellStart"/>
      <w:r w:rsidRPr="007B4E9D">
        <w:rPr>
          <w:rFonts w:eastAsia="Times New Roman"/>
        </w:rPr>
        <w:t>Hartert</w:t>
      </w:r>
      <w:proofErr w:type="spellEnd"/>
      <w:r w:rsidRPr="007B4E9D">
        <w:rPr>
          <w:rFonts w:eastAsia="Times New Roman"/>
        </w:rPr>
        <w:t xml:space="preserve"> TV, </w:t>
      </w:r>
      <w:proofErr w:type="spellStart"/>
      <w:r w:rsidRPr="007B4E9D">
        <w:rPr>
          <w:rFonts w:eastAsia="Times New Roman"/>
        </w:rPr>
        <w:t>Neuzil</w:t>
      </w:r>
      <w:proofErr w:type="spellEnd"/>
      <w:r w:rsidRPr="007B4E9D">
        <w:rPr>
          <w:rFonts w:eastAsia="Times New Roman"/>
        </w:rPr>
        <w:t xml:space="preserve"> KM, </w:t>
      </w:r>
      <w:proofErr w:type="spellStart"/>
      <w:r w:rsidRPr="007B4E9D">
        <w:rPr>
          <w:rFonts w:eastAsia="Times New Roman"/>
        </w:rPr>
        <w:t>Shintani</w:t>
      </w:r>
      <w:proofErr w:type="spellEnd"/>
      <w:r w:rsidRPr="007B4E9D">
        <w:rPr>
          <w:rFonts w:eastAsia="Times New Roman"/>
        </w:rPr>
        <w:t xml:space="preserve"> AK, Mitchel EF, Snowden MS, Wood LB et al. Maternal morbidity and perinatal outcomes among pregnant women with respiratory hospitalizations during influenza season. </w:t>
      </w:r>
      <w:r w:rsidRPr="0096652E">
        <w:rPr>
          <w:rStyle w:val="Emphasis"/>
          <w:rFonts w:eastAsia="Times New Roman"/>
          <w:b w:val="0"/>
        </w:rPr>
        <w:t xml:space="preserve">Am J </w:t>
      </w:r>
      <w:proofErr w:type="spellStart"/>
      <w:r w:rsidRPr="0096652E">
        <w:rPr>
          <w:rStyle w:val="Emphasis"/>
          <w:rFonts w:eastAsia="Times New Roman"/>
          <w:b w:val="0"/>
        </w:rPr>
        <w:t>Obstet</w:t>
      </w:r>
      <w:proofErr w:type="spellEnd"/>
      <w:r w:rsidRPr="0096652E">
        <w:rPr>
          <w:rStyle w:val="Emphasis"/>
          <w:rFonts w:eastAsia="Times New Roman"/>
          <w:b w:val="0"/>
        </w:rPr>
        <w:t xml:space="preserve"> Gynecol</w:t>
      </w:r>
      <w:r w:rsidRPr="007B4E9D">
        <w:rPr>
          <w:rFonts w:eastAsia="Times New Roman"/>
        </w:rPr>
        <w:t xml:space="preserve">. 2003;189(6):1705–12. </w:t>
      </w:r>
    </w:p>
    <w:p w14:paraId="4BBC9780"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Van </w:t>
      </w:r>
      <w:proofErr w:type="spellStart"/>
      <w:r w:rsidRPr="007B4E9D">
        <w:rPr>
          <w:rFonts w:eastAsia="Times New Roman"/>
        </w:rPr>
        <w:t>Kerkhove</w:t>
      </w:r>
      <w:proofErr w:type="spellEnd"/>
      <w:r w:rsidRPr="007B4E9D">
        <w:rPr>
          <w:rFonts w:eastAsia="Times New Roman"/>
        </w:rPr>
        <w:t xml:space="preserve"> MD, </w:t>
      </w:r>
      <w:proofErr w:type="spellStart"/>
      <w:r w:rsidRPr="007B4E9D">
        <w:rPr>
          <w:rFonts w:eastAsia="Times New Roman"/>
        </w:rPr>
        <w:t>Vandemaele</w:t>
      </w:r>
      <w:proofErr w:type="spellEnd"/>
      <w:r w:rsidRPr="007B4E9D">
        <w:rPr>
          <w:rFonts w:eastAsia="Times New Roman"/>
        </w:rPr>
        <w:t xml:space="preserve"> KAH, Shinde V, Jaramillo-Gutierrez G, </w:t>
      </w:r>
      <w:proofErr w:type="spellStart"/>
      <w:r w:rsidRPr="007B4E9D">
        <w:rPr>
          <w:rFonts w:eastAsia="Times New Roman"/>
        </w:rPr>
        <w:t>Koukounari</w:t>
      </w:r>
      <w:proofErr w:type="spellEnd"/>
      <w:r w:rsidRPr="007B4E9D">
        <w:rPr>
          <w:rFonts w:eastAsia="Times New Roman"/>
        </w:rPr>
        <w:t xml:space="preserve"> A, Donnelly CA et al. Risk factors for severe outcomes following 2009 influenza A (H1N1) infection: a global pooled analysis. </w:t>
      </w:r>
      <w:proofErr w:type="spellStart"/>
      <w:r w:rsidRPr="0096652E">
        <w:rPr>
          <w:rStyle w:val="Emphasis"/>
          <w:rFonts w:eastAsia="Times New Roman"/>
          <w:b w:val="0"/>
        </w:rPr>
        <w:t>PLoS</w:t>
      </w:r>
      <w:proofErr w:type="spellEnd"/>
      <w:r w:rsidRPr="0096652E">
        <w:rPr>
          <w:rStyle w:val="Emphasis"/>
          <w:rFonts w:eastAsia="Times New Roman"/>
          <w:b w:val="0"/>
        </w:rPr>
        <w:t xml:space="preserve"> Med</w:t>
      </w:r>
      <w:r w:rsidRPr="007B4E9D">
        <w:rPr>
          <w:rFonts w:eastAsia="Times New Roman"/>
        </w:rPr>
        <w:t xml:space="preserve">. 2011;8(7):e1001053. </w:t>
      </w:r>
    </w:p>
    <w:p w14:paraId="1D0CE4D7"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Becker R. The Immunology of Pregnancy. Science in the News. [Internet.] Harvard University, Graduate School of Arts and Sciences, 2012. [Accessed: 24 May 2018.] Available from: http://sitn.hms.harvard.edu/flash/2012/issue128/ </w:t>
      </w:r>
    </w:p>
    <w:p w14:paraId="12B3CFB2" w14:textId="77777777" w:rsidR="0035117A" w:rsidRPr="007B4E9D" w:rsidRDefault="0035117A" w:rsidP="007B4E9D">
      <w:pPr>
        <w:pStyle w:val="ListParagraph"/>
        <w:numPr>
          <w:ilvl w:val="0"/>
          <w:numId w:val="10"/>
        </w:numPr>
        <w:rPr>
          <w:rFonts w:eastAsia="Times New Roman"/>
        </w:rPr>
      </w:pPr>
      <w:proofErr w:type="spellStart"/>
      <w:r w:rsidRPr="007B4E9D">
        <w:rPr>
          <w:rFonts w:eastAsia="Times New Roman"/>
        </w:rPr>
        <w:t>Madhi</w:t>
      </w:r>
      <w:proofErr w:type="spellEnd"/>
      <w:r w:rsidRPr="007B4E9D">
        <w:rPr>
          <w:rFonts w:eastAsia="Times New Roman"/>
        </w:rPr>
        <w:t xml:space="preserve"> SA, </w:t>
      </w:r>
      <w:proofErr w:type="spellStart"/>
      <w:r w:rsidRPr="007B4E9D">
        <w:rPr>
          <w:rFonts w:eastAsia="Times New Roman"/>
        </w:rPr>
        <w:t>Cutland</w:t>
      </w:r>
      <w:proofErr w:type="spellEnd"/>
      <w:r w:rsidRPr="007B4E9D">
        <w:rPr>
          <w:rFonts w:eastAsia="Times New Roman"/>
        </w:rPr>
        <w:t xml:space="preserve"> CL, </w:t>
      </w:r>
      <w:proofErr w:type="spellStart"/>
      <w:r w:rsidRPr="007B4E9D">
        <w:rPr>
          <w:rFonts w:eastAsia="Times New Roman"/>
        </w:rPr>
        <w:t>Kuwanda</w:t>
      </w:r>
      <w:proofErr w:type="spellEnd"/>
      <w:r w:rsidRPr="007B4E9D">
        <w:rPr>
          <w:rFonts w:eastAsia="Times New Roman"/>
        </w:rPr>
        <w:t xml:space="preserve"> L, Weinberg A, Hugo A, Jones S, et al. Influenza vaccination of pregnant women and protection of their infants. </w:t>
      </w:r>
      <w:r w:rsidRPr="0096652E">
        <w:rPr>
          <w:rStyle w:val="Emphasis"/>
          <w:rFonts w:eastAsia="Times New Roman"/>
          <w:b w:val="0"/>
        </w:rPr>
        <w:t>N Engl J Med</w:t>
      </w:r>
      <w:r w:rsidRPr="007B4E9D">
        <w:rPr>
          <w:rFonts w:eastAsia="Times New Roman"/>
        </w:rPr>
        <w:t xml:space="preserve">. 2014;371(10):918–31. </w:t>
      </w:r>
    </w:p>
    <w:p w14:paraId="17338D00"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van den Berg JP, </w:t>
      </w:r>
      <w:proofErr w:type="spellStart"/>
      <w:r w:rsidRPr="007B4E9D">
        <w:rPr>
          <w:rFonts w:eastAsia="Times New Roman"/>
        </w:rPr>
        <w:t>Westerbeek</w:t>
      </w:r>
      <w:proofErr w:type="spellEnd"/>
      <w:r w:rsidRPr="007B4E9D">
        <w:rPr>
          <w:rFonts w:eastAsia="Times New Roman"/>
        </w:rPr>
        <w:t xml:space="preserve"> EA, van der Klis FR, Berbers GA, van Elburg RM. Transplacental transport of IgG antibodies to preterm infants: a review of the literature. </w:t>
      </w:r>
      <w:r w:rsidRPr="0096652E">
        <w:rPr>
          <w:rStyle w:val="Emphasis"/>
          <w:rFonts w:eastAsia="Times New Roman"/>
          <w:b w:val="0"/>
        </w:rPr>
        <w:t>Early Hum Dev</w:t>
      </w:r>
      <w:r w:rsidRPr="007B4E9D">
        <w:rPr>
          <w:rFonts w:eastAsia="Times New Roman"/>
        </w:rPr>
        <w:t xml:space="preserve">. 2011;87(2):67–72. </w:t>
      </w:r>
    </w:p>
    <w:p w14:paraId="2FB4E85B"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World </w:t>
      </w:r>
      <w:proofErr w:type="spellStart"/>
      <w:r w:rsidRPr="007B4E9D">
        <w:rPr>
          <w:rFonts w:eastAsia="Times New Roman"/>
        </w:rPr>
        <w:t>Helath</w:t>
      </w:r>
      <w:proofErr w:type="spellEnd"/>
      <w:r w:rsidRPr="007B4E9D">
        <w:rPr>
          <w:rFonts w:eastAsia="Times New Roman"/>
        </w:rPr>
        <w:t xml:space="preserve"> Organization. Pandemic (H1N1) 2009 briefing note 5: Pandemic influenza in pregnant women. [Internet.] WHO, 2009. [Accessed: 24 May 2018.] Available from: https://www.who.int/csr/disease/swineflu/notes/h1n1_pregnancy_20090731/en/ </w:t>
      </w:r>
    </w:p>
    <w:p w14:paraId="4A42BD1B"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National Centre for Immunisation Research and Surveillance. Influenza fact sheet. [Internet.] National Centre for Immunisation Research and Surveillance, 2018. [Accessed: 24 May 2018.] Available from: http://www.ncirs.org.au/ncirs-fact-sheets-faqs/influenza-vaccines-australians </w:t>
      </w:r>
    </w:p>
    <w:p w14:paraId="7D5D8AAC"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Australian Bureau of Statistics. 2016 Census: Northern Territory. [Internet.] Australian Government, Australian Bureau of Statistics, 2018 [Accessed: 24 May 2018.] Available from: http://www.abs.gov.au/ausstats/abs%40.nsf/mediareleasesbyCatalogue/C73D7CC81CA1FD2FCA258148000A4067?OpenDocument </w:t>
      </w:r>
    </w:p>
    <w:p w14:paraId="089DEED6"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Australian Institute of Health and Welfare. Mothers &amp; babies: Overview. [Internet.] Australian Government, Australian Institute of Health and Welfare, 2018. [Accessed: 24 May 2018.] Available from: https://www.aihw.gov.au/reports-statistics/population-groups/mothers-babies/overview </w:t>
      </w:r>
    </w:p>
    <w:p w14:paraId="2DE02F15"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Overton K, Webby R, Markey P, Krause V. Influenza and pertussis vaccination coverage in pregnant women in the Northern Territory in 2015—new recommendations to be assessed. </w:t>
      </w:r>
      <w:r w:rsidRPr="0096652E">
        <w:rPr>
          <w:rStyle w:val="Emphasis"/>
          <w:rFonts w:eastAsia="Times New Roman"/>
          <w:b w:val="0"/>
        </w:rPr>
        <w:t>NT Dis Control Bull</w:t>
      </w:r>
      <w:r w:rsidR="006C4F86" w:rsidRPr="0096652E">
        <w:rPr>
          <w:rStyle w:val="Emphasis"/>
          <w:rFonts w:eastAsia="Times New Roman"/>
          <w:b w:val="0"/>
        </w:rPr>
        <w:t>.</w:t>
      </w:r>
      <w:r w:rsidR="006C4F86">
        <w:rPr>
          <w:rFonts w:eastAsia="Times New Roman"/>
        </w:rPr>
        <w:t xml:space="preserve"> </w:t>
      </w:r>
      <w:r w:rsidRPr="007B4E9D">
        <w:rPr>
          <w:rFonts w:eastAsia="Times New Roman"/>
        </w:rPr>
        <w:t xml:space="preserve">2016;23(4):1–8. </w:t>
      </w:r>
    </w:p>
    <w:p w14:paraId="0C7AF9F8" w14:textId="77777777" w:rsidR="0035117A" w:rsidRPr="007B4E9D" w:rsidRDefault="0035117A" w:rsidP="007B4E9D">
      <w:pPr>
        <w:pStyle w:val="ListParagraph"/>
        <w:numPr>
          <w:ilvl w:val="0"/>
          <w:numId w:val="10"/>
        </w:numPr>
        <w:rPr>
          <w:rFonts w:eastAsia="Times New Roman"/>
        </w:rPr>
      </w:pPr>
      <w:r w:rsidRPr="007B4E9D">
        <w:rPr>
          <w:rFonts w:eastAsia="Times New Roman"/>
        </w:rPr>
        <w:lastRenderedPageBreak/>
        <w:t xml:space="preserve">Department of Health. Australian Influenza Surveillance Report and Activity Updates – 2016. [Internet.] Australian Government, Department of Health, 2016. [Accessed: 24 May 2018.] Available from: https://www1.health.gov.au/internet/main/publishing.nsf/Content/cda-ozflu-2016.htm </w:t>
      </w:r>
    </w:p>
    <w:p w14:paraId="64D4618E"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Department of Health. Australian Influenza Surveillance Report and Activity Updates. [Internet.] Australian Government, Department of Health, 2018. [Accessed: 24 May 2018.] Available from: https://www1.health.gov.au/internet/main/publishing.nsf/content/cda-surveil-ozflu-flucurr.htm </w:t>
      </w:r>
    </w:p>
    <w:p w14:paraId="42AF62D9" w14:textId="77777777" w:rsidR="0035117A" w:rsidRPr="007B4E9D" w:rsidRDefault="0035117A" w:rsidP="007B4E9D">
      <w:pPr>
        <w:pStyle w:val="ListParagraph"/>
        <w:numPr>
          <w:ilvl w:val="0"/>
          <w:numId w:val="10"/>
        </w:numPr>
        <w:rPr>
          <w:rFonts w:eastAsia="Times New Roman"/>
        </w:rPr>
      </w:pPr>
      <w:r w:rsidRPr="007B4E9D">
        <w:rPr>
          <w:rFonts w:eastAsia="Times New Roman"/>
        </w:rPr>
        <w:t>O’Grady K-A, Dunbar M, Medlin LG, Hall KK, Toombs M, Meiklejohn J et al. Uptake of influenza vaccination in pregnancy amongst Australian Aboriginal and Torres Strait Islander women: a mixed-methods pilot study</w:t>
      </w:r>
      <w:r w:rsidRPr="0096652E">
        <w:rPr>
          <w:rStyle w:val="Emphasis"/>
          <w:rFonts w:eastAsia="Times New Roman"/>
          <w:b w:val="0"/>
        </w:rPr>
        <w:t>. BMC Res Notes</w:t>
      </w:r>
      <w:r w:rsidRPr="007B4E9D">
        <w:rPr>
          <w:rFonts w:eastAsia="Times New Roman"/>
        </w:rPr>
        <w:t xml:space="preserve">. 2015;8:169. </w:t>
      </w:r>
    </w:p>
    <w:p w14:paraId="5D6FE5A3"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Markey P, Webby R , Cook H. Territory influenza in 2017; worst since 2009. </w:t>
      </w:r>
      <w:r w:rsidRPr="0096652E">
        <w:rPr>
          <w:rStyle w:val="Emphasis"/>
          <w:rFonts w:eastAsia="Times New Roman"/>
          <w:b w:val="0"/>
        </w:rPr>
        <w:t>N T Dis Control Bull</w:t>
      </w:r>
      <w:r w:rsidR="006C4F86" w:rsidRPr="0096652E">
        <w:rPr>
          <w:rStyle w:val="Emphasis"/>
          <w:rFonts w:eastAsia="Times New Roman"/>
          <w:b w:val="0"/>
        </w:rPr>
        <w:t>.</w:t>
      </w:r>
      <w:r w:rsidR="006C4F86">
        <w:rPr>
          <w:rFonts w:eastAsia="Times New Roman"/>
        </w:rPr>
        <w:t xml:space="preserve"> </w:t>
      </w:r>
      <w:r w:rsidRPr="007B4E9D">
        <w:rPr>
          <w:rFonts w:eastAsia="Times New Roman"/>
        </w:rPr>
        <w:t xml:space="preserve">2018;25(1):24–28. </w:t>
      </w:r>
    </w:p>
    <w:p w14:paraId="28C99102"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Takeda S, Hisano M, </w:t>
      </w:r>
      <w:proofErr w:type="spellStart"/>
      <w:r w:rsidRPr="007B4E9D">
        <w:rPr>
          <w:rFonts w:eastAsia="Times New Roman"/>
        </w:rPr>
        <w:t>Komano</w:t>
      </w:r>
      <w:proofErr w:type="spellEnd"/>
      <w:r w:rsidRPr="007B4E9D">
        <w:rPr>
          <w:rFonts w:eastAsia="Times New Roman"/>
        </w:rPr>
        <w:t xml:space="preserve"> J, Yamamoto H, Sago H, Yamaguchi K. Influenza vaccination during pregnancy and its usefulness to mothers and their young infants. </w:t>
      </w:r>
      <w:r w:rsidRPr="0096652E">
        <w:rPr>
          <w:rStyle w:val="Emphasis"/>
          <w:rFonts w:eastAsia="Times New Roman"/>
          <w:b w:val="0"/>
        </w:rPr>
        <w:t xml:space="preserve">J Infect </w:t>
      </w:r>
      <w:proofErr w:type="spellStart"/>
      <w:r w:rsidRPr="0096652E">
        <w:rPr>
          <w:rStyle w:val="Emphasis"/>
          <w:rFonts w:eastAsia="Times New Roman"/>
          <w:b w:val="0"/>
        </w:rPr>
        <w:t>Chemother</w:t>
      </w:r>
      <w:proofErr w:type="spellEnd"/>
      <w:r w:rsidRPr="007B4E9D">
        <w:rPr>
          <w:rFonts w:eastAsia="Times New Roman"/>
        </w:rPr>
        <w:t xml:space="preserve">. 2015;21(4):238–46. </w:t>
      </w:r>
    </w:p>
    <w:p w14:paraId="57CCB7B1" w14:textId="77777777" w:rsidR="0035117A" w:rsidRPr="007B4E9D" w:rsidRDefault="0035117A" w:rsidP="007B4E9D">
      <w:pPr>
        <w:pStyle w:val="ListParagraph"/>
        <w:numPr>
          <w:ilvl w:val="0"/>
          <w:numId w:val="10"/>
        </w:numPr>
        <w:rPr>
          <w:rFonts w:eastAsia="Times New Roman"/>
        </w:rPr>
      </w:pPr>
      <w:proofErr w:type="spellStart"/>
      <w:r w:rsidRPr="007B4E9D">
        <w:rPr>
          <w:rFonts w:eastAsia="Times New Roman"/>
        </w:rPr>
        <w:t>Schlaudecker</w:t>
      </w:r>
      <w:proofErr w:type="spellEnd"/>
      <w:r w:rsidRPr="007B4E9D">
        <w:rPr>
          <w:rFonts w:eastAsia="Times New Roman"/>
        </w:rPr>
        <w:t xml:space="preserve"> EP, Steinhoff MC, Omer SB, McNeal MM, Roy E, </w:t>
      </w:r>
      <w:proofErr w:type="spellStart"/>
      <w:r w:rsidRPr="007B4E9D">
        <w:rPr>
          <w:rFonts w:eastAsia="Times New Roman"/>
        </w:rPr>
        <w:t>Arifeen</w:t>
      </w:r>
      <w:proofErr w:type="spellEnd"/>
      <w:r w:rsidRPr="007B4E9D">
        <w:rPr>
          <w:rFonts w:eastAsia="Times New Roman"/>
        </w:rPr>
        <w:t xml:space="preserve"> SE et al. IgA and neutralizing antibodies to influenza a virus in human milk: a randomized trial of antenatal influenza immunization. </w:t>
      </w:r>
      <w:proofErr w:type="spellStart"/>
      <w:r w:rsidRPr="0096652E">
        <w:rPr>
          <w:rStyle w:val="Emphasis"/>
          <w:rFonts w:eastAsia="Times New Roman"/>
          <w:b w:val="0"/>
        </w:rPr>
        <w:t>PLoS</w:t>
      </w:r>
      <w:proofErr w:type="spellEnd"/>
      <w:r w:rsidRPr="0096652E">
        <w:rPr>
          <w:rStyle w:val="Emphasis"/>
          <w:rFonts w:eastAsia="Times New Roman"/>
          <w:b w:val="0"/>
        </w:rPr>
        <w:t xml:space="preserve"> One</w:t>
      </w:r>
      <w:r w:rsidRPr="007B4E9D">
        <w:rPr>
          <w:rFonts w:eastAsia="Times New Roman"/>
        </w:rPr>
        <w:t xml:space="preserve">. 2013;8(8):e70867. </w:t>
      </w:r>
    </w:p>
    <w:p w14:paraId="63AFE374"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Ellingson M, Chamberlain AT. Beyond the verbal: Pregnant women’s preferences for receiving influenza and Tdap vaccine information from their obstetric care providers. </w:t>
      </w:r>
      <w:r w:rsidRPr="0096652E">
        <w:rPr>
          <w:rStyle w:val="Emphasis"/>
          <w:rFonts w:eastAsia="Times New Roman"/>
          <w:b w:val="0"/>
        </w:rPr>
        <w:t xml:space="preserve">Hum </w:t>
      </w:r>
      <w:proofErr w:type="spellStart"/>
      <w:r w:rsidRPr="0096652E">
        <w:rPr>
          <w:rStyle w:val="Emphasis"/>
          <w:rFonts w:eastAsia="Times New Roman"/>
          <w:b w:val="0"/>
        </w:rPr>
        <w:t>Vaccin</w:t>
      </w:r>
      <w:proofErr w:type="spellEnd"/>
      <w:r w:rsidRPr="0096652E">
        <w:rPr>
          <w:rStyle w:val="Emphasis"/>
          <w:rFonts w:eastAsia="Times New Roman"/>
          <w:b w:val="0"/>
        </w:rPr>
        <w:t xml:space="preserve"> </w:t>
      </w:r>
      <w:proofErr w:type="spellStart"/>
      <w:r w:rsidRPr="0096652E">
        <w:rPr>
          <w:rStyle w:val="Emphasis"/>
          <w:rFonts w:eastAsia="Times New Roman"/>
          <w:b w:val="0"/>
        </w:rPr>
        <w:t>Immunother</w:t>
      </w:r>
      <w:proofErr w:type="spellEnd"/>
      <w:r w:rsidRPr="007B4E9D">
        <w:rPr>
          <w:rFonts w:eastAsia="Times New Roman"/>
        </w:rPr>
        <w:t xml:space="preserve">. 2018;14(3)767–71. </w:t>
      </w:r>
    </w:p>
    <w:p w14:paraId="6DB5D764"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Vishram B, </w:t>
      </w:r>
      <w:proofErr w:type="spellStart"/>
      <w:r w:rsidRPr="007B4E9D">
        <w:rPr>
          <w:rFonts w:eastAsia="Times New Roman"/>
        </w:rPr>
        <w:t>Letley</w:t>
      </w:r>
      <w:proofErr w:type="spellEnd"/>
      <w:r w:rsidRPr="007B4E9D">
        <w:rPr>
          <w:rFonts w:eastAsia="Times New Roman"/>
        </w:rPr>
        <w:t xml:space="preserve"> L, Hoek AJV, Silverton L, Donovan H, Adams C et al. Vaccination in pregnancy: Attitudes of nurses, midwives and health visitors in England. </w:t>
      </w:r>
      <w:r w:rsidRPr="0096652E">
        <w:rPr>
          <w:rStyle w:val="Emphasis"/>
          <w:rFonts w:eastAsia="Times New Roman"/>
          <w:b w:val="0"/>
        </w:rPr>
        <w:t xml:space="preserve">Hum </w:t>
      </w:r>
      <w:proofErr w:type="spellStart"/>
      <w:r w:rsidRPr="0096652E">
        <w:rPr>
          <w:rStyle w:val="Emphasis"/>
          <w:rFonts w:eastAsia="Times New Roman"/>
          <w:b w:val="0"/>
        </w:rPr>
        <w:t>Vaccin</w:t>
      </w:r>
      <w:proofErr w:type="spellEnd"/>
      <w:r w:rsidRPr="0096652E">
        <w:rPr>
          <w:rStyle w:val="Emphasis"/>
          <w:rFonts w:eastAsia="Times New Roman"/>
          <w:b w:val="0"/>
        </w:rPr>
        <w:t xml:space="preserve"> </w:t>
      </w:r>
      <w:proofErr w:type="spellStart"/>
      <w:r w:rsidRPr="0096652E">
        <w:rPr>
          <w:rStyle w:val="Emphasis"/>
          <w:rFonts w:eastAsia="Times New Roman"/>
          <w:b w:val="0"/>
        </w:rPr>
        <w:t>Immunother</w:t>
      </w:r>
      <w:proofErr w:type="spellEnd"/>
      <w:r w:rsidRPr="007B4E9D">
        <w:rPr>
          <w:rFonts w:eastAsia="Times New Roman"/>
        </w:rPr>
        <w:t xml:space="preserve">. 2018;14(1):179–88. </w:t>
      </w:r>
    </w:p>
    <w:p w14:paraId="74151A00"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Regan AK, Mak DB, Hauck YL, Gibbs R, Tracey L, </w:t>
      </w:r>
      <w:proofErr w:type="spellStart"/>
      <w:r w:rsidRPr="007B4E9D">
        <w:rPr>
          <w:rFonts w:eastAsia="Times New Roman"/>
        </w:rPr>
        <w:t>Effler</w:t>
      </w:r>
      <w:proofErr w:type="spellEnd"/>
      <w:r w:rsidRPr="007B4E9D">
        <w:rPr>
          <w:rFonts w:eastAsia="Times New Roman"/>
        </w:rPr>
        <w:t xml:space="preserve"> PV. Trends in seasonal influenza vaccine uptake during pregnancy in Western Australia: Implications for midwives. </w:t>
      </w:r>
      <w:r w:rsidRPr="0096652E">
        <w:rPr>
          <w:rStyle w:val="Emphasis"/>
          <w:rFonts w:eastAsia="Times New Roman"/>
          <w:b w:val="0"/>
        </w:rPr>
        <w:t>Women Birth</w:t>
      </w:r>
      <w:r w:rsidRPr="007B4E9D">
        <w:rPr>
          <w:rFonts w:eastAsia="Times New Roman"/>
        </w:rPr>
        <w:t xml:space="preserve">. 2016;29(5):423–9. </w:t>
      </w:r>
    </w:p>
    <w:p w14:paraId="689369CF"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Maher L, Hope K, </w:t>
      </w:r>
      <w:proofErr w:type="spellStart"/>
      <w:r w:rsidRPr="007B4E9D">
        <w:rPr>
          <w:rFonts w:eastAsia="Times New Roman"/>
        </w:rPr>
        <w:t>Torvaldsen</w:t>
      </w:r>
      <w:proofErr w:type="spellEnd"/>
      <w:r w:rsidRPr="007B4E9D">
        <w:rPr>
          <w:rFonts w:eastAsia="Times New Roman"/>
        </w:rPr>
        <w:t xml:space="preserve"> S, Lawrence G, Dawson A, Wiley K et al. Influenza vaccination during pregnancy: Coverage rates and influencing factors in two urban districts in Sydney. </w:t>
      </w:r>
      <w:r w:rsidRPr="0096652E">
        <w:rPr>
          <w:rStyle w:val="Emphasis"/>
          <w:rFonts w:eastAsia="Times New Roman"/>
          <w:b w:val="0"/>
        </w:rPr>
        <w:t>Vaccine</w:t>
      </w:r>
      <w:r w:rsidRPr="007B4E9D">
        <w:rPr>
          <w:rFonts w:eastAsia="Times New Roman"/>
        </w:rPr>
        <w:t xml:space="preserve">. 2013;31(47):5557–64. </w:t>
      </w:r>
    </w:p>
    <w:p w14:paraId="7A4F151E" w14:textId="77777777" w:rsidR="0035117A" w:rsidRPr="007B4E9D" w:rsidRDefault="0035117A" w:rsidP="007B4E9D">
      <w:pPr>
        <w:pStyle w:val="ListParagraph"/>
        <w:numPr>
          <w:ilvl w:val="0"/>
          <w:numId w:val="10"/>
        </w:numPr>
        <w:rPr>
          <w:rFonts w:eastAsia="Times New Roman"/>
        </w:rPr>
      </w:pPr>
      <w:r w:rsidRPr="007B4E9D">
        <w:rPr>
          <w:rFonts w:eastAsia="Times New Roman"/>
        </w:rPr>
        <w:t xml:space="preserve">Fell DB, Platt RW, Lanes A, Wilson K, Kaufman JS, Basso O et al. </w:t>
      </w:r>
      <w:proofErr w:type="spellStart"/>
      <w:r w:rsidRPr="007B4E9D">
        <w:rPr>
          <w:rFonts w:eastAsia="Times New Roman"/>
        </w:rPr>
        <w:t>Fetal</w:t>
      </w:r>
      <w:proofErr w:type="spellEnd"/>
      <w:r w:rsidRPr="007B4E9D">
        <w:rPr>
          <w:rFonts w:eastAsia="Times New Roman"/>
        </w:rPr>
        <w:t xml:space="preserve"> death and preterm birth associated with maternal influenza vaccination: systematic review. </w:t>
      </w:r>
      <w:r w:rsidRPr="0096652E">
        <w:rPr>
          <w:rStyle w:val="Emphasis"/>
          <w:rFonts w:eastAsia="Times New Roman"/>
          <w:b w:val="0"/>
        </w:rPr>
        <w:t>BJOG</w:t>
      </w:r>
      <w:r w:rsidRPr="007B4E9D">
        <w:rPr>
          <w:rFonts w:eastAsia="Times New Roman"/>
        </w:rPr>
        <w:t xml:space="preserve">. 2014;122(1):17–26. </w:t>
      </w:r>
    </w:p>
    <w:p w14:paraId="46EA27D1" w14:textId="77777777" w:rsidR="0035117A" w:rsidRPr="007B4E9D" w:rsidRDefault="0035117A" w:rsidP="007B4E9D">
      <w:pPr>
        <w:pStyle w:val="ListParagraph"/>
        <w:numPr>
          <w:ilvl w:val="0"/>
          <w:numId w:val="10"/>
        </w:numPr>
        <w:rPr>
          <w:rFonts w:eastAsia="Times New Roman"/>
        </w:rPr>
      </w:pPr>
      <w:proofErr w:type="spellStart"/>
      <w:r w:rsidRPr="007B4E9D">
        <w:rPr>
          <w:rFonts w:eastAsia="Times New Roman"/>
        </w:rPr>
        <w:t>Zerbo</w:t>
      </w:r>
      <w:proofErr w:type="spellEnd"/>
      <w:r w:rsidRPr="007B4E9D">
        <w:rPr>
          <w:rFonts w:eastAsia="Times New Roman"/>
        </w:rPr>
        <w:t xml:space="preserve"> O, </w:t>
      </w:r>
      <w:proofErr w:type="spellStart"/>
      <w:r w:rsidRPr="007B4E9D">
        <w:rPr>
          <w:rFonts w:eastAsia="Times New Roman"/>
        </w:rPr>
        <w:t>Modaressi</w:t>
      </w:r>
      <w:proofErr w:type="spellEnd"/>
      <w:r w:rsidRPr="007B4E9D">
        <w:rPr>
          <w:rFonts w:eastAsia="Times New Roman"/>
        </w:rPr>
        <w:t xml:space="preserve"> S, Chan B, Goddard K, Lewis N, Bok K et al. No association between influenza vaccination during pregnancy and adverse birth outcomes. </w:t>
      </w:r>
      <w:r w:rsidRPr="0096652E">
        <w:rPr>
          <w:rStyle w:val="Emphasis"/>
          <w:rFonts w:eastAsia="Times New Roman"/>
          <w:b w:val="0"/>
        </w:rPr>
        <w:t>Vaccine.</w:t>
      </w:r>
      <w:r w:rsidRPr="007B4E9D">
        <w:rPr>
          <w:rFonts w:eastAsia="Times New Roman"/>
        </w:rPr>
        <w:t xml:space="preserve"> 2017;35(24):3186–90.</w:t>
      </w:r>
    </w:p>
    <w:p w14:paraId="200669F3" w14:textId="77777777" w:rsidR="008B5348" w:rsidRDefault="008B5348">
      <w:pPr>
        <w:rPr>
          <w:rStyle w:val="A10"/>
        </w:rPr>
      </w:pPr>
    </w:p>
    <w:p w14:paraId="311B4DC5"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7F8344C5"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9F24156"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DC15F2E" w14:textId="77777777" w:rsidR="000A5F42" w:rsidRPr="000606CC" w:rsidRDefault="000A5F42" w:rsidP="000A5F42">
      <w:pPr>
        <w:pStyle w:val="NoSpacing"/>
        <w:rPr>
          <w:rStyle w:val="URI"/>
          <w:rFonts w:cstheme="minorHAnsi"/>
          <w:sz w:val="20"/>
          <w:szCs w:val="18"/>
        </w:rPr>
      </w:pPr>
    </w:p>
    <w:p w14:paraId="4E6D2082"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4B84E8ED" w14:textId="77777777" w:rsidR="000A5F42" w:rsidRPr="000606CC" w:rsidRDefault="000A5F42" w:rsidP="000A5F42">
      <w:pPr>
        <w:pStyle w:val="NoSpacing"/>
        <w:rPr>
          <w:rStyle w:val="Strong"/>
          <w:rFonts w:cstheme="minorHAnsi"/>
          <w:sz w:val="20"/>
          <w:szCs w:val="18"/>
        </w:rPr>
      </w:pPr>
    </w:p>
    <w:p w14:paraId="44E8B3C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2E4681E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1F38C15"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751EEC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7D42FAE5" w14:textId="77777777" w:rsidR="000A5F42" w:rsidRPr="000606CC" w:rsidRDefault="000A5F42" w:rsidP="000A5F42">
      <w:pPr>
        <w:pStyle w:val="NoSpacing"/>
        <w:rPr>
          <w:rStyle w:val="Strong"/>
          <w:rFonts w:cstheme="minorHAnsi"/>
          <w:sz w:val="20"/>
          <w:szCs w:val="18"/>
        </w:rPr>
      </w:pPr>
    </w:p>
    <w:p w14:paraId="0DA02DE3" w14:textId="20A52DC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50D1955" w14:textId="77777777" w:rsidR="000A5F42" w:rsidRPr="000606CC" w:rsidRDefault="000A5F42" w:rsidP="000A5F42">
      <w:pPr>
        <w:pStyle w:val="NoSpacing"/>
        <w:rPr>
          <w:rStyle w:val="Strong"/>
          <w:rFonts w:cstheme="minorHAnsi"/>
          <w:sz w:val="20"/>
          <w:szCs w:val="18"/>
        </w:rPr>
      </w:pPr>
    </w:p>
    <w:p w14:paraId="7291B0B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A361AD9" w14:textId="77777777" w:rsidR="000A5F42" w:rsidRPr="000606CC" w:rsidRDefault="000A5F42" w:rsidP="000A5F42">
      <w:pPr>
        <w:pStyle w:val="NoSpacing"/>
        <w:rPr>
          <w:rStyle w:val="Strong"/>
          <w:rFonts w:cstheme="minorHAnsi"/>
          <w:sz w:val="20"/>
          <w:szCs w:val="18"/>
        </w:rPr>
      </w:pPr>
    </w:p>
    <w:p w14:paraId="68B0EF17" w14:textId="59695FB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6D133A6" w14:textId="77777777" w:rsidR="000A5F42" w:rsidRPr="000606CC" w:rsidRDefault="000A5F42" w:rsidP="000A5F42">
      <w:pPr>
        <w:pStyle w:val="NoSpacing"/>
        <w:rPr>
          <w:rStyle w:val="Strong"/>
          <w:rFonts w:cstheme="minorHAnsi"/>
          <w:sz w:val="20"/>
          <w:szCs w:val="18"/>
        </w:rPr>
      </w:pPr>
    </w:p>
    <w:p w14:paraId="02B74F89" w14:textId="4643142A"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D72E148" w14:textId="71CFE90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4B396EEF" w14:textId="77777777" w:rsidR="000A5F42" w:rsidRPr="000606CC" w:rsidRDefault="000A5F42" w:rsidP="000A5F42">
      <w:pPr>
        <w:pStyle w:val="NoSpacing"/>
        <w:pBdr>
          <w:bottom w:val="single" w:sz="6" w:space="1" w:color="auto"/>
        </w:pBdr>
        <w:rPr>
          <w:rStyle w:val="Strong"/>
          <w:rFonts w:cstheme="minorHAnsi"/>
          <w:sz w:val="12"/>
          <w:szCs w:val="18"/>
        </w:rPr>
      </w:pPr>
    </w:p>
    <w:p w14:paraId="7561A741" w14:textId="77777777" w:rsidR="000A5F42" w:rsidRPr="000606CC" w:rsidRDefault="000A5F42" w:rsidP="000A5F42">
      <w:pPr>
        <w:pStyle w:val="NoSpacing"/>
        <w:rPr>
          <w:rFonts w:cstheme="minorHAnsi"/>
          <w:sz w:val="20"/>
          <w:szCs w:val="18"/>
        </w:rPr>
      </w:pPr>
    </w:p>
    <w:p w14:paraId="3E5A600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C239AE1" w14:textId="77777777" w:rsidR="000A5F42" w:rsidRPr="000606CC" w:rsidRDefault="000A5F42" w:rsidP="000A5F42">
      <w:pPr>
        <w:pStyle w:val="NoSpacing"/>
        <w:rPr>
          <w:rFonts w:cstheme="minorHAnsi"/>
          <w:sz w:val="20"/>
          <w:szCs w:val="18"/>
        </w:rPr>
      </w:pPr>
    </w:p>
    <w:p w14:paraId="6CF9808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AC3BBBE"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02062AA4" w14:textId="5422BCE1"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19E750C" w14:textId="77777777" w:rsidR="000A5F42" w:rsidRPr="000606CC" w:rsidRDefault="000A5F42" w:rsidP="000A5F42">
      <w:pPr>
        <w:pStyle w:val="NoSpacing"/>
        <w:rPr>
          <w:rFonts w:cstheme="minorHAnsi"/>
          <w:sz w:val="20"/>
          <w:szCs w:val="18"/>
        </w:rPr>
      </w:pPr>
    </w:p>
    <w:p w14:paraId="76FD324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A7F250F" w14:textId="0C1BC161"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ABDAB1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495A11E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F6DEF1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779F7D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D2676BB" w14:textId="77777777" w:rsidR="000A5F42" w:rsidRPr="000606CC" w:rsidRDefault="000A5F42" w:rsidP="000A5F42">
      <w:pPr>
        <w:pStyle w:val="NoSpacing"/>
        <w:rPr>
          <w:rStyle w:val="Strong"/>
          <w:rFonts w:cstheme="minorHAnsi"/>
          <w:sz w:val="20"/>
          <w:szCs w:val="18"/>
        </w:rPr>
      </w:pPr>
    </w:p>
    <w:p w14:paraId="47A5CC8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EA46D20" w14:textId="77777777" w:rsidR="000A5F42" w:rsidRPr="000606CC" w:rsidRDefault="000A5F42" w:rsidP="000A5F42">
      <w:pPr>
        <w:pStyle w:val="NoSpacing"/>
        <w:rPr>
          <w:rStyle w:val="Strong"/>
          <w:rFonts w:cstheme="minorHAnsi"/>
          <w:sz w:val="20"/>
          <w:szCs w:val="18"/>
        </w:rPr>
      </w:pPr>
    </w:p>
    <w:p w14:paraId="44FB37CC" w14:textId="5FB6AC2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4985869" w14:textId="77777777" w:rsidR="000A5F42" w:rsidRPr="000606CC" w:rsidRDefault="000A5F42" w:rsidP="000A5F42">
      <w:pPr>
        <w:pStyle w:val="NoSpacing"/>
        <w:rPr>
          <w:rStyle w:val="URI"/>
          <w:rFonts w:cstheme="minorHAnsi"/>
          <w:sz w:val="20"/>
          <w:szCs w:val="18"/>
        </w:rPr>
      </w:pPr>
    </w:p>
    <w:p w14:paraId="1384A30B" w14:textId="738B92F2"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626F89E0"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7BD9" w14:textId="77777777" w:rsidR="00A84DC5" w:rsidRDefault="00A84DC5" w:rsidP="00E54DBA">
      <w:r>
        <w:separator/>
      </w:r>
    </w:p>
    <w:p w14:paraId="5EA111B7" w14:textId="77777777" w:rsidR="00A84DC5" w:rsidRDefault="00A84DC5"/>
    <w:p w14:paraId="64318A2C" w14:textId="77777777" w:rsidR="00A84DC5" w:rsidRDefault="00A84DC5" w:rsidP="008714B0"/>
  </w:endnote>
  <w:endnote w:type="continuationSeparator" w:id="0">
    <w:p w14:paraId="08DDCAEA" w14:textId="77777777" w:rsidR="00A84DC5" w:rsidRDefault="00A84DC5" w:rsidP="00E54DBA">
      <w:r>
        <w:continuationSeparator/>
      </w:r>
    </w:p>
    <w:p w14:paraId="3FBE1A0C" w14:textId="77777777" w:rsidR="00A84DC5" w:rsidRDefault="00A84DC5"/>
    <w:p w14:paraId="7AFA0A2F" w14:textId="77777777" w:rsidR="00A84DC5" w:rsidRDefault="00A84DC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AD3A" w14:textId="77777777" w:rsidR="007A69A0" w:rsidRPr="0042435E" w:rsidRDefault="007A69A0"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D4200">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AD4200">
      <w:rPr>
        <w:noProof/>
        <w:sz w:val="18"/>
      </w:rPr>
      <w:t>16</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96652E">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967BE">
      <w:rPr>
        <w:sz w:val="18"/>
      </w:rPr>
      <w:t>https://doi.org/10.33321/cdi.2019.43.49</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AD4200">
      <w:rPr>
        <w:sz w:val="18"/>
      </w:rPr>
      <w:t>18/11/2019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4FB6" w14:textId="77777777" w:rsidR="007A69A0" w:rsidRPr="00BB5378" w:rsidRDefault="007A69A0"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D4200">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AD4200">
      <w:rPr>
        <w:noProof/>
        <w:sz w:val="18"/>
      </w:rPr>
      <w:t>16</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96652E">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967BE">
      <w:rPr>
        <w:sz w:val="18"/>
      </w:rPr>
      <w:t>https://doi.org/10.33321/cdi.2019.43.49</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AD4200">
      <w:rPr>
        <w:sz w:val="18"/>
      </w:rPr>
      <w:t>18/11/2019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C7E2" w14:textId="77777777" w:rsidR="00A84DC5" w:rsidRDefault="00A84DC5" w:rsidP="00E54DBA">
      <w:r>
        <w:separator/>
      </w:r>
    </w:p>
  </w:footnote>
  <w:footnote w:type="continuationSeparator" w:id="0">
    <w:p w14:paraId="1D21B6AD" w14:textId="77777777" w:rsidR="00A84DC5" w:rsidRDefault="00A84DC5" w:rsidP="00E54DBA">
      <w:r>
        <w:continuationSeparator/>
      </w:r>
    </w:p>
  </w:footnote>
  <w:footnote w:type="continuationNotice" w:id="1">
    <w:p w14:paraId="41A2FD38" w14:textId="77777777" w:rsidR="00A84DC5" w:rsidRDefault="00A84DC5">
      <w:pPr>
        <w:spacing w:after="0" w:line="240" w:lineRule="auto"/>
      </w:pPr>
    </w:p>
  </w:footnote>
  <w:footnote w:id="2">
    <w:p w14:paraId="6525D394" w14:textId="77777777" w:rsidR="007A69A0" w:rsidRDefault="007A69A0" w:rsidP="005100D5">
      <w:pPr>
        <w:pStyle w:val="FootnoteText"/>
      </w:pPr>
      <w:r>
        <w:rPr>
          <w:rStyle w:val="FootnoteReference"/>
        </w:rPr>
        <w:footnoteRef/>
      </w:r>
      <w:r>
        <w:t xml:space="preserve"> Since April 2019, influenza vaccine is funded for all Indigenous Australians above the age of 6 months under the National Immunisation Program</w:t>
      </w:r>
    </w:p>
  </w:footnote>
  <w:footnote w:id="3">
    <w:p w14:paraId="7732BE1D" w14:textId="77777777" w:rsidR="007A69A0" w:rsidRDefault="007A69A0" w:rsidP="004426C8">
      <w:pPr>
        <w:pStyle w:val="FootnoteText"/>
      </w:pPr>
      <w:r>
        <w:rPr>
          <w:rStyle w:val="FootnoteReference"/>
        </w:rPr>
        <w:footnoteRef/>
      </w:r>
      <w:r>
        <w:t xml:space="preserve"> Since April 2019, ATAGI has recommended for women who received an influenza vaccine late in the 2018 influenza season to revaccinate if the 2019 influenza vaccine becomes available before the end of pregnancy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DA71" w14:textId="77777777" w:rsidR="007A69A0" w:rsidRPr="00A153B6" w:rsidRDefault="002C741D" w:rsidP="00A153B6">
    <w:pPr>
      <w:pStyle w:val="Header"/>
      <w:pBdr>
        <w:bottom w:val="single" w:sz="6" w:space="1" w:color="auto"/>
      </w:pBdr>
    </w:pPr>
    <w:sdt>
      <w:sdtPr>
        <w:alias w:val="Category"/>
        <w:tag w:val=""/>
        <w:id w:val="942036027"/>
        <w:dataBinding w:prefixMappings="xmlns:ns0='http://purl.org/dc/elements/1.1/' xmlns:ns1='http://schemas.openxmlformats.org/package/2006/metadata/core-properties' " w:xpath="/ns1:coreProperties[1]/ns1:category[1]" w:storeItemID="{6C3C8BC8-F283-45AE-878A-BAB7291924A1}"/>
        <w:text/>
      </w:sdtPr>
      <w:sdtEndPr/>
      <w:sdtContent>
        <w:r w:rsidR="007A69A0">
          <w:t>Original article</w:t>
        </w:r>
      </w:sdtContent>
    </w:sdt>
    <w:r w:rsidR="007A69A0">
      <w:ptab w:relativeTo="margin" w:alignment="right" w:leader="none"/>
    </w:r>
    <w:r w:rsidR="007A69A0"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E876" w14:textId="77777777" w:rsidR="007A69A0" w:rsidRPr="000A5F42" w:rsidRDefault="007A69A0" w:rsidP="000A5F42">
    <w:pPr>
      <w:pStyle w:val="Header"/>
      <w:jc w:val="center"/>
      <w:rPr>
        <w:b/>
      </w:rPr>
    </w:pPr>
    <w:r w:rsidRPr="00E810C5">
      <w:rPr>
        <w:rFonts w:cs="Myriad Pro"/>
        <w:noProof/>
        <w:color w:val="211D1E"/>
        <w:sz w:val="16"/>
      </w:rPr>
      <w:drawing>
        <wp:inline distT="0" distB="0" distL="0" distR="0" wp14:anchorId="276191DF"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25E75"/>
    <w:multiLevelType w:val="hybridMultilevel"/>
    <w:tmpl w:val="D82005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AC05F8"/>
    <w:multiLevelType w:val="multilevel"/>
    <w:tmpl w:val="7610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D344FE"/>
    <w:multiLevelType w:val="hybridMultilevel"/>
    <w:tmpl w:val="21C010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BA0B79"/>
    <w:multiLevelType w:val="multilevel"/>
    <w:tmpl w:val="8D8CA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5802802">
    <w:abstractNumId w:val="3"/>
  </w:num>
  <w:num w:numId="2" w16cid:durableId="1090546227">
    <w:abstractNumId w:val="6"/>
  </w:num>
  <w:num w:numId="3" w16cid:durableId="581986890">
    <w:abstractNumId w:val="7"/>
  </w:num>
  <w:num w:numId="4" w16cid:durableId="215705778">
    <w:abstractNumId w:val="2"/>
  </w:num>
  <w:num w:numId="5" w16cid:durableId="418675176">
    <w:abstractNumId w:val="8"/>
  </w:num>
  <w:num w:numId="6" w16cid:durableId="355932502">
    <w:abstractNumId w:val="9"/>
  </w:num>
  <w:num w:numId="7" w16cid:durableId="1790582556">
    <w:abstractNumId w:val="5"/>
  </w:num>
  <w:num w:numId="8" w16cid:durableId="855000989">
    <w:abstractNumId w:val="1"/>
  </w:num>
  <w:num w:numId="9" w16cid:durableId="1937326935">
    <w:abstractNumId w:val="0"/>
  </w:num>
  <w:num w:numId="10" w16cid:durableId="1566722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noPunctuationKerning/>
  <w:characterSpacingControl w:val="doNotCompress"/>
  <w:hdrShapeDefaults>
    <o:shapedefaults v:ext="edit" spidmax="1228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574"/>
    <w:rsid w:val="00000B5B"/>
    <w:rsid w:val="00001611"/>
    <w:rsid w:val="00001D62"/>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104C"/>
    <w:rsid w:val="000A5F42"/>
    <w:rsid w:val="000D4B4D"/>
    <w:rsid w:val="000F58D9"/>
    <w:rsid w:val="00113D58"/>
    <w:rsid w:val="001321E2"/>
    <w:rsid w:val="00132B40"/>
    <w:rsid w:val="001378A3"/>
    <w:rsid w:val="00143A41"/>
    <w:rsid w:val="00155582"/>
    <w:rsid w:val="00161590"/>
    <w:rsid w:val="00162798"/>
    <w:rsid w:val="00171CC0"/>
    <w:rsid w:val="00173EAA"/>
    <w:rsid w:val="00175494"/>
    <w:rsid w:val="00175629"/>
    <w:rsid w:val="001830EC"/>
    <w:rsid w:val="00183534"/>
    <w:rsid w:val="00186B15"/>
    <w:rsid w:val="001A4A96"/>
    <w:rsid w:val="001A5D05"/>
    <w:rsid w:val="001A796C"/>
    <w:rsid w:val="001B2614"/>
    <w:rsid w:val="001B37B8"/>
    <w:rsid w:val="001B552F"/>
    <w:rsid w:val="001C0893"/>
    <w:rsid w:val="001C1303"/>
    <w:rsid w:val="001C4D35"/>
    <w:rsid w:val="001C70B2"/>
    <w:rsid w:val="001D2D4B"/>
    <w:rsid w:val="001D37C7"/>
    <w:rsid w:val="001D6888"/>
    <w:rsid w:val="00204691"/>
    <w:rsid w:val="00225CC0"/>
    <w:rsid w:val="002276DC"/>
    <w:rsid w:val="00227E00"/>
    <w:rsid w:val="002307CB"/>
    <w:rsid w:val="00231046"/>
    <w:rsid w:val="00234F21"/>
    <w:rsid w:val="00242659"/>
    <w:rsid w:val="002428F7"/>
    <w:rsid w:val="0024315F"/>
    <w:rsid w:val="00252C9A"/>
    <w:rsid w:val="0025335B"/>
    <w:rsid w:val="00256309"/>
    <w:rsid w:val="00257484"/>
    <w:rsid w:val="00260636"/>
    <w:rsid w:val="00270DC1"/>
    <w:rsid w:val="00275C78"/>
    <w:rsid w:val="00280594"/>
    <w:rsid w:val="00281EE3"/>
    <w:rsid w:val="00284E4A"/>
    <w:rsid w:val="00294AB2"/>
    <w:rsid w:val="002A3799"/>
    <w:rsid w:val="002A3BCC"/>
    <w:rsid w:val="002A4516"/>
    <w:rsid w:val="002A569F"/>
    <w:rsid w:val="002A7066"/>
    <w:rsid w:val="002B001E"/>
    <w:rsid w:val="002B09B7"/>
    <w:rsid w:val="002B75A9"/>
    <w:rsid w:val="002C21B0"/>
    <w:rsid w:val="002C741D"/>
    <w:rsid w:val="002E2FB3"/>
    <w:rsid w:val="002F327B"/>
    <w:rsid w:val="00301626"/>
    <w:rsid w:val="003059EC"/>
    <w:rsid w:val="00316CCD"/>
    <w:rsid w:val="00324F7E"/>
    <w:rsid w:val="003323BC"/>
    <w:rsid w:val="0033333B"/>
    <w:rsid w:val="0033385C"/>
    <w:rsid w:val="00346D42"/>
    <w:rsid w:val="00346E11"/>
    <w:rsid w:val="00347F73"/>
    <w:rsid w:val="0035117A"/>
    <w:rsid w:val="003601C0"/>
    <w:rsid w:val="003635F5"/>
    <w:rsid w:val="00372A88"/>
    <w:rsid w:val="00381A0F"/>
    <w:rsid w:val="003A1B3A"/>
    <w:rsid w:val="003A40F5"/>
    <w:rsid w:val="003A506E"/>
    <w:rsid w:val="003B5B8C"/>
    <w:rsid w:val="003C037B"/>
    <w:rsid w:val="003C6574"/>
    <w:rsid w:val="003D5BE7"/>
    <w:rsid w:val="003D79B1"/>
    <w:rsid w:val="003E74EE"/>
    <w:rsid w:val="003F0552"/>
    <w:rsid w:val="003F12CD"/>
    <w:rsid w:val="003F3BC2"/>
    <w:rsid w:val="00401ED1"/>
    <w:rsid w:val="0040224C"/>
    <w:rsid w:val="00413EE1"/>
    <w:rsid w:val="004164BB"/>
    <w:rsid w:val="00421ECE"/>
    <w:rsid w:val="00422FEB"/>
    <w:rsid w:val="0042435E"/>
    <w:rsid w:val="004315F5"/>
    <w:rsid w:val="00433456"/>
    <w:rsid w:val="00433DFA"/>
    <w:rsid w:val="00435D67"/>
    <w:rsid w:val="004426C8"/>
    <w:rsid w:val="004519DF"/>
    <w:rsid w:val="00464A58"/>
    <w:rsid w:val="00465165"/>
    <w:rsid w:val="00473D2D"/>
    <w:rsid w:val="00487930"/>
    <w:rsid w:val="004A2125"/>
    <w:rsid w:val="004A38F6"/>
    <w:rsid w:val="004B4EB6"/>
    <w:rsid w:val="004C083C"/>
    <w:rsid w:val="004C67C6"/>
    <w:rsid w:val="004D29DE"/>
    <w:rsid w:val="005100D5"/>
    <w:rsid w:val="00510EAC"/>
    <w:rsid w:val="00542A57"/>
    <w:rsid w:val="005732C0"/>
    <w:rsid w:val="0057336D"/>
    <w:rsid w:val="0057489A"/>
    <w:rsid w:val="00574ACF"/>
    <w:rsid w:val="00581588"/>
    <w:rsid w:val="0058540B"/>
    <w:rsid w:val="00587C87"/>
    <w:rsid w:val="00590B80"/>
    <w:rsid w:val="00595A90"/>
    <w:rsid w:val="005B3134"/>
    <w:rsid w:val="005B4E61"/>
    <w:rsid w:val="005B595A"/>
    <w:rsid w:val="005B66C2"/>
    <w:rsid w:val="005D2465"/>
    <w:rsid w:val="005E4229"/>
    <w:rsid w:val="005E540E"/>
    <w:rsid w:val="005E55FB"/>
    <w:rsid w:val="005F16BB"/>
    <w:rsid w:val="00601D07"/>
    <w:rsid w:val="00607115"/>
    <w:rsid w:val="00607E5A"/>
    <w:rsid w:val="00610A35"/>
    <w:rsid w:val="00620768"/>
    <w:rsid w:val="0062594B"/>
    <w:rsid w:val="00631406"/>
    <w:rsid w:val="006324FF"/>
    <w:rsid w:val="006351D6"/>
    <w:rsid w:val="00636E0D"/>
    <w:rsid w:val="0064142F"/>
    <w:rsid w:val="00643CB4"/>
    <w:rsid w:val="00656427"/>
    <w:rsid w:val="00660255"/>
    <w:rsid w:val="006971F3"/>
    <w:rsid w:val="006C4F86"/>
    <w:rsid w:val="006C74A3"/>
    <w:rsid w:val="006D1381"/>
    <w:rsid w:val="006D31BC"/>
    <w:rsid w:val="006E0DE4"/>
    <w:rsid w:val="006E7943"/>
    <w:rsid w:val="006F0557"/>
    <w:rsid w:val="006F24EA"/>
    <w:rsid w:val="00704CA9"/>
    <w:rsid w:val="0071048D"/>
    <w:rsid w:val="00710CB1"/>
    <w:rsid w:val="00710F86"/>
    <w:rsid w:val="007111A8"/>
    <w:rsid w:val="00731BC3"/>
    <w:rsid w:val="00741192"/>
    <w:rsid w:val="00743A33"/>
    <w:rsid w:val="00746080"/>
    <w:rsid w:val="0075144A"/>
    <w:rsid w:val="00772E72"/>
    <w:rsid w:val="00786329"/>
    <w:rsid w:val="00792C7D"/>
    <w:rsid w:val="00794A4D"/>
    <w:rsid w:val="007A5234"/>
    <w:rsid w:val="007A69A0"/>
    <w:rsid w:val="007B4E9D"/>
    <w:rsid w:val="007B7854"/>
    <w:rsid w:val="007C56A1"/>
    <w:rsid w:val="007C6454"/>
    <w:rsid w:val="007E01E0"/>
    <w:rsid w:val="007F0B93"/>
    <w:rsid w:val="007F2ECA"/>
    <w:rsid w:val="00804AF3"/>
    <w:rsid w:val="00811708"/>
    <w:rsid w:val="00816B90"/>
    <w:rsid w:val="00817799"/>
    <w:rsid w:val="00820788"/>
    <w:rsid w:val="00822F5F"/>
    <w:rsid w:val="00824FD3"/>
    <w:rsid w:val="00826589"/>
    <w:rsid w:val="0083447F"/>
    <w:rsid w:val="00834BCC"/>
    <w:rsid w:val="00850D54"/>
    <w:rsid w:val="008537B2"/>
    <w:rsid w:val="00866F8A"/>
    <w:rsid w:val="008714B0"/>
    <w:rsid w:val="00876331"/>
    <w:rsid w:val="00880726"/>
    <w:rsid w:val="008967BE"/>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4919"/>
    <w:rsid w:val="00935DC9"/>
    <w:rsid w:val="009446C0"/>
    <w:rsid w:val="0096082E"/>
    <w:rsid w:val="00961347"/>
    <w:rsid w:val="0096652E"/>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426B"/>
    <w:rsid w:val="00A36C65"/>
    <w:rsid w:val="00A41BBE"/>
    <w:rsid w:val="00A45BDD"/>
    <w:rsid w:val="00A46A0A"/>
    <w:rsid w:val="00A553F8"/>
    <w:rsid w:val="00A6708F"/>
    <w:rsid w:val="00A71BF6"/>
    <w:rsid w:val="00A84DC5"/>
    <w:rsid w:val="00A86F9A"/>
    <w:rsid w:val="00AA35E6"/>
    <w:rsid w:val="00AA50B6"/>
    <w:rsid w:val="00AB3472"/>
    <w:rsid w:val="00AD0762"/>
    <w:rsid w:val="00AD4200"/>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15628"/>
    <w:rsid w:val="00C22338"/>
    <w:rsid w:val="00C24725"/>
    <w:rsid w:val="00C30BA9"/>
    <w:rsid w:val="00C3541E"/>
    <w:rsid w:val="00C36A8F"/>
    <w:rsid w:val="00C42FFA"/>
    <w:rsid w:val="00C507D8"/>
    <w:rsid w:val="00C62EAC"/>
    <w:rsid w:val="00C63F9F"/>
    <w:rsid w:val="00C7723C"/>
    <w:rsid w:val="00C826E7"/>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275BC"/>
    <w:rsid w:val="00D342BC"/>
    <w:rsid w:val="00D373A1"/>
    <w:rsid w:val="00D37C0F"/>
    <w:rsid w:val="00D41F22"/>
    <w:rsid w:val="00D45661"/>
    <w:rsid w:val="00D45943"/>
    <w:rsid w:val="00D47D22"/>
    <w:rsid w:val="00D51865"/>
    <w:rsid w:val="00D51D0C"/>
    <w:rsid w:val="00D74140"/>
    <w:rsid w:val="00DA6E56"/>
    <w:rsid w:val="00DC1762"/>
    <w:rsid w:val="00DC6705"/>
    <w:rsid w:val="00DD2DE8"/>
    <w:rsid w:val="00DE38B4"/>
    <w:rsid w:val="00DE5D02"/>
    <w:rsid w:val="00DE75CE"/>
    <w:rsid w:val="00E005A9"/>
    <w:rsid w:val="00E1166E"/>
    <w:rsid w:val="00E24DC0"/>
    <w:rsid w:val="00E2519C"/>
    <w:rsid w:val="00E25F2A"/>
    <w:rsid w:val="00E27BF5"/>
    <w:rsid w:val="00E41455"/>
    <w:rsid w:val="00E42AD2"/>
    <w:rsid w:val="00E46D07"/>
    <w:rsid w:val="00E50856"/>
    <w:rsid w:val="00E538CC"/>
    <w:rsid w:val="00E54DBA"/>
    <w:rsid w:val="00E63D7C"/>
    <w:rsid w:val="00E640D5"/>
    <w:rsid w:val="00E64C82"/>
    <w:rsid w:val="00E67691"/>
    <w:rsid w:val="00E92237"/>
    <w:rsid w:val="00E951EF"/>
    <w:rsid w:val="00EA3D54"/>
    <w:rsid w:val="00EA56D9"/>
    <w:rsid w:val="00EA5CE3"/>
    <w:rsid w:val="00EB51C1"/>
    <w:rsid w:val="00EB5AE1"/>
    <w:rsid w:val="00EB5E0B"/>
    <w:rsid w:val="00EC2171"/>
    <w:rsid w:val="00ED3CB6"/>
    <w:rsid w:val="00ED442D"/>
    <w:rsid w:val="00ED70C2"/>
    <w:rsid w:val="00EE18FF"/>
    <w:rsid w:val="00EE3BBA"/>
    <w:rsid w:val="00EE489F"/>
    <w:rsid w:val="00F0647F"/>
    <w:rsid w:val="00F10CE3"/>
    <w:rsid w:val="00F14F3B"/>
    <w:rsid w:val="00F16362"/>
    <w:rsid w:val="00F207C7"/>
    <w:rsid w:val="00F36B6D"/>
    <w:rsid w:val="00F43FA3"/>
    <w:rsid w:val="00F463DD"/>
    <w:rsid w:val="00F55648"/>
    <w:rsid w:val="00F70046"/>
    <w:rsid w:val="00F748C2"/>
    <w:rsid w:val="00F76C5C"/>
    <w:rsid w:val="00F81EF3"/>
    <w:rsid w:val="00F84496"/>
    <w:rsid w:val="00F85DCB"/>
    <w:rsid w:val="00F86F9C"/>
    <w:rsid w:val="00F91BEA"/>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0C768C"/>
  <w15:docId w15:val="{09E83E10-15E3-4D62-BD7D-4BFD681F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5100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0D5"/>
    <w:rPr>
      <w:sz w:val="20"/>
      <w:szCs w:val="20"/>
    </w:rPr>
  </w:style>
  <w:style w:type="character" w:styleId="FootnoteReference">
    <w:name w:val="footnote reference"/>
    <w:basedOn w:val="DefaultParagraphFont"/>
    <w:uiPriority w:val="99"/>
    <w:semiHidden/>
    <w:unhideWhenUsed/>
    <w:rsid w:val="005100D5"/>
    <w:rPr>
      <w:vertAlign w:val="superscript"/>
    </w:rPr>
  </w:style>
  <w:style w:type="character" w:styleId="CommentReference">
    <w:name w:val="annotation reference"/>
    <w:basedOn w:val="DefaultParagraphFont"/>
    <w:uiPriority w:val="99"/>
    <w:semiHidden/>
    <w:unhideWhenUsed/>
    <w:rsid w:val="007A69A0"/>
    <w:rPr>
      <w:sz w:val="16"/>
      <w:szCs w:val="16"/>
    </w:rPr>
  </w:style>
  <w:style w:type="paragraph" w:styleId="CommentText">
    <w:name w:val="annotation text"/>
    <w:basedOn w:val="Normal"/>
    <w:link w:val="CommentTextChar"/>
    <w:uiPriority w:val="99"/>
    <w:semiHidden/>
    <w:unhideWhenUsed/>
    <w:rsid w:val="007A69A0"/>
    <w:pPr>
      <w:spacing w:line="240" w:lineRule="auto"/>
    </w:pPr>
    <w:rPr>
      <w:sz w:val="20"/>
      <w:szCs w:val="20"/>
    </w:rPr>
  </w:style>
  <w:style w:type="character" w:customStyle="1" w:styleId="CommentTextChar">
    <w:name w:val="Comment Text Char"/>
    <w:basedOn w:val="DefaultParagraphFont"/>
    <w:link w:val="CommentText"/>
    <w:uiPriority w:val="99"/>
    <w:semiHidden/>
    <w:rsid w:val="007A69A0"/>
    <w:rPr>
      <w:sz w:val="20"/>
      <w:szCs w:val="20"/>
    </w:rPr>
  </w:style>
  <w:style w:type="paragraph" w:styleId="CommentSubject">
    <w:name w:val="annotation subject"/>
    <w:basedOn w:val="CommentText"/>
    <w:next w:val="CommentText"/>
    <w:link w:val="CommentSubjectChar"/>
    <w:uiPriority w:val="99"/>
    <w:semiHidden/>
    <w:unhideWhenUsed/>
    <w:rsid w:val="007A69A0"/>
    <w:rPr>
      <w:b/>
      <w:bCs/>
    </w:rPr>
  </w:style>
  <w:style w:type="character" w:customStyle="1" w:styleId="CommentSubjectChar">
    <w:name w:val="Comment Subject Char"/>
    <w:basedOn w:val="CommentTextChar"/>
    <w:link w:val="CommentSubject"/>
    <w:uiPriority w:val="99"/>
    <w:semiHidden/>
    <w:rsid w:val="007A69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EC359C-58C6-4DAC-AF3E-0793F460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5065</Words>
  <Characters>30732</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Communicable Diseases Intelligence 2019 - Gaps in maternal influenza vaccine uptake in Northern Territory: A need for a year-round influenza vaccination campaign</vt:lpstr>
    </vt:vector>
  </TitlesOfParts>
  <Manager/>
  <Company>Australian Government, Department of Health</Company>
  <LinksUpToDate>false</LinksUpToDate>
  <CharactersWithSpaces>35726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Gaps in maternal influenza vaccine uptake in Northern Territory: A need for a year-round influenza vaccination campaign</dc:title>
  <dc:subject>The aim of this study was to assess the maternal influenza vaccination uptake in Northern Territory public hospitals and identify gaps to improve uptake. A distinct immunisation administration pattern was noted for 2016 with 58.9% of vaccinations occurring between April and June regardless of Indigenous status and maternal gestational age. A year-round maternal influenza vaccination campaign is crucial to avoid missed opportunities and increase vaccination protection for mother and baby.</dc:subject>
  <dc:creator>Priya Darshene Janagaraj;Pari Shanmuga Raman Gurusamy;Rosalind Webby</dc:creator>
  <cp:keywords>; Maternal; pregnancy; influenza; Aboriginal; vaccination; Northern Territory; uptake; gaps</cp:keywords>
  <dc:description>© Commonwealth of Australia CC BY-NC-ND ISSN: 2209-6051 (Online)</dc:description>
  <cp:lastPrinted>2018-05-10T02:19:00Z</cp:lastPrinted>
  <dcterms:created xsi:type="dcterms:W3CDTF">2024-08-27T23:16:00Z</dcterms:created>
  <dcterms:modified xsi:type="dcterms:W3CDTF">2024-08-27T23:16:00Z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18/11/2019</vt:lpwstr>
  </property>
  <property fmtid="{D5CDD505-2E9C-101B-9397-08002B2CF9AE}" pid="5" name="DOI">
    <vt:lpwstr>https://doi.org/10.33321/cdi.2019.43.49</vt:lpwstr>
  </property>
</Properties>
</file>