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90B3E" w14:textId="77777777" w:rsidR="00E87D5B" w:rsidRDefault="00E87D5B" w:rsidP="007A6632">
      <w:pPr>
        <w:pStyle w:val="Title"/>
        <w:rPr>
          <w:sz w:val="24"/>
          <w:szCs w:val="24"/>
        </w:rPr>
      </w:pPr>
      <w:r>
        <w:t>Australian mumps serosurvey 2012–2013: any cause for</w:t>
      </w:r>
      <w:r w:rsidR="00A71ED3">
        <w:t> </w:t>
      </w:r>
      <w:r>
        <w:t xml:space="preserve">concern? </w:t>
      </w:r>
    </w:p>
    <w:p w14:paraId="0DA12C5B" w14:textId="77777777" w:rsidR="00E87D5B" w:rsidRDefault="00E87D5B" w:rsidP="007A6632">
      <w:r>
        <w:t xml:space="preserve">Cyra Patel, Frank Beard, Alexandra Hendry, Helen Quinn, Aditi Dey, Kristine Macartney, Linda </w:t>
      </w:r>
      <w:proofErr w:type="spellStart"/>
      <w:r>
        <w:t>Hueston</w:t>
      </w:r>
      <w:proofErr w:type="spellEnd"/>
      <w:r>
        <w:t xml:space="preserve">, Dominic E Dwyer, Peter McIntyre </w:t>
      </w:r>
    </w:p>
    <w:p w14:paraId="7B2F68EF" w14:textId="77777777" w:rsidR="00E87D5B" w:rsidRPr="007A6632" w:rsidRDefault="00E87D5B" w:rsidP="007A6632">
      <w:pPr>
        <w:pStyle w:val="Heading1"/>
      </w:pPr>
      <w:r w:rsidRPr="007A6632">
        <w:t xml:space="preserve">Abstract </w:t>
      </w:r>
    </w:p>
    <w:p w14:paraId="64D99CC5" w14:textId="77777777" w:rsidR="00E87D5B" w:rsidRPr="007A6632" w:rsidRDefault="00E87D5B" w:rsidP="007A6632">
      <w:pPr>
        <w:pStyle w:val="Heading2"/>
      </w:pPr>
      <w:r w:rsidRPr="007A6632">
        <w:t xml:space="preserve">Objective </w:t>
      </w:r>
    </w:p>
    <w:p w14:paraId="0B602CD4" w14:textId="77777777" w:rsidR="00E87D5B" w:rsidRDefault="00E87D5B" w:rsidP="007A6632">
      <w:r>
        <w:t xml:space="preserve">To determine population-level immunity to mumps in Australia. </w:t>
      </w:r>
    </w:p>
    <w:p w14:paraId="03A46CC7" w14:textId="77777777" w:rsidR="00E87D5B" w:rsidRPr="007A6632" w:rsidRDefault="00E87D5B" w:rsidP="007A6632">
      <w:pPr>
        <w:pStyle w:val="Heading2"/>
      </w:pPr>
      <w:r w:rsidRPr="007A6632">
        <w:t xml:space="preserve">Methods </w:t>
      </w:r>
    </w:p>
    <w:p w14:paraId="55EDC4C4" w14:textId="77777777" w:rsidR="00E87D5B" w:rsidRDefault="00E87D5B" w:rsidP="007A6632">
      <w:r>
        <w:t xml:space="preserve">We tested randomly selected specimens from people aged 1–49 years using the </w:t>
      </w:r>
      <w:proofErr w:type="spellStart"/>
      <w:r>
        <w:t>Enzygnost</w:t>
      </w:r>
      <w:proofErr w:type="spellEnd"/>
      <w:r>
        <w:t xml:space="preserve"> anti-parotitis IgG enzyme immunoassay from an opportunistically collected serum bank in 2012–2013. Weighted estimates of the proportion seropositive and equivocal for mumps-specific IgG antibody were determined by age group and compared with two previous national serosurveys conducted in 2007–2008 and 1997–1998. </w:t>
      </w:r>
    </w:p>
    <w:p w14:paraId="1DA26F11" w14:textId="77777777" w:rsidR="00E87D5B" w:rsidRPr="007A6632" w:rsidRDefault="00E87D5B" w:rsidP="007A6632">
      <w:pPr>
        <w:pStyle w:val="Heading2"/>
      </w:pPr>
      <w:r w:rsidRPr="007A6632">
        <w:t xml:space="preserve">Results </w:t>
      </w:r>
    </w:p>
    <w:p w14:paraId="7B8BAD2C" w14:textId="77777777" w:rsidR="00E87D5B" w:rsidRDefault="00E87D5B" w:rsidP="007A6632">
      <w:r>
        <w:t xml:space="preserve">Overall, 82.1% (95% CI 80.6–83.5%) of 2,729 specimens were positive or equivocal for mumps-specific IgG antibodies (71.1% positive [95% CI 69.4–72.9%]; 10.9% equivocal [95% CI 9.8–12.2%]). The proportion positive or equivocal was higher in 2012–2013 (82.1%) than in 2007–2008 (75.5%) and 1997–1998 (72.5%), but varied by age. The proportion positive or equivocal in 2012-2013 was above 80% for all age groups older than 1 year except for 30–34 year olds, corresponding to the 1978–1982 birth cohort previously identified as most likely to have missed out on a second MMR vaccine dose. </w:t>
      </w:r>
    </w:p>
    <w:p w14:paraId="387F748F" w14:textId="77777777" w:rsidR="00E87D5B" w:rsidRPr="006770A1" w:rsidRDefault="00E87D5B" w:rsidP="006770A1">
      <w:pPr>
        <w:pStyle w:val="Heading2"/>
      </w:pPr>
      <w:r w:rsidRPr="006770A1">
        <w:t xml:space="preserve">Conclusions </w:t>
      </w:r>
    </w:p>
    <w:p w14:paraId="0CA76A4B" w14:textId="77777777" w:rsidR="00E87D5B" w:rsidRDefault="00E87D5B" w:rsidP="006770A1">
      <w:r>
        <w:t xml:space="preserve">Seropositivity to mumps in 2012–2013 was well-maintained compared with previous serosurveys. Low mumps notifications over this period in Australia suggest an absence of community-based transmission of mumps infection in the general population, but recent outbreaks among Aboriginal adolescents and young adults in close-contact settings, despite high 2-dose MMR coverage, suggest that </w:t>
      </w:r>
      <w:proofErr w:type="spellStart"/>
      <w:r>
        <w:t>seroprotection</w:t>
      </w:r>
      <w:proofErr w:type="spellEnd"/>
      <w:r>
        <w:t xml:space="preserve"> may be insufficient in other similar settings in Australia. </w:t>
      </w:r>
    </w:p>
    <w:p w14:paraId="0DA578A5" w14:textId="77777777" w:rsidR="00E87D5B" w:rsidRDefault="00E87D5B" w:rsidP="006770A1">
      <w:r>
        <w:t xml:space="preserve">Keywords: mumps, vaccine preventable disease, surveillance, serosurveillance, immunity </w:t>
      </w:r>
    </w:p>
    <w:p w14:paraId="20120AAA" w14:textId="77777777" w:rsidR="00E87D5B" w:rsidRPr="006770A1" w:rsidRDefault="00E87D5B" w:rsidP="006770A1">
      <w:pPr>
        <w:pStyle w:val="Heading2"/>
      </w:pPr>
      <w:r w:rsidRPr="006770A1">
        <w:t xml:space="preserve">Abbreviations </w:t>
      </w:r>
    </w:p>
    <w:p w14:paraId="6F2FE27D" w14:textId="77777777" w:rsidR="00E87D5B" w:rsidRDefault="00E87D5B" w:rsidP="006770A1">
      <w:pPr>
        <w:pStyle w:val="NoSpacing"/>
      </w:pPr>
      <w:r>
        <w:t>ELISA – enzyme-linked immunosorbent assay</w:t>
      </w:r>
    </w:p>
    <w:p w14:paraId="1B10C13C" w14:textId="77777777" w:rsidR="00E87D5B" w:rsidRDefault="00E87D5B" w:rsidP="006770A1">
      <w:pPr>
        <w:pStyle w:val="NoSpacing"/>
      </w:pPr>
      <w:r>
        <w:t>GMC – geometric mean concentration</w:t>
      </w:r>
    </w:p>
    <w:p w14:paraId="6CD1DCF5" w14:textId="77777777" w:rsidR="00E87D5B" w:rsidRDefault="00E87D5B" w:rsidP="006770A1">
      <w:pPr>
        <w:pStyle w:val="NoSpacing"/>
      </w:pPr>
      <w:r>
        <w:t>MMR – measles, mumps, rubella (vaccine)</w:t>
      </w:r>
    </w:p>
    <w:p w14:paraId="4A168BC1" w14:textId="77777777" w:rsidR="00E87D5B" w:rsidRDefault="00E87D5B" w:rsidP="006770A1">
      <w:pPr>
        <w:pStyle w:val="NoSpacing"/>
      </w:pPr>
      <w:r>
        <w:t xml:space="preserve">MMRV – measles, mumps, rubella, varicella (vaccine) </w:t>
      </w:r>
    </w:p>
    <w:p w14:paraId="5DFC428E" w14:textId="77777777" w:rsidR="00367FE9" w:rsidRDefault="00367FE9">
      <w:pPr>
        <w:rPr>
          <w:rFonts w:asciiTheme="majorHAnsi" w:eastAsiaTheme="majorEastAsia" w:hAnsiTheme="majorHAnsi" w:cstheme="majorBidi"/>
          <w:b/>
          <w:bCs/>
          <w:sz w:val="32"/>
          <w:szCs w:val="28"/>
        </w:rPr>
      </w:pPr>
      <w:r>
        <w:br w:type="page"/>
      </w:r>
    </w:p>
    <w:p w14:paraId="31921A74" w14:textId="77777777" w:rsidR="00E87D5B" w:rsidRPr="006770A1" w:rsidRDefault="00E87D5B" w:rsidP="006770A1">
      <w:pPr>
        <w:pStyle w:val="Heading1"/>
      </w:pPr>
      <w:r w:rsidRPr="006770A1">
        <w:lastRenderedPageBreak/>
        <w:t xml:space="preserve">Introduction </w:t>
      </w:r>
    </w:p>
    <w:p w14:paraId="4D0D97F3" w14:textId="77777777" w:rsidR="00E87D5B" w:rsidRDefault="00E87D5B" w:rsidP="006770A1">
      <w:r>
        <w:t xml:space="preserve">Mumps is an acute viral illness caused by an RNA virus belonging to the family </w:t>
      </w:r>
      <w:proofErr w:type="spellStart"/>
      <w:r w:rsidRPr="00F065FF">
        <w:rPr>
          <w:rStyle w:val="Emphasis"/>
          <w:b w:val="0"/>
        </w:rPr>
        <w:t>Paramyxoviridae</w:t>
      </w:r>
      <w:proofErr w:type="spellEnd"/>
      <w:r>
        <w:t>, with transmission typically occurring via respiratory secretions, including aerosolisation.</w:t>
      </w:r>
      <w:r>
        <w:rPr>
          <w:vertAlign w:val="superscript"/>
        </w:rPr>
        <w:t>1</w:t>
      </w:r>
      <w:r>
        <w:t xml:space="preserve"> Infected individuals usually present with respiratory symptoms, parotitis and non-specific symptoms such as fever, malaise, headache and/or myalgia.</w:t>
      </w:r>
      <w:r>
        <w:rPr>
          <w:vertAlign w:val="superscript"/>
        </w:rPr>
        <w:t>1–5</w:t>
      </w:r>
      <w:r>
        <w:t xml:space="preserve"> Complications occur in a minority of cases. Clinical meningitis can develop in up to 10% of cases and encephalitis in 0.1%, although permanent neurological sequelae are rare.</w:t>
      </w:r>
      <w:r>
        <w:rPr>
          <w:vertAlign w:val="superscript"/>
        </w:rPr>
        <w:t>4</w:t>
      </w:r>
      <w:r>
        <w:t xml:space="preserve"> Fatalities due to mumps are very rare, with the case fatality rate associated with mumps encephalitis reported at 1.5%.</w:t>
      </w:r>
      <w:r>
        <w:rPr>
          <w:vertAlign w:val="superscript"/>
        </w:rPr>
        <w:t>4</w:t>
      </w:r>
      <w:r>
        <w:t xml:space="preserve"> While long-term sequelae are rare, orchitis occurs in approximately 15–30% of unvaccinated adult male cases, although it is less common (&lt; 10%) in the post-vaccine era.</w:t>
      </w:r>
      <w:r>
        <w:rPr>
          <w:vertAlign w:val="superscript"/>
        </w:rPr>
        <w:t>4,6–10</w:t>
      </w:r>
      <w:r>
        <w:t xml:space="preserve"> </w:t>
      </w:r>
    </w:p>
    <w:p w14:paraId="1D8B2DE1" w14:textId="77777777" w:rsidR="00E87D5B" w:rsidRDefault="00E87D5B" w:rsidP="006770A1">
      <w:r>
        <w:t>Mumps-containing vaccines have been offered routinely in Australia since 1983 through the government-funded National Immunisation Program (NIP), although several changes to the immunisation schedule have occurred (summarised in Appendix A, Table A.1).</w:t>
      </w:r>
      <w:r>
        <w:rPr>
          <w:vertAlign w:val="superscript"/>
        </w:rPr>
        <w:t>11</w:t>
      </w:r>
      <w:r>
        <w:t xml:space="preserve"> Briefly, a single dose of measles-mumps vaccine was introduced at 12 months of age in 1983, changing to measles-mumps-rubella (MMR) from 1989. From 1993, a second dose of MMR vaccine was funded for children aged 10–14 years old, delivered through a school-based program. In 1998, the second MMR vaccine dose was moved to age 4–5 years, accompanied by a national school-based campaign targeting ages 5 to 12 years. A subsequent national campaign in 2001 aimed to increase MMR vaccination coverage in young adults, but uptake was poor.</w:t>
      </w:r>
      <w:r>
        <w:rPr>
          <w:vertAlign w:val="superscript"/>
        </w:rPr>
        <w:t>3</w:t>
      </w:r>
      <w:r>
        <w:t xml:space="preserve"> In 2013, the second dose of MMR was moved to 18 months and given as measles-mumps-rubella-varicella (MMRV) vaccine. </w:t>
      </w:r>
    </w:p>
    <w:p w14:paraId="7F6BDA17" w14:textId="77777777" w:rsidR="00E87D5B" w:rsidRDefault="00E87D5B" w:rsidP="006770A1">
      <w:r>
        <w:t>MMR vaccine coverage has been high in Australia since the early 2000s, with 2-dose coverage above 90% from 2010 onwards.</w:t>
      </w:r>
      <w:r>
        <w:rPr>
          <w:vertAlign w:val="superscript"/>
        </w:rPr>
        <w:t>12–16</w:t>
      </w:r>
      <w:r>
        <w:t xml:space="preserve"> However, the mumps component of MMR vaccine is known to generate a weaker immune response than the measles and rubella components, with evidence that it has a lower seroconversion rate (especially following 1 dose of MMR vaccine); shows faster declines in seropositivity and in concentration of mumps-specific antibodies over time; and generates mumps-specific antibodies that are of lower avidity.</w:t>
      </w:r>
      <w:r>
        <w:rPr>
          <w:vertAlign w:val="superscript"/>
        </w:rPr>
        <w:t>1,17</w:t>
      </w:r>
      <w:r>
        <w:t xml:space="preserve"> All mumps-containing vaccines used in Australia have contained the Jeryl Lynn strain, with effectiveness of two doses in preventing laboratory‐confirmed mumps estimated between 83% and 88% in children and adolescents.</w:t>
      </w:r>
      <w:r>
        <w:rPr>
          <w:vertAlign w:val="superscript"/>
        </w:rPr>
        <w:t>18</w:t>
      </w:r>
      <w:r>
        <w:t xml:space="preserve"> </w:t>
      </w:r>
    </w:p>
    <w:p w14:paraId="679A9DE3" w14:textId="77777777" w:rsidR="00E87D5B" w:rsidRDefault="00E87D5B" w:rsidP="006770A1">
      <w:r>
        <w:t>Data on notifications of mumps cases are available at a national level from 1995, although mumps was not notifiable in all jurisdictions, nor captured by the National Notifiable Diseases Surveillance System, until 2001.</w:t>
      </w:r>
      <w:r>
        <w:rPr>
          <w:vertAlign w:val="superscript"/>
        </w:rPr>
        <w:t>19</w:t>
      </w:r>
      <w:r>
        <w:t xml:space="preserve"> Over time, the overall incidence of mumps has greatly reduced, with residual cases shifting from children to young adults,</w:t>
      </w:r>
      <w:r>
        <w:rPr>
          <w:vertAlign w:val="superscript"/>
        </w:rPr>
        <w:t>3,20</w:t>
      </w:r>
      <w:r>
        <w:t xml:space="preserve"> but large regional outbreaks have occurred in 2007–2008 and 2015–2017 among adolescents and young adults in remote Aboriginal communities in the north and west of Australia.</w:t>
      </w:r>
      <w:r>
        <w:rPr>
          <w:vertAlign w:val="superscript"/>
        </w:rPr>
        <w:t>3,6,21–24</w:t>
      </w:r>
      <w:r>
        <w:t xml:space="preserve"> The great majority (89%) of notified cases in the outbreak in 2015–2017 had documented receipt of two doses of mumps-containing vaccine.</w:t>
      </w:r>
      <w:r>
        <w:rPr>
          <w:vertAlign w:val="superscript"/>
        </w:rPr>
        <w:t>6</w:t>
      </w:r>
      <w:r>
        <w:t xml:space="preserve"> Similar outbreaks in highly vaccinated populations have also been reported in close contact settings in other countries, including the United States of America and Europe.</w:t>
      </w:r>
      <w:r>
        <w:rPr>
          <w:vertAlign w:val="superscript"/>
        </w:rPr>
        <w:t>25–29</w:t>
      </w:r>
      <w:r>
        <w:t xml:space="preserve"> </w:t>
      </w:r>
    </w:p>
    <w:p w14:paraId="31A7FF48" w14:textId="77777777" w:rsidR="00E87D5B" w:rsidRDefault="00E87D5B" w:rsidP="006770A1">
      <w:r>
        <w:t xml:space="preserve">Serosurveillance allows for assessment of population immunity and identification of age cohorts with lower levels of </w:t>
      </w:r>
      <w:proofErr w:type="spellStart"/>
      <w:r>
        <w:t>seroprotection</w:t>
      </w:r>
      <w:proofErr w:type="spellEnd"/>
      <w:r>
        <w:t xml:space="preserve"> and potential susceptibility to infection. The aim of this study was to determine the age-specific prevalence of levels of immunoglobulin G (IgG) antibody against mumps in a representative serosurvey and to compare trends with similar national serosurveys previously conducted in 1997–1998 and 2007–2008. </w:t>
      </w:r>
    </w:p>
    <w:p w14:paraId="14F943A0" w14:textId="77777777" w:rsidR="00367FE9" w:rsidRDefault="00367FE9">
      <w:pPr>
        <w:rPr>
          <w:rFonts w:asciiTheme="majorHAnsi" w:eastAsiaTheme="majorEastAsia" w:hAnsiTheme="majorHAnsi" w:cstheme="majorBidi"/>
          <w:b/>
          <w:bCs/>
          <w:sz w:val="32"/>
          <w:szCs w:val="28"/>
        </w:rPr>
      </w:pPr>
      <w:r>
        <w:br w:type="page"/>
      </w:r>
    </w:p>
    <w:p w14:paraId="39A41C21" w14:textId="77777777" w:rsidR="00E87D5B" w:rsidRPr="006770A1" w:rsidRDefault="00E87D5B" w:rsidP="006770A1">
      <w:pPr>
        <w:pStyle w:val="Heading1"/>
      </w:pPr>
      <w:r w:rsidRPr="006770A1">
        <w:lastRenderedPageBreak/>
        <w:t xml:space="preserve">Methods </w:t>
      </w:r>
    </w:p>
    <w:p w14:paraId="67D7F102" w14:textId="77777777" w:rsidR="00E87D5B" w:rsidRPr="006770A1" w:rsidRDefault="00E87D5B" w:rsidP="006770A1">
      <w:pPr>
        <w:pStyle w:val="Heading2"/>
      </w:pPr>
      <w:r w:rsidRPr="006770A1">
        <w:t xml:space="preserve">Population and study design </w:t>
      </w:r>
    </w:p>
    <w:p w14:paraId="6245BD74" w14:textId="77777777" w:rsidR="00E87D5B" w:rsidRDefault="00E87D5B" w:rsidP="006770A1">
      <w:r>
        <w:t>We randomly sampled 2,729 residual serum and plasma specimens from a bank of 12,411 specimens collected opportunistically from 32 diagnostic laboratories in all states and territories around Australia during 2012 and 2013. The collection method was the same as that used previously, although the number of contributing laboratories varied.</w:t>
      </w:r>
      <w:r>
        <w:rPr>
          <w:vertAlign w:val="superscript"/>
        </w:rPr>
        <w:t>30,31</w:t>
      </w:r>
      <w:r>
        <w:t xml:space="preserve"> The opportunistic sampling method used has been validated by an Australian study comparing opportunistic and random cluster sampling for estimation of measles immunity.</w:t>
      </w:r>
      <w:r>
        <w:rPr>
          <w:vertAlign w:val="superscript"/>
        </w:rPr>
        <w:t>32</w:t>
      </w:r>
      <w:r>
        <w:t xml:space="preserve"> Information available for each specimen included sex, age or date of birth, residential postcode and date of collection. Vaccination status or Aboriginal and Torres Strait Islander status was not collected: this is not routinely provided on diagnostic laboratory request forms, and was thus unavailable. Known infection with human immunodeficiency virus; any other immunocompromising condition; and transfusion of blood products within the past three months were exclusion criteria for specimen use. </w:t>
      </w:r>
    </w:p>
    <w:p w14:paraId="28820247" w14:textId="77777777" w:rsidR="00E87D5B" w:rsidRDefault="00E87D5B" w:rsidP="006770A1">
      <w:r>
        <w:t xml:space="preserve">Ethical approval for this national study was obtained from the Western Sydney Human Research Ethics Committee, the South Australian Department of Health Human Research Ethics Committee, the Melbourne Health Human Research Ethics Committee and the Government of Western Australia Child and Adolescent Health Service Research Ethics Committee. </w:t>
      </w:r>
    </w:p>
    <w:p w14:paraId="1E9E304B" w14:textId="77777777" w:rsidR="00E87D5B" w:rsidRPr="006770A1" w:rsidRDefault="00E87D5B" w:rsidP="006770A1">
      <w:pPr>
        <w:pStyle w:val="Heading2"/>
      </w:pPr>
      <w:r w:rsidRPr="006770A1">
        <w:t xml:space="preserve">Sample size calculations </w:t>
      </w:r>
    </w:p>
    <w:p w14:paraId="35AF6033" w14:textId="77777777" w:rsidR="00E87D5B" w:rsidRDefault="00E87D5B" w:rsidP="006770A1">
      <w:r>
        <w:t xml:space="preserve">The specimens collected for this study were representative of the age, gender and ratio of the population in metropolitan versus rural areas within each specific age group and across each of the eight Australian states and territories. Sample sizes were calculated for children aged one and 2–4 years, then 5-year age groups up to 49 years. Children under one year of age were excluded as MMR vaccination is not routinely offered to infants under Australia’s NIP. Sample sizes were based on the expected proportion seropositive for mumps-specific antibodies in each age group for Australia as a whole with at least 5% precision (i.e. the estimate to fall within five percentage points of the true proportion) with 95% confidence. The number of specimens sampled from the specimen bank was representative of the age distribution across each of the eight Australian states and territories, with equal numbers of males and females tested. </w:t>
      </w:r>
    </w:p>
    <w:p w14:paraId="240A4BC9" w14:textId="77777777" w:rsidR="00E87D5B" w:rsidRPr="006770A1" w:rsidRDefault="00E87D5B" w:rsidP="006770A1">
      <w:pPr>
        <w:pStyle w:val="Heading2"/>
      </w:pPr>
      <w:r w:rsidRPr="006770A1">
        <w:t xml:space="preserve">Mumps-specific IgG antibody assay </w:t>
      </w:r>
    </w:p>
    <w:p w14:paraId="3A0A2DE5" w14:textId="77777777" w:rsidR="00E87D5B" w:rsidRDefault="00E87D5B" w:rsidP="006770A1">
      <w:r>
        <w:t xml:space="preserve">Specimens were tested at the New South Wales Health Pathology’s Institute of Clinical Pathology and Medical Research, Westmead, and interpreted according to the manufacturer’s instructions using the </w:t>
      </w:r>
      <w:proofErr w:type="spellStart"/>
      <w:r>
        <w:t>Enzygnost</w:t>
      </w:r>
      <w:proofErr w:type="spellEnd"/>
      <w:r>
        <w:t xml:space="preserve"> (Behring Diagnostics, Marburg, Germany) anti-parotitis IgG enzyme immunoassay, the same assay used in the previous national mumps serosurveys. Mumps IgG levels were evaluated using the difference in absorbance between the antigen-positive and control antigen wells (ΔA), and were interpreted as follows: ΔA &lt; 0.100 negative, ΔA 0.100–0.200 equivocal, and ΔA &gt; 0.200 positive. All sera for which the result was equivocal were retested using the same method and reclassified as negative or positive if appropriate. Further details about the assay are as previously published.</w:t>
      </w:r>
      <w:r>
        <w:rPr>
          <w:vertAlign w:val="superscript"/>
        </w:rPr>
        <w:t>33</w:t>
      </w:r>
      <w:r>
        <w:t xml:space="preserve"> </w:t>
      </w:r>
    </w:p>
    <w:p w14:paraId="338F75CC" w14:textId="77777777" w:rsidR="00E87D5B" w:rsidRPr="006770A1" w:rsidRDefault="00E87D5B" w:rsidP="006770A1">
      <w:pPr>
        <w:pStyle w:val="Heading2"/>
      </w:pPr>
      <w:r w:rsidRPr="006770A1">
        <w:t xml:space="preserve">Data analysis </w:t>
      </w:r>
    </w:p>
    <w:p w14:paraId="21A6D127" w14:textId="77777777" w:rsidR="00E87D5B" w:rsidRDefault="00E87D5B" w:rsidP="006770A1">
      <w:r>
        <w:t xml:space="preserve">Estimates of the proportion of specimens that were either positive or equivocal and negative for the Australian population aged 1–49 years and age-group-specific estimates were calculated, weighted by age group, sex and state/territory of residence as appropriate to match the required sample size. Positive and equivocal samples were examined together as they were assumed to represent evidence of immunity against mumps. Analyses were also completed to determine estimates of the proportion of specimens that were positive, equivocal or negative. Binomial 95% confidence intervals were calculated for the proportion estimates. Differences between age groups </w:t>
      </w:r>
      <w:r>
        <w:lastRenderedPageBreak/>
        <w:t xml:space="preserve">were examined using logistic regression. Statistical comparisons between states and territories were not made as the study was not adequately powered to do so. </w:t>
      </w:r>
    </w:p>
    <w:p w14:paraId="17B287EF" w14:textId="77777777" w:rsidR="00E87D5B" w:rsidRDefault="00E87D5B" w:rsidP="006770A1">
      <w:r>
        <w:t>Comparisons with serosurveys conducted in 2007–2008 and 1997–1998, which used the same immunoassay and cut-off values for mumps-specific IgG levels, were made using chi square tests. While the data on demographic variables (age, sex and state/territory) was complete for the 2007–2008 serosurvey, only data on age was available for the 1997–1998 serosurvey. A birth cohort analysis was also conducted, with cohort cut-off years selected based on when changes to the NIP mumps vaccination schedule occurred (similar to cut-offs used in a birth cohort analysis of a previous mumps serosurvey in Australia),</w:t>
      </w:r>
      <w:r>
        <w:rPr>
          <w:vertAlign w:val="superscript"/>
        </w:rPr>
        <w:t>34</w:t>
      </w:r>
      <w:r>
        <w:t xml:space="preserve"> so as to assess potential impacts of changing vaccination policies and practices over time. </w:t>
      </w:r>
    </w:p>
    <w:p w14:paraId="3715893B" w14:textId="77777777" w:rsidR="00E87D5B" w:rsidRDefault="00E87D5B" w:rsidP="006770A1">
      <w:r w:rsidRPr="00F065FF">
        <w:rPr>
          <w:rStyle w:val="Emphasis"/>
          <w:b w:val="0"/>
        </w:rPr>
        <w:t>P</w:t>
      </w:r>
      <w:r>
        <w:t xml:space="preserve">-values less than 0.05 were considered statistically significant. All analyses were performed using Stata 13.1. </w:t>
      </w:r>
    </w:p>
    <w:p w14:paraId="503E791F" w14:textId="77777777" w:rsidR="00E87D5B" w:rsidRPr="006E005C" w:rsidRDefault="00E87D5B" w:rsidP="006E005C">
      <w:pPr>
        <w:pStyle w:val="Heading1"/>
      </w:pPr>
      <w:r w:rsidRPr="006E005C">
        <w:t xml:space="preserve">Results </w:t>
      </w:r>
    </w:p>
    <w:p w14:paraId="07B96831" w14:textId="77777777" w:rsidR="00E87D5B" w:rsidRDefault="00E87D5B" w:rsidP="006E005C">
      <w:r>
        <w:t>A total of 2,729 specimens were tested: 53.1% female and 46.9% male using a weighted sample distribution representative of census data for the 2012 Australian population (metropolitan: 70.7% of samples vs 70.3%; regional/remote locations: 29.3% of samples vs 29.6%).</w:t>
      </w:r>
      <w:r>
        <w:rPr>
          <w:vertAlign w:val="superscript"/>
        </w:rPr>
        <w:t>35</w:t>
      </w:r>
      <w:r>
        <w:t xml:space="preserve"> </w:t>
      </w:r>
    </w:p>
    <w:p w14:paraId="6EDECFAD" w14:textId="77777777" w:rsidR="00E87D5B" w:rsidRDefault="00E87D5B" w:rsidP="006E005C">
      <w:r>
        <w:t xml:space="preserve">Overall, 82.1% (95% CI 80.6–83.5%) of the specimens were positive or equivocal for mumps-specific antibodies, with 71.1% (95% CI 69.4–72.9%) meeting the criteria for mumps-specific-IgG seropositivity, 10.9% (95% CI 9.8–12.2%) equivocal, and 17.9% (95% CI 16.5–19.4%) negative. The proportion seropositive or equivocal was similar among females (82.1%, 95% CI 80.0–84.0%) and males (82.0%, 95% CI 79.2–84.1%). The point estimate of proportion positive or equivocal varied by state/territory, but was greater than 80% in all states/territories except Tasmania (73.2%) (Appendix A, Table A.2). </w:t>
      </w:r>
    </w:p>
    <w:p w14:paraId="74D222AB" w14:textId="77777777" w:rsidR="00E87D5B" w:rsidRPr="006E005C" w:rsidRDefault="00E87D5B" w:rsidP="006E005C">
      <w:pPr>
        <w:pStyle w:val="Heading2"/>
      </w:pPr>
      <w:r w:rsidRPr="006E005C">
        <w:t xml:space="preserve">Age-specific immunity </w:t>
      </w:r>
    </w:p>
    <w:p w14:paraId="3C890005" w14:textId="77777777" w:rsidR="00E87D5B" w:rsidRDefault="00E87D5B" w:rsidP="006E005C">
      <w:r>
        <w:t xml:space="preserve">The proportion of specimens positive or equivocal for mumps-specific antibodies varied by age group (Table 1, Figure 1), and was lowest among 1-year olds (66.1%) and highest among 45–49 year olds (87.3%). Seropositivity was lower between the ages of 10 and 24 years compared with children aged 5–9 years (88.5%), significantly so for the age groups 10–14 years (81.2%; </w:t>
      </w:r>
      <w:r w:rsidRPr="00F065FF">
        <w:rPr>
          <w:rStyle w:val="Emphasis"/>
          <w:b w:val="0"/>
        </w:rPr>
        <w:t>p</w:t>
      </w:r>
      <w:r>
        <w:t xml:space="preserve"> = 0.037) and 20–24 years (80.6%; </w:t>
      </w:r>
      <w:r w:rsidRPr="00F065FF">
        <w:rPr>
          <w:rStyle w:val="Emphasis"/>
          <w:b w:val="0"/>
        </w:rPr>
        <w:t>p</w:t>
      </w:r>
      <w:r>
        <w:t xml:space="preserve"> = 0.029). Among adults, seropositivity was lower among 30–34 year olds, both compared with 25–29 year olds (75.6% vs 86.4%, </w:t>
      </w:r>
      <w:r w:rsidRPr="00F065FF">
        <w:rPr>
          <w:rStyle w:val="Emphasis"/>
          <w:b w:val="0"/>
        </w:rPr>
        <w:t>p</w:t>
      </w:r>
      <w:r>
        <w:t xml:space="preserve"> = 0.002) and with 35–39 year olds (75.6% vs 85.1%, </w:t>
      </w:r>
      <w:r w:rsidRPr="00F065FF">
        <w:rPr>
          <w:rStyle w:val="Emphasis"/>
          <w:b w:val="0"/>
        </w:rPr>
        <w:t xml:space="preserve">p </w:t>
      </w:r>
      <w:r>
        <w:t>= 0.011). Findings were similar when limited to being seropositive only (Figure 2).</w:t>
      </w:r>
    </w:p>
    <w:p w14:paraId="6ED28A11" w14:textId="77777777" w:rsidR="00367FE9" w:rsidRDefault="00367FE9">
      <w:pPr>
        <w:rPr>
          <w:b/>
        </w:rPr>
      </w:pPr>
      <w:r>
        <w:br w:type="page"/>
      </w:r>
    </w:p>
    <w:p w14:paraId="1E07AE9B" w14:textId="77777777" w:rsidR="00E87D5B" w:rsidRDefault="00E87D5B" w:rsidP="006E005C">
      <w:pPr>
        <w:pStyle w:val="CDIFigures"/>
      </w:pPr>
      <w:r>
        <w:lastRenderedPageBreak/>
        <w:t>Table 1: Proportion of specimens positive or equivocal, positive only, equivocal only or negative for mumps-specific antibodies, by age group, 2012–2013 serosurvey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proportion of specimens of a nationally representative sample who were positive or equivocal (combined), positive only, equivocal only or negative for mumps-specific antibodies in 2012–2013. The results are shown by age group. The table includes the number of specimens tested and the 95% confidence interval for each proportion."/>
      </w:tblPr>
      <w:tblGrid>
        <w:gridCol w:w="1843"/>
        <w:gridCol w:w="567"/>
        <w:gridCol w:w="992"/>
        <w:gridCol w:w="993"/>
        <w:gridCol w:w="850"/>
        <w:gridCol w:w="992"/>
        <w:gridCol w:w="993"/>
        <w:gridCol w:w="1134"/>
        <w:gridCol w:w="850"/>
        <w:gridCol w:w="1226"/>
      </w:tblGrid>
      <w:tr w:rsidR="00E95C25" w:rsidRPr="008153CD" w14:paraId="403CD150" w14:textId="77777777" w:rsidTr="00650385">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14:paraId="27C230AC" w14:textId="77777777" w:rsidR="00E87D5B" w:rsidRPr="008153CD" w:rsidRDefault="00E87D5B" w:rsidP="009B0422">
            <w:pPr>
              <w:pStyle w:val="NormalWeb"/>
              <w:rPr>
                <w:color w:val="FFFFFF" w:themeColor="background1"/>
                <w:sz w:val="18"/>
                <w:szCs w:val="18"/>
              </w:rPr>
            </w:pPr>
            <w:r w:rsidRPr="008153CD">
              <w:rPr>
                <w:color w:val="FFFFFF" w:themeColor="background1"/>
                <w:sz w:val="18"/>
                <w:szCs w:val="18"/>
              </w:rPr>
              <w:t>Age group (years)</w:t>
            </w:r>
          </w:p>
        </w:tc>
        <w:tc>
          <w:tcPr>
            <w:tcW w:w="567"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FD21172"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n</w:t>
            </w:r>
          </w:p>
        </w:tc>
        <w:tc>
          <w:tcPr>
            <w:tcW w:w="1985" w:type="dxa"/>
            <w:gridSpan w:val="2"/>
            <w:tcBorders>
              <w:left w:val="single" w:sz="2" w:space="0" w:color="FFFFFF" w:themeColor="background1"/>
              <w:bottom w:val="single" w:sz="2" w:space="0" w:color="FFFFFF" w:themeColor="background1"/>
              <w:right w:val="single" w:sz="2" w:space="0" w:color="FFFFFF" w:themeColor="background1"/>
            </w:tcBorders>
            <w:hideMark/>
          </w:tcPr>
          <w:p w14:paraId="18F42FE3"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Positive or equivocal</w:t>
            </w:r>
          </w:p>
        </w:tc>
        <w:tc>
          <w:tcPr>
            <w:tcW w:w="1842" w:type="dxa"/>
            <w:gridSpan w:val="2"/>
            <w:tcBorders>
              <w:left w:val="single" w:sz="2" w:space="0" w:color="FFFFFF" w:themeColor="background1"/>
              <w:bottom w:val="single" w:sz="2" w:space="0" w:color="FFFFFF" w:themeColor="background1"/>
              <w:right w:val="single" w:sz="2" w:space="0" w:color="FFFFFF" w:themeColor="background1"/>
            </w:tcBorders>
            <w:hideMark/>
          </w:tcPr>
          <w:p w14:paraId="6ADDD966"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Positive</w:t>
            </w:r>
          </w:p>
        </w:tc>
        <w:tc>
          <w:tcPr>
            <w:tcW w:w="2127" w:type="dxa"/>
            <w:gridSpan w:val="2"/>
            <w:tcBorders>
              <w:left w:val="single" w:sz="2" w:space="0" w:color="FFFFFF" w:themeColor="background1"/>
              <w:bottom w:val="single" w:sz="2" w:space="0" w:color="FFFFFF" w:themeColor="background1"/>
              <w:right w:val="single" w:sz="2" w:space="0" w:color="FFFFFF" w:themeColor="background1"/>
            </w:tcBorders>
            <w:hideMark/>
          </w:tcPr>
          <w:p w14:paraId="5BEA1843"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Equivocal</w:t>
            </w:r>
          </w:p>
        </w:tc>
        <w:tc>
          <w:tcPr>
            <w:tcW w:w="2076" w:type="dxa"/>
            <w:gridSpan w:val="2"/>
            <w:tcBorders>
              <w:left w:val="single" w:sz="2" w:space="0" w:color="FFFFFF" w:themeColor="background1"/>
              <w:bottom w:val="single" w:sz="2" w:space="0" w:color="FFFFFF" w:themeColor="background1"/>
            </w:tcBorders>
            <w:hideMark/>
          </w:tcPr>
          <w:p w14:paraId="3EB1A612"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Negative</w:t>
            </w:r>
          </w:p>
        </w:tc>
      </w:tr>
      <w:tr w:rsidR="00E95C25" w:rsidRPr="008153CD" w14:paraId="0DAE8E71" w14:textId="77777777" w:rsidTr="00162373">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14:paraId="7836BC8E" w14:textId="77777777" w:rsidR="00E87D5B" w:rsidRPr="008153CD" w:rsidRDefault="00E87D5B">
            <w:pPr>
              <w:rPr>
                <w:color w:val="FFFFFF" w:themeColor="background1"/>
                <w:sz w:val="18"/>
                <w:szCs w:val="18"/>
              </w:rPr>
            </w:pPr>
          </w:p>
        </w:tc>
        <w:tc>
          <w:tcPr>
            <w:tcW w:w="567" w:type="dxa"/>
            <w:vMerge/>
            <w:tcBorders>
              <w:top w:val="single" w:sz="2" w:space="0" w:color="FFFFFF" w:themeColor="background1"/>
              <w:left w:val="single" w:sz="2" w:space="0" w:color="FFFFFF" w:themeColor="background1"/>
              <w:right w:val="single" w:sz="2" w:space="0" w:color="FFFFFF" w:themeColor="background1"/>
            </w:tcBorders>
            <w:hideMark/>
          </w:tcPr>
          <w:p w14:paraId="66EC9343" w14:textId="77777777" w:rsidR="00E87D5B" w:rsidRPr="008153CD" w:rsidRDefault="00E87D5B" w:rsidP="008153CD">
            <w:pPr>
              <w:jc w:val="cente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CDA5EF6"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0079D33F"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95% CI</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5CA9BD20"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6C95907"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95% CI</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25695622"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51A221A"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95% CI</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669B31C9"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w:t>
            </w:r>
          </w:p>
        </w:tc>
        <w:tc>
          <w:tcPr>
            <w:tcW w:w="1226" w:type="dxa"/>
            <w:tcBorders>
              <w:top w:val="single" w:sz="2" w:space="0" w:color="FFFFFF" w:themeColor="background1"/>
              <w:left w:val="single" w:sz="2" w:space="0" w:color="FFFFFF" w:themeColor="background1"/>
            </w:tcBorders>
            <w:hideMark/>
          </w:tcPr>
          <w:p w14:paraId="6AD1CCE6" w14:textId="77777777" w:rsidR="00E87D5B" w:rsidRPr="008153CD" w:rsidRDefault="00E87D5B" w:rsidP="008153CD">
            <w:pPr>
              <w:pStyle w:val="NormalWeb"/>
              <w:jc w:val="center"/>
              <w:rPr>
                <w:color w:val="FFFFFF" w:themeColor="background1"/>
                <w:sz w:val="18"/>
                <w:szCs w:val="18"/>
              </w:rPr>
            </w:pPr>
            <w:r w:rsidRPr="008153CD">
              <w:rPr>
                <w:color w:val="FFFFFF" w:themeColor="background1"/>
                <w:sz w:val="18"/>
                <w:szCs w:val="18"/>
              </w:rPr>
              <w:t>95% CI</w:t>
            </w:r>
          </w:p>
        </w:tc>
      </w:tr>
      <w:tr w:rsidR="0022662D" w:rsidRPr="008153CD" w14:paraId="73C572EA" w14:textId="77777777" w:rsidTr="00162373">
        <w:tc>
          <w:tcPr>
            <w:tcW w:w="1843" w:type="dxa"/>
            <w:tcBorders>
              <w:right w:val="single" w:sz="2" w:space="0" w:color="808080" w:themeColor="background1" w:themeShade="80"/>
            </w:tcBorders>
            <w:hideMark/>
          </w:tcPr>
          <w:p w14:paraId="7C9B3454" w14:textId="77777777" w:rsidR="00E87D5B" w:rsidRPr="008153CD" w:rsidRDefault="00E87D5B">
            <w:pPr>
              <w:pStyle w:val="NormalWeb"/>
              <w:rPr>
                <w:sz w:val="18"/>
                <w:szCs w:val="18"/>
              </w:rPr>
            </w:pPr>
            <w:r w:rsidRPr="008153CD">
              <w:rPr>
                <w:sz w:val="18"/>
                <w:szCs w:val="18"/>
              </w:rPr>
              <w:t>1</w:t>
            </w:r>
          </w:p>
        </w:tc>
        <w:tc>
          <w:tcPr>
            <w:tcW w:w="567" w:type="dxa"/>
            <w:tcBorders>
              <w:left w:val="single" w:sz="2" w:space="0" w:color="808080" w:themeColor="background1" w:themeShade="80"/>
              <w:right w:val="single" w:sz="2" w:space="0" w:color="808080" w:themeColor="background1" w:themeShade="80"/>
            </w:tcBorders>
            <w:hideMark/>
          </w:tcPr>
          <w:p w14:paraId="69336BF4" w14:textId="77777777" w:rsidR="00E87D5B" w:rsidRPr="008153CD" w:rsidRDefault="00E87D5B" w:rsidP="008153CD">
            <w:pPr>
              <w:pStyle w:val="NormalWeb"/>
              <w:jc w:val="center"/>
              <w:rPr>
                <w:sz w:val="18"/>
                <w:szCs w:val="18"/>
              </w:rPr>
            </w:pPr>
            <w:r w:rsidRPr="008153CD">
              <w:rPr>
                <w:sz w:val="18"/>
                <w:szCs w:val="18"/>
              </w:rPr>
              <w:t>183</w:t>
            </w:r>
          </w:p>
        </w:tc>
        <w:tc>
          <w:tcPr>
            <w:tcW w:w="992" w:type="dxa"/>
            <w:tcBorders>
              <w:left w:val="single" w:sz="2" w:space="0" w:color="808080" w:themeColor="background1" w:themeShade="80"/>
              <w:right w:val="single" w:sz="2" w:space="0" w:color="808080" w:themeColor="background1" w:themeShade="80"/>
            </w:tcBorders>
            <w:hideMark/>
          </w:tcPr>
          <w:p w14:paraId="74C17024" w14:textId="77777777" w:rsidR="00E87D5B" w:rsidRPr="008153CD" w:rsidRDefault="00E87D5B" w:rsidP="008153CD">
            <w:pPr>
              <w:pStyle w:val="NormalWeb"/>
              <w:jc w:val="center"/>
              <w:rPr>
                <w:sz w:val="18"/>
                <w:szCs w:val="18"/>
              </w:rPr>
            </w:pPr>
            <w:r w:rsidRPr="008153CD">
              <w:rPr>
                <w:sz w:val="18"/>
                <w:szCs w:val="18"/>
              </w:rPr>
              <w:t>66.1%</w:t>
            </w:r>
          </w:p>
        </w:tc>
        <w:tc>
          <w:tcPr>
            <w:tcW w:w="993" w:type="dxa"/>
            <w:tcBorders>
              <w:left w:val="single" w:sz="2" w:space="0" w:color="808080" w:themeColor="background1" w:themeShade="80"/>
              <w:right w:val="single" w:sz="2" w:space="0" w:color="808080" w:themeColor="background1" w:themeShade="80"/>
            </w:tcBorders>
            <w:hideMark/>
          </w:tcPr>
          <w:p w14:paraId="3BF802A0" w14:textId="77777777" w:rsidR="00E87D5B" w:rsidRPr="008153CD" w:rsidRDefault="00E87D5B" w:rsidP="008153CD">
            <w:pPr>
              <w:pStyle w:val="NormalWeb"/>
              <w:jc w:val="center"/>
              <w:rPr>
                <w:sz w:val="18"/>
                <w:szCs w:val="18"/>
              </w:rPr>
            </w:pPr>
            <w:r w:rsidRPr="008153CD">
              <w:rPr>
                <w:sz w:val="18"/>
                <w:szCs w:val="18"/>
              </w:rPr>
              <w:t>58.4–73.1%</w:t>
            </w:r>
          </w:p>
        </w:tc>
        <w:tc>
          <w:tcPr>
            <w:tcW w:w="850" w:type="dxa"/>
            <w:tcBorders>
              <w:left w:val="single" w:sz="2" w:space="0" w:color="808080" w:themeColor="background1" w:themeShade="80"/>
              <w:right w:val="single" w:sz="2" w:space="0" w:color="808080" w:themeColor="background1" w:themeShade="80"/>
            </w:tcBorders>
            <w:hideMark/>
          </w:tcPr>
          <w:p w14:paraId="34897D2E" w14:textId="77777777" w:rsidR="00E87D5B" w:rsidRPr="008153CD" w:rsidRDefault="00E87D5B" w:rsidP="008153CD">
            <w:pPr>
              <w:pStyle w:val="NormalWeb"/>
              <w:jc w:val="center"/>
              <w:rPr>
                <w:sz w:val="18"/>
                <w:szCs w:val="18"/>
              </w:rPr>
            </w:pPr>
            <w:r w:rsidRPr="008153CD">
              <w:rPr>
                <w:sz w:val="18"/>
                <w:szCs w:val="18"/>
              </w:rPr>
              <w:t>50.8%</w:t>
            </w:r>
          </w:p>
        </w:tc>
        <w:tc>
          <w:tcPr>
            <w:tcW w:w="992" w:type="dxa"/>
            <w:tcBorders>
              <w:left w:val="single" w:sz="2" w:space="0" w:color="808080" w:themeColor="background1" w:themeShade="80"/>
              <w:right w:val="single" w:sz="2" w:space="0" w:color="808080" w:themeColor="background1" w:themeShade="80"/>
            </w:tcBorders>
            <w:hideMark/>
          </w:tcPr>
          <w:p w14:paraId="19942B60" w14:textId="77777777" w:rsidR="00E87D5B" w:rsidRPr="008153CD" w:rsidRDefault="00E87D5B" w:rsidP="008153CD">
            <w:pPr>
              <w:pStyle w:val="NormalWeb"/>
              <w:jc w:val="center"/>
              <w:rPr>
                <w:sz w:val="18"/>
                <w:szCs w:val="18"/>
              </w:rPr>
            </w:pPr>
            <w:r w:rsidRPr="008153CD">
              <w:rPr>
                <w:sz w:val="18"/>
                <w:szCs w:val="18"/>
              </w:rPr>
              <w:t>43.0–58.5%</w:t>
            </w:r>
          </w:p>
        </w:tc>
        <w:tc>
          <w:tcPr>
            <w:tcW w:w="993" w:type="dxa"/>
            <w:tcBorders>
              <w:left w:val="single" w:sz="2" w:space="0" w:color="808080" w:themeColor="background1" w:themeShade="80"/>
              <w:right w:val="single" w:sz="2" w:space="0" w:color="808080" w:themeColor="background1" w:themeShade="80"/>
            </w:tcBorders>
            <w:hideMark/>
          </w:tcPr>
          <w:p w14:paraId="6450B74C" w14:textId="77777777" w:rsidR="00E87D5B" w:rsidRPr="008153CD" w:rsidRDefault="00E87D5B" w:rsidP="008153CD">
            <w:pPr>
              <w:pStyle w:val="NormalWeb"/>
              <w:jc w:val="center"/>
              <w:rPr>
                <w:sz w:val="18"/>
                <w:szCs w:val="18"/>
              </w:rPr>
            </w:pPr>
            <w:r w:rsidRPr="008153CD">
              <w:rPr>
                <w:sz w:val="18"/>
                <w:szCs w:val="18"/>
              </w:rPr>
              <w:t>15.4%</w:t>
            </w:r>
          </w:p>
        </w:tc>
        <w:tc>
          <w:tcPr>
            <w:tcW w:w="1134" w:type="dxa"/>
            <w:tcBorders>
              <w:left w:val="single" w:sz="2" w:space="0" w:color="808080" w:themeColor="background1" w:themeShade="80"/>
              <w:right w:val="single" w:sz="2" w:space="0" w:color="808080" w:themeColor="background1" w:themeShade="80"/>
            </w:tcBorders>
            <w:hideMark/>
          </w:tcPr>
          <w:p w14:paraId="0794CC02" w14:textId="77777777" w:rsidR="00E87D5B" w:rsidRPr="008153CD" w:rsidRDefault="00E87D5B" w:rsidP="008153CD">
            <w:pPr>
              <w:pStyle w:val="NormalWeb"/>
              <w:jc w:val="center"/>
              <w:rPr>
                <w:sz w:val="18"/>
                <w:szCs w:val="18"/>
              </w:rPr>
            </w:pPr>
            <w:r w:rsidRPr="008153CD">
              <w:rPr>
                <w:sz w:val="18"/>
                <w:szCs w:val="18"/>
              </w:rPr>
              <w:t>10.2–22.6%</w:t>
            </w:r>
          </w:p>
        </w:tc>
        <w:tc>
          <w:tcPr>
            <w:tcW w:w="850" w:type="dxa"/>
            <w:tcBorders>
              <w:left w:val="single" w:sz="2" w:space="0" w:color="808080" w:themeColor="background1" w:themeShade="80"/>
              <w:right w:val="single" w:sz="2" w:space="0" w:color="808080" w:themeColor="background1" w:themeShade="80"/>
            </w:tcBorders>
            <w:hideMark/>
          </w:tcPr>
          <w:p w14:paraId="726323B1" w14:textId="77777777" w:rsidR="00E87D5B" w:rsidRPr="008153CD" w:rsidRDefault="00E87D5B" w:rsidP="008153CD">
            <w:pPr>
              <w:pStyle w:val="NormalWeb"/>
              <w:jc w:val="center"/>
              <w:rPr>
                <w:sz w:val="18"/>
                <w:szCs w:val="18"/>
              </w:rPr>
            </w:pPr>
            <w:r w:rsidRPr="008153CD">
              <w:rPr>
                <w:sz w:val="18"/>
                <w:szCs w:val="18"/>
              </w:rPr>
              <w:t>33.9%</w:t>
            </w:r>
          </w:p>
        </w:tc>
        <w:tc>
          <w:tcPr>
            <w:tcW w:w="1226" w:type="dxa"/>
            <w:tcBorders>
              <w:left w:val="single" w:sz="2" w:space="0" w:color="808080" w:themeColor="background1" w:themeShade="80"/>
            </w:tcBorders>
            <w:hideMark/>
          </w:tcPr>
          <w:p w14:paraId="605D3BA1" w14:textId="77777777" w:rsidR="00E87D5B" w:rsidRPr="008153CD" w:rsidRDefault="00E87D5B" w:rsidP="008153CD">
            <w:pPr>
              <w:pStyle w:val="NormalWeb"/>
              <w:jc w:val="center"/>
              <w:rPr>
                <w:sz w:val="18"/>
                <w:szCs w:val="18"/>
              </w:rPr>
            </w:pPr>
            <w:r w:rsidRPr="008153CD">
              <w:rPr>
                <w:sz w:val="18"/>
                <w:szCs w:val="18"/>
              </w:rPr>
              <w:t>26.9–41.6%</w:t>
            </w:r>
          </w:p>
        </w:tc>
      </w:tr>
      <w:tr w:rsidR="00650385" w:rsidRPr="008153CD" w14:paraId="5A5FCAEC" w14:textId="77777777" w:rsidTr="00162373">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808080" w:themeColor="background1" w:themeShade="80"/>
            </w:tcBorders>
            <w:hideMark/>
          </w:tcPr>
          <w:p w14:paraId="78D67CA1" w14:textId="77777777" w:rsidR="00E87D5B" w:rsidRPr="008153CD" w:rsidRDefault="00E87D5B">
            <w:pPr>
              <w:pStyle w:val="NormalWeb"/>
              <w:rPr>
                <w:sz w:val="18"/>
                <w:szCs w:val="18"/>
              </w:rPr>
            </w:pPr>
            <w:r w:rsidRPr="008153CD">
              <w:rPr>
                <w:sz w:val="18"/>
                <w:szCs w:val="18"/>
              </w:rPr>
              <w:t>2–4</w:t>
            </w:r>
          </w:p>
        </w:tc>
        <w:tc>
          <w:tcPr>
            <w:tcW w:w="567" w:type="dxa"/>
            <w:tcBorders>
              <w:left w:val="single" w:sz="2" w:space="0" w:color="808080" w:themeColor="background1" w:themeShade="80"/>
              <w:right w:val="single" w:sz="2" w:space="0" w:color="808080" w:themeColor="background1" w:themeShade="80"/>
            </w:tcBorders>
            <w:hideMark/>
          </w:tcPr>
          <w:p w14:paraId="577835FB" w14:textId="77777777" w:rsidR="00E87D5B" w:rsidRPr="008153CD" w:rsidRDefault="00E87D5B" w:rsidP="008153CD">
            <w:pPr>
              <w:pStyle w:val="NormalWeb"/>
              <w:jc w:val="center"/>
              <w:rPr>
                <w:sz w:val="18"/>
                <w:szCs w:val="18"/>
              </w:rPr>
            </w:pPr>
            <w:r w:rsidRPr="008153CD">
              <w:rPr>
                <w:sz w:val="18"/>
                <w:szCs w:val="18"/>
              </w:rPr>
              <w:t>287</w:t>
            </w:r>
          </w:p>
        </w:tc>
        <w:tc>
          <w:tcPr>
            <w:tcW w:w="992" w:type="dxa"/>
            <w:tcBorders>
              <w:left w:val="single" w:sz="2" w:space="0" w:color="808080" w:themeColor="background1" w:themeShade="80"/>
              <w:right w:val="single" w:sz="2" w:space="0" w:color="808080" w:themeColor="background1" w:themeShade="80"/>
            </w:tcBorders>
            <w:hideMark/>
          </w:tcPr>
          <w:p w14:paraId="39BBC403" w14:textId="77777777" w:rsidR="00E87D5B" w:rsidRPr="008153CD" w:rsidRDefault="00E87D5B" w:rsidP="008153CD">
            <w:pPr>
              <w:pStyle w:val="NormalWeb"/>
              <w:jc w:val="center"/>
              <w:rPr>
                <w:sz w:val="18"/>
                <w:szCs w:val="18"/>
              </w:rPr>
            </w:pPr>
            <w:r w:rsidRPr="008153CD">
              <w:rPr>
                <w:sz w:val="18"/>
                <w:szCs w:val="18"/>
              </w:rPr>
              <w:t>80.8%</w:t>
            </w:r>
          </w:p>
        </w:tc>
        <w:tc>
          <w:tcPr>
            <w:tcW w:w="993" w:type="dxa"/>
            <w:tcBorders>
              <w:left w:val="single" w:sz="2" w:space="0" w:color="808080" w:themeColor="background1" w:themeShade="80"/>
              <w:right w:val="single" w:sz="2" w:space="0" w:color="808080" w:themeColor="background1" w:themeShade="80"/>
            </w:tcBorders>
            <w:hideMark/>
          </w:tcPr>
          <w:p w14:paraId="735B7B28" w14:textId="77777777" w:rsidR="00E87D5B" w:rsidRPr="008153CD" w:rsidRDefault="00E87D5B" w:rsidP="008153CD">
            <w:pPr>
              <w:pStyle w:val="NormalWeb"/>
              <w:jc w:val="center"/>
              <w:rPr>
                <w:sz w:val="18"/>
                <w:szCs w:val="18"/>
              </w:rPr>
            </w:pPr>
            <w:r w:rsidRPr="008153CD">
              <w:rPr>
                <w:sz w:val="18"/>
                <w:szCs w:val="18"/>
              </w:rPr>
              <w:t>75.8–84.9%</w:t>
            </w:r>
          </w:p>
        </w:tc>
        <w:tc>
          <w:tcPr>
            <w:tcW w:w="850" w:type="dxa"/>
            <w:tcBorders>
              <w:left w:val="single" w:sz="2" w:space="0" w:color="808080" w:themeColor="background1" w:themeShade="80"/>
              <w:right w:val="single" w:sz="2" w:space="0" w:color="808080" w:themeColor="background1" w:themeShade="80"/>
            </w:tcBorders>
            <w:hideMark/>
          </w:tcPr>
          <w:p w14:paraId="1790A618" w14:textId="77777777" w:rsidR="00E87D5B" w:rsidRPr="008153CD" w:rsidRDefault="00E87D5B" w:rsidP="008153CD">
            <w:pPr>
              <w:pStyle w:val="NormalWeb"/>
              <w:jc w:val="center"/>
              <w:rPr>
                <w:sz w:val="18"/>
                <w:szCs w:val="18"/>
              </w:rPr>
            </w:pPr>
            <w:r w:rsidRPr="008153CD">
              <w:rPr>
                <w:sz w:val="18"/>
                <w:szCs w:val="18"/>
              </w:rPr>
              <w:t>72.6%</w:t>
            </w:r>
          </w:p>
        </w:tc>
        <w:tc>
          <w:tcPr>
            <w:tcW w:w="992" w:type="dxa"/>
            <w:tcBorders>
              <w:left w:val="single" w:sz="2" w:space="0" w:color="808080" w:themeColor="background1" w:themeShade="80"/>
              <w:right w:val="single" w:sz="2" w:space="0" w:color="808080" w:themeColor="background1" w:themeShade="80"/>
            </w:tcBorders>
            <w:hideMark/>
          </w:tcPr>
          <w:p w14:paraId="2340A43D" w14:textId="77777777" w:rsidR="00E87D5B" w:rsidRPr="008153CD" w:rsidRDefault="00E87D5B" w:rsidP="008153CD">
            <w:pPr>
              <w:pStyle w:val="NormalWeb"/>
              <w:jc w:val="center"/>
              <w:rPr>
                <w:sz w:val="18"/>
                <w:szCs w:val="18"/>
              </w:rPr>
            </w:pPr>
            <w:r w:rsidRPr="008153CD">
              <w:rPr>
                <w:sz w:val="18"/>
                <w:szCs w:val="18"/>
              </w:rPr>
              <w:t>67.1–77.5%</w:t>
            </w:r>
          </w:p>
        </w:tc>
        <w:tc>
          <w:tcPr>
            <w:tcW w:w="993" w:type="dxa"/>
            <w:tcBorders>
              <w:left w:val="single" w:sz="2" w:space="0" w:color="808080" w:themeColor="background1" w:themeShade="80"/>
              <w:right w:val="single" w:sz="2" w:space="0" w:color="808080" w:themeColor="background1" w:themeShade="80"/>
            </w:tcBorders>
            <w:hideMark/>
          </w:tcPr>
          <w:p w14:paraId="01E97083" w14:textId="77777777" w:rsidR="00E87D5B" w:rsidRPr="008153CD" w:rsidRDefault="00E87D5B" w:rsidP="008153CD">
            <w:pPr>
              <w:pStyle w:val="NormalWeb"/>
              <w:jc w:val="center"/>
              <w:rPr>
                <w:sz w:val="18"/>
                <w:szCs w:val="18"/>
              </w:rPr>
            </w:pPr>
            <w:r w:rsidRPr="008153CD">
              <w:rPr>
                <w:sz w:val="18"/>
                <w:szCs w:val="18"/>
              </w:rPr>
              <w:t>8.2%</w:t>
            </w:r>
          </w:p>
        </w:tc>
        <w:tc>
          <w:tcPr>
            <w:tcW w:w="1134" w:type="dxa"/>
            <w:tcBorders>
              <w:left w:val="single" w:sz="2" w:space="0" w:color="808080" w:themeColor="background1" w:themeShade="80"/>
              <w:right w:val="single" w:sz="2" w:space="0" w:color="808080" w:themeColor="background1" w:themeShade="80"/>
            </w:tcBorders>
            <w:hideMark/>
          </w:tcPr>
          <w:p w14:paraId="738DF57A" w14:textId="77777777" w:rsidR="00E87D5B" w:rsidRPr="008153CD" w:rsidRDefault="00E87D5B" w:rsidP="008153CD">
            <w:pPr>
              <w:pStyle w:val="NormalWeb"/>
              <w:jc w:val="center"/>
              <w:rPr>
                <w:sz w:val="18"/>
                <w:szCs w:val="18"/>
              </w:rPr>
            </w:pPr>
            <w:r w:rsidRPr="008153CD">
              <w:rPr>
                <w:sz w:val="18"/>
                <w:szCs w:val="18"/>
              </w:rPr>
              <w:t>5.5–12.1%</w:t>
            </w:r>
          </w:p>
        </w:tc>
        <w:tc>
          <w:tcPr>
            <w:tcW w:w="850" w:type="dxa"/>
            <w:tcBorders>
              <w:left w:val="single" w:sz="2" w:space="0" w:color="808080" w:themeColor="background1" w:themeShade="80"/>
              <w:right w:val="single" w:sz="2" w:space="0" w:color="808080" w:themeColor="background1" w:themeShade="80"/>
            </w:tcBorders>
            <w:hideMark/>
          </w:tcPr>
          <w:p w14:paraId="280F49C0" w14:textId="77777777" w:rsidR="00E87D5B" w:rsidRPr="008153CD" w:rsidRDefault="00E87D5B" w:rsidP="008153CD">
            <w:pPr>
              <w:pStyle w:val="NormalWeb"/>
              <w:jc w:val="center"/>
              <w:rPr>
                <w:sz w:val="18"/>
                <w:szCs w:val="18"/>
              </w:rPr>
            </w:pPr>
            <w:r w:rsidRPr="008153CD">
              <w:rPr>
                <w:sz w:val="18"/>
                <w:szCs w:val="18"/>
              </w:rPr>
              <w:t>19.2%</w:t>
            </w:r>
          </w:p>
        </w:tc>
        <w:tc>
          <w:tcPr>
            <w:tcW w:w="1226" w:type="dxa"/>
            <w:tcBorders>
              <w:left w:val="single" w:sz="2" w:space="0" w:color="808080" w:themeColor="background1" w:themeShade="80"/>
            </w:tcBorders>
            <w:hideMark/>
          </w:tcPr>
          <w:p w14:paraId="6D8D220A" w14:textId="77777777" w:rsidR="00E87D5B" w:rsidRPr="008153CD" w:rsidRDefault="00E87D5B" w:rsidP="008153CD">
            <w:pPr>
              <w:pStyle w:val="NormalWeb"/>
              <w:jc w:val="center"/>
              <w:rPr>
                <w:sz w:val="18"/>
                <w:szCs w:val="18"/>
              </w:rPr>
            </w:pPr>
            <w:r w:rsidRPr="008153CD">
              <w:rPr>
                <w:sz w:val="18"/>
                <w:szCs w:val="18"/>
              </w:rPr>
              <w:t>15.1–24.2%</w:t>
            </w:r>
          </w:p>
        </w:tc>
      </w:tr>
      <w:tr w:rsidR="0022662D" w:rsidRPr="008153CD" w14:paraId="3972DB25" w14:textId="77777777" w:rsidTr="00162373">
        <w:tc>
          <w:tcPr>
            <w:tcW w:w="1843" w:type="dxa"/>
            <w:tcBorders>
              <w:right w:val="single" w:sz="2" w:space="0" w:color="808080" w:themeColor="background1" w:themeShade="80"/>
            </w:tcBorders>
            <w:hideMark/>
          </w:tcPr>
          <w:p w14:paraId="27F8B227" w14:textId="77777777" w:rsidR="00E87D5B" w:rsidRPr="008153CD" w:rsidRDefault="00E87D5B">
            <w:pPr>
              <w:pStyle w:val="NormalWeb"/>
              <w:rPr>
                <w:sz w:val="18"/>
                <w:szCs w:val="18"/>
              </w:rPr>
            </w:pPr>
            <w:r w:rsidRPr="008153CD">
              <w:rPr>
                <w:sz w:val="18"/>
                <w:szCs w:val="18"/>
              </w:rPr>
              <w:t>5–9</w:t>
            </w:r>
          </w:p>
        </w:tc>
        <w:tc>
          <w:tcPr>
            <w:tcW w:w="567" w:type="dxa"/>
            <w:tcBorders>
              <w:left w:val="single" w:sz="2" w:space="0" w:color="808080" w:themeColor="background1" w:themeShade="80"/>
              <w:right w:val="single" w:sz="2" w:space="0" w:color="808080" w:themeColor="background1" w:themeShade="80"/>
            </w:tcBorders>
            <w:hideMark/>
          </w:tcPr>
          <w:p w14:paraId="0AD743A9" w14:textId="77777777" w:rsidR="00E87D5B" w:rsidRPr="008153CD" w:rsidRDefault="00E87D5B" w:rsidP="008153CD">
            <w:pPr>
              <w:pStyle w:val="NormalWeb"/>
              <w:jc w:val="center"/>
              <w:rPr>
                <w:sz w:val="18"/>
                <w:szCs w:val="18"/>
              </w:rPr>
            </w:pPr>
            <w:r w:rsidRPr="008153CD">
              <w:rPr>
                <w:sz w:val="18"/>
                <w:szCs w:val="18"/>
              </w:rPr>
              <w:t>199</w:t>
            </w:r>
          </w:p>
        </w:tc>
        <w:tc>
          <w:tcPr>
            <w:tcW w:w="992" w:type="dxa"/>
            <w:tcBorders>
              <w:left w:val="single" w:sz="2" w:space="0" w:color="808080" w:themeColor="background1" w:themeShade="80"/>
              <w:right w:val="single" w:sz="2" w:space="0" w:color="808080" w:themeColor="background1" w:themeShade="80"/>
            </w:tcBorders>
            <w:hideMark/>
          </w:tcPr>
          <w:p w14:paraId="7F4B546D" w14:textId="77777777" w:rsidR="00E87D5B" w:rsidRPr="008153CD" w:rsidRDefault="00E87D5B" w:rsidP="008153CD">
            <w:pPr>
              <w:pStyle w:val="NormalWeb"/>
              <w:jc w:val="center"/>
              <w:rPr>
                <w:sz w:val="18"/>
                <w:szCs w:val="18"/>
              </w:rPr>
            </w:pPr>
            <w:r w:rsidRPr="008153CD">
              <w:rPr>
                <w:sz w:val="18"/>
                <w:szCs w:val="18"/>
              </w:rPr>
              <w:t>88.3%</w:t>
            </w:r>
          </w:p>
        </w:tc>
        <w:tc>
          <w:tcPr>
            <w:tcW w:w="993" w:type="dxa"/>
            <w:tcBorders>
              <w:left w:val="single" w:sz="2" w:space="0" w:color="808080" w:themeColor="background1" w:themeShade="80"/>
              <w:right w:val="single" w:sz="2" w:space="0" w:color="808080" w:themeColor="background1" w:themeShade="80"/>
            </w:tcBorders>
            <w:hideMark/>
          </w:tcPr>
          <w:p w14:paraId="07F2D5FB" w14:textId="77777777" w:rsidR="00E87D5B" w:rsidRPr="008153CD" w:rsidRDefault="00E87D5B" w:rsidP="008153CD">
            <w:pPr>
              <w:pStyle w:val="NormalWeb"/>
              <w:jc w:val="center"/>
              <w:rPr>
                <w:sz w:val="18"/>
                <w:szCs w:val="18"/>
              </w:rPr>
            </w:pPr>
            <w:r w:rsidRPr="008153CD">
              <w:rPr>
                <w:sz w:val="18"/>
                <w:szCs w:val="18"/>
              </w:rPr>
              <w:t>83.1–92.1%</w:t>
            </w:r>
          </w:p>
        </w:tc>
        <w:tc>
          <w:tcPr>
            <w:tcW w:w="850" w:type="dxa"/>
            <w:tcBorders>
              <w:left w:val="single" w:sz="2" w:space="0" w:color="808080" w:themeColor="background1" w:themeShade="80"/>
              <w:right w:val="single" w:sz="2" w:space="0" w:color="808080" w:themeColor="background1" w:themeShade="80"/>
            </w:tcBorders>
            <w:hideMark/>
          </w:tcPr>
          <w:p w14:paraId="0A07C5BE" w14:textId="77777777" w:rsidR="00E87D5B" w:rsidRPr="008153CD" w:rsidRDefault="00E87D5B" w:rsidP="008153CD">
            <w:pPr>
              <w:pStyle w:val="NormalWeb"/>
              <w:jc w:val="center"/>
              <w:rPr>
                <w:sz w:val="18"/>
                <w:szCs w:val="18"/>
              </w:rPr>
            </w:pPr>
            <w:r w:rsidRPr="008153CD">
              <w:rPr>
                <w:sz w:val="18"/>
                <w:szCs w:val="18"/>
              </w:rPr>
              <w:t>79.9%</w:t>
            </w:r>
          </w:p>
        </w:tc>
        <w:tc>
          <w:tcPr>
            <w:tcW w:w="992" w:type="dxa"/>
            <w:tcBorders>
              <w:left w:val="single" w:sz="2" w:space="0" w:color="808080" w:themeColor="background1" w:themeShade="80"/>
              <w:right w:val="single" w:sz="2" w:space="0" w:color="808080" w:themeColor="background1" w:themeShade="80"/>
            </w:tcBorders>
            <w:hideMark/>
          </w:tcPr>
          <w:p w14:paraId="6739CF68" w14:textId="77777777" w:rsidR="00E87D5B" w:rsidRPr="008153CD" w:rsidRDefault="00E87D5B" w:rsidP="008153CD">
            <w:pPr>
              <w:pStyle w:val="NormalWeb"/>
              <w:jc w:val="center"/>
              <w:rPr>
                <w:sz w:val="18"/>
                <w:szCs w:val="18"/>
              </w:rPr>
            </w:pPr>
            <w:r w:rsidRPr="008153CD">
              <w:rPr>
                <w:sz w:val="18"/>
                <w:szCs w:val="18"/>
              </w:rPr>
              <w:t>73.7–84.9%</w:t>
            </w:r>
          </w:p>
        </w:tc>
        <w:tc>
          <w:tcPr>
            <w:tcW w:w="993" w:type="dxa"/>
            <w:tcBorders>
              <w:left w:val="single" w:sz="2" w:space="0" w:color="808080" w:themeColor="background1" w:themeShade="80"/>
              <w:right w:val="single" w:sz="2" w:space="0" w:color="808080" w:themeColor="background1" w:themeShade="80"/>
            </w:tcBorders>
            <w:hideMark/>
          </w:tcPr>
          <w:p w14:paraId="2FD6AA44" w14:textId="77777777" w:rsidR="00E87D5B" w:rsidRPr="008153CD" w:rsidRDefault="00E87D5B" w:rsidP="008153CD">
            <w:pPr>
              <w:pStyle w:val="NormalWeb"/>
              <w:jc w:val="center"/>
              <w:rPr>
                <w:sz w:val="18"/>
                <w:szCs w:val="18"/>
              </w:rPr>
            </w:pPr>
            <w:r w:rsidRPr="008153CD">
              <w:rPr>
                <w:sz w:val="18"/>
                <w:szCs w:val="18"/>
              </w:rPr>
              <w:t>8.5%</w:t>
            </w:r>
          </w:p>
        </w:tc>
        <w:tc>
          <w:tcPr>
            <w:tcW w:w="1134" w:type="dxa"/>
            <w:tcBorders>
              <w:left w:val="single" w:sz="2" w:space="0" w:color="808080" w:themeColor="background1" w:themeShade="80"/>
              <w:right w:val="single" w:sz="2" w:space="0" w:color="808080" w:themeColor="background1" w:themeShade="80"/>
            </w:tcBorders>
            <w:hideMark/>
          </w:tcPr>
          <w:p w14:paraId="594EB23E" w14:textId="77777777" w:rsidR="00E87D5B" w:rsidRPr="008153CD" w:rsidRDefault="00E87D5B" w:rsidP="008153CD">
            <w:pPr>
              <w:pStyle w:val="NormalWeb"/>
              <w:jc w:val="center"/>
              <w:rPr>
                <w:sz w:val="18"/>
                <w:szCs w:val="18"/>
              </w:rPr>
            </w:pPr>
            <w:r w:rsidRPr="008153CD">
              <w:rPr>
                <w:sz w:val="18"/>
                <w:szCs w:val="18"/>
              </w:rPr>
              <w:t>5.3–13.2%</w:t>
            </w:r>
          </w:p>
        </w:tc>
        <w:tc>
          <w:tcPr>
            <w:tcW w:w="850" w:type="dxa"/>
            <w:tcBorders>
              <w:left w:val="single" w:sz="2" w:space="0" w:color="808080" w:themeColor="background1" w:themeShade="80"/>
              <w:right w:val="single" w:sz="2" w:space="0" w:color="808080" w:themeColor="background1" w:themeShade="80"/>
            </w:tcBorders>
            <w:hideMark/>
          </w:tcPr>
          <w:p w14:paraId="3B18CF90" w14:textId="77777777" w:rsidR="00E87D5B" w:rsidRPr="008153CD" w:rsidRDefault="00E87D5B" w:rsidP="008153CD">
            <w:pPr>
              <w:pStyle w:val="NormalWeb"/>
              <w:jc w:val="center"/>
              <w:rPr>
                <w:sz w:val="18"/>
                <w:szCs w:val="18"/>
              </w:rPr>
            </w:pPr>
            <w:r w:rsidRPr="008153CD">
              <w:rPr>
                <w:sz w:val="18"/>
                <w:szCs w:val="18"/>
              </w:rPr>
              <w:t>11.7%</w:t>
            </w:r>
          </w:p>
        </w:tc>
        <w:tc>
          <w:tcPr>
            <w:tcW w:w="1226" w:type="dxa"/>
            <w:tcBorders>
              <w:left w:val="single" w:sz="2" w:space="0" w:color="808080" w:themeColor="background1" w:themeShade="80"/>
            </w:tcBorders>
            <w:hideMark/>
          </w:tcPr>
          <w:p w14:paraId="41DF9563" w14:textId="77777777" w:rsidR="00E87D5B" w:rsidRPr="008153CD" w:rsidRDefault="00E87D5B" w:rsidP="008153CD">
            <w:pPr>
              <w:pStyle w:val="NormalWeb"/>
              <w:jc w:val="center"/>
              <w:rPr>
                <w:sz w:val="18"/>
                <w:szCs w:val="18"/>
              </w:rPr>
            </w:pPr>
            <w:r w:rsidRPr="008153CD">
              <w:rPr>
                <w:sz w:val="18"/>
                <w:szCs w:val="18"/>
              </w:rPr>
              <w:t>7.9–16.9%</w:t>
            </w:r>
          </w:p>
        </w:tc>
      </w:tr>
      <w:tr w:rsidR="00650385" w:rsidRPr="008153CD" w14:paraId="0E511AC2" w14:textId="77777777" w:rsidTr="00162373">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808080" w:themeColor="background1" w:themeShade="80"/>
            </w:tcBorders>
            <w:hideMark/>
          </w:tcPr>
          <w:p w14:paraId="064DEEAA" w14:textId="77777777" w:rsidR="00E87D5B" w:rsidRPr="008153CD" w:rsidRDefault="00E87D5B">
            <w:pPr>
              <w:pStyle w:val="NormalWeb"/>
              <w:rPr>
                <w:sz w:val="18"/>
                <w:szCs w:val="18"/>
              </w:rPr>
            </w:pPr>
            <w:r w:rsidRPr="008153CD">
              <w:rPr>
                <w:sz w:val="18"/>
                <w:szCs w:val="18"/>
              </w:rPr>
              <w:t>10–14</w:t>
            </w:r>
          </w:p>
        </w:tc>
        <w:tc>
          <w:tcPr>
            <w:tcW w:w="567" w:type="dxa"/>
            <w:tcBorders>
              <w:left w:val="single" w:sz="2" w:space="0" w:color="808080" w:themeColor="background1" w:themeShade="80"/>
              <w:right w:val="single" w:sz="2" w:space="0" w:color="808080" w:themeColor="background1" w:themeShade="80"/>
            </w:tcBorders>
            <w:hideMark/>
          </w:tcPr>
          <w:p w14:paraId="76C9A986" w14:textId="77777777" w:rsidR="00E87D5B" w:rsidRPr="008153CD" w:rsidRDefault="00E87D5B" w:rsidP="008153CD">
            <w:pPr>
              <w:pStyle w:val="NormalWeb"/>
              <w:jc w:val="center"/>
              <w:rPr>
                <w:sz w:val="18"/>
                <w:szCs w:val="18"/>
              </w:rPr>
            </w:pPr>
            <w:r w:rsidRPr="008153CD">
              <w:rPr>
                <w:sz w:val="18"/>
                <w:szCs w:val="18"/>
              </w:rPr>
              <w:t>270</w:t>
            </w:r>
          </w:p>
        </w:tc>
        <w:tc>
          <w:tcPr>
            <w:tcW w:w="992" w:type="dxa"/>
            <w:tcBorders>
              <w:left w:val="single" w:sz="2" w:space="0" w:color="808080" w:themeColor="background1" w:themeShade="80"/>
              <w:right w:val="single" w:sz="2" w:space="0" w:color="808080" w:themeColor="background1" w:themeShade="80"/>
            </w:tcBorders>
            <w:hideMark/>
          </w:tcPr>
          <w:p w14:paraId="31797B9B" w14:textId="77777777" w:rsidR="00E87D5B" w:rsidRPr="008153CD" w:rsidRDefault="00E87D5B" w:rsidP="008153CD">
            <w:pPr>
              <w:pStyle w:val="NormalWeb"/>
              <w:jc w:val="center"/>
              <w:rPr>
                <w:sz w:val="18"/>
                <w:szCs w:val="18"/>
              </w:rPr>
            </w:pPr>
            <w:r w:rsidRPr="008153CD">
              <w:rPr>
                <w:sz w:val="18"/>
                <w:szCs w:val="18"/>
              </w:rPr>
              <w:t>81.2%</w:t>
            </w:r>
          </w:p>
        </w:tc>
        <w:tc>
          <w:tcPr>
            <w:tcW w:w="993" w:type="dxa"/>
            <w:tcBorders>
              <w:left w:val="single" w:sz="2" w:space="0" w:color="808080" w:themeColor="background1" w:themeShade="80"/>
              <w:right w:val="single" w:sz="2" w:space="0" w:color="808080" w:themeColor="background1" w:themeShade="80"/>
            </w:tcBorders>
            <w:hideMark/>
          </w:tcPr>
          <w:p w14:paraId="1C87C1F4" w14:textId="77777777" w:rsidR="00E87D5B" w:rsidRPr="008153CD" w:rsidRDefault="00E87D5B" w:rsidP="008153CD">
            <w:pPr>
              <w:pStyle w:val="NormalWeb"/>
              <w:jc w:val="center"/>
              <w:rPr>
                <w:sz w:val="18"/>
                <w:szCs w:val="18"/>
              </w:rPr>
            </w:pPr>
            <w:r w:rsidRPr="008153CD">
              <w:rPr>
                <w:sz w:val="18"/>
                <w:szCs w:val="18"/>
              </w:rPr>
              <w:t>76.1–85.4%</w:t>
            </w:r>
          </w:p>
        </w:tc>
        <w:tc>
          <w:tcPr>
            <w:tcW w:w="850" w:type="dxa"/>
            <w:tcBorders>
              <w:left w:val="single" w:sz="2" w:space="0" w:color="808080" w:themeColor="background1" w:themeShade="80"/>
              <w:right w:val="single" w:sz="2" w:space="0" w:color="808080" w:themeColor="background1" w:themeShade="80"/>
            </w:tcBorders>
            <w:hideMark/>
          </w:tcPr>
          <w:p w14:paraId="1F285C8C" w14:textId="77777777" w:rsidR="00E87D5B" w:rsidRPr="008153CD" w:rsidRDefault="00E87D5B" w:rsidP="008153CD">
            <w:pPr>
              <w:pStyle w:val="NormalWeb"/>
              <w:jc w:val="center"/>
              <w:rPr>
                <w:sz w:val="18"/>
                <w:szCs w:val="18"/>
              </w:rPr>
            </w:pPr>
            <w:r w:rsidRPr="008153CD">
              <w:rPr>
                <w:sz w:val="18"/>
                <w:szCs w:val="18"/>
              </w:rPr>
              <w:t>65.0%</w:t>
            </w:r>
          </w:p>
        </w:tc>
        <w:tc>
          <w:tcPr>
            <w:tcW w:w="992" w:type="dxa"/>
            <w:tcBorders>
              <w:left w:val="single" w:sz="2" w:space="0" w:color="808080" w:themeColor="background1" w:themeShade="80"/>
              <w:right w:val="single" w:sz="2" w:space="0" w:color="808080" w:themeColor="background1" w:themeShade="80"/>
            </w:tcBorders>
            <w:hideMark/>
          </w:tcPr>
          <w:p w14:paraId="6A733575" w14:textId="77777777" w:rsidR="00E87D5B" w:rsidRPr="008153CD" w:rsidRDefault="00E87D5B" w:rsidP="008153CD">
            <w:pPr>
              <w:pStyle w:val="NormalWeb"/>
              <w:jc w:val="center"/>
              <w:rPr>
                <w:sz w:val="18"/>
                <w:szCs w:val="18"/>
              </w:rPr>
            </w:pPr>
            <w:r w:rsidRPr="008153CD">
              <w:rPr>
                <w:sz w:val="18"/>
                <w:szCs w:val="18"/>
              </w:rPr>
              <w:t>59.2–70.5%</w:t>
            </w:r>
          </w:p>
        </w:tc>
        <w:tc>
          <w:tcPr>
            <w:tcW w:w="993" w:type="dxa"/>
            <w:tcBorders>
              <w:left w:val="single" w:sz="2" w:space="0" w:color="808080" w:themeColor="background1" w:themeShade="80"/>
              <w:right w:val="single" w:sz="2" w:space="0" w:color="808080" w:themeColor="background1" w:themeShade="80"/>
            </w:tcBorders>
            <w:hideMark/>
          </w:tcPr>
          <w:p w14:paraId="60D6B819" w14:textId="77777777" w:rsidR="00E87D5B" w:rsidRPr="008153CD" w:rsidRDefault="00E87D5B" w:rsidP="008153CD">
            <w:pPr>
              <w:pStyle w:val="NormalWeb"/>
              <w:jc w:val="center"/>
              <w:rPr>
                <w:sz w:val="18"/>
                <w:szCs w:val="18"/>
              </w:rPr>
            </w:pPr>
            <w:r w:rsidRPr="008153CD">
              <w:rPr>
                <w:sz w:val="18"/>
                <w:szCs w:val="18"/>
              </w:rPr>
              <w:t>16.1%</w:t>
            </w:r>
          </w:p>
        </w:tc>
        <w:tc>
          <w:tcPr>
            <w:tcW w:w="1134" w:type="dxa"/>
            <w:tcBorders>
              <w:left w:val="single" w:sz="2" w:space="0" w:color="808080" w:themeColor="background1" w:themeShade="80"/>
              <w:right w:val="single" w:sz="2" w:space="0" w:color="808080" w:themeColor="background1" w:themeShade="80"/>
            </w:tcBorders>
            <w:hideMark/>
          </w:tcPr>
          <w:p w14:paraId="286174D2" w14:textId="77777777" w:rsidR="00E87D5B" w:rsidRPr="008153CD" w:rsidRDefault="00E87D5B" w:rsidP="008153CD">
            <w:pPr>
              <w:pStyle w:val="NormalWeb"/>
              <w:jc w:val="center"/>
              <w:rPr>
                <w:sz w:val="18"/>
                <w:szCs w:val="18"/>
              </w:rPr>
            </w:pPr>
            <w:r w:rsidRPr="008153CD">
              <w:rPr>
                <w:sz w:val="18"/>
                <w:szCs w:val="18"/>
              </w:rPr>
              <w:t>12.2–21.0%</w:t>
            </w:r>
          </w:p>
        </w:tc>
        <w:tc>
          <w:tcPr>
            <w:tcW w:w="850" w:type="dxa"/>
            <w:tcBorders>
              <w:left w:val="single" w:sz="2" w:space="0" w:color="808080" w:themeColor="background1" w:themeShade="80"/>
              <w:right w:val="single" w:sz="2" w:space="0" w:color="808080" w:themeColor="background1" w:themeShade="80"/>
            </w:tcBorders>
            <w:hideMark/>
          </w:tcPr>
          <w:p w14:paraId="3DCB58AF" w14:textId="77777777" w:rsidR="00E87D5B" w:rsidRPr="008153CD" w:rsidRDefault="00E87D5B" w:rsidP="008153CD">
            <w:pPr>
              <w:pStyle w:val="NormalWeb"/>
              <w:jc w:val="center"/>
              <w:rPr>
                <w:sz w:val="18"/>
                <w:szCs w:val="18"/>
              </w:rPr>
            </w:pPr>
            <w:r w:rsidRPr="008153CD">
              <w:rPr>
                <w:sz w:val="18"/>
                <w:szCs w:val="18"/>
              </w:rPr>
              <w:t>18.8%</w:t>
            </w:r>
          </w:p>
        </w:tc>
        <w:tc>
          <w:tcPr>
            <w:tcW w:w="1226" w:type="dxa"/>
            <w:tcBorders>
              <w:left w:val="single" w:sz="2" w:space="0" w:color="808080" w:themeColor="background1" w:themeShade="80"/>
            </w:tcBorders>
            <w:hideMark/>
          </w:tcPr>
          <w:p w14:paraId="3D15F47C" w14:textId="77777777" w:rsidR="00E87D5B" w:rsidRPr="008153CD" w:rsidRDefault="00E87D5B" w:rsidP="008153CD">
            <w:pPr>
              <w:pStyle w:val="NormalWeb"/>
              <w:jc w:val="center"/>
              <w:rPr>
                <w:sz w:val="18"/>
                <w:szCs w:val="18"/>
              </w:rPr>
            </w:pPr>
            <w:r w:rsidRPr="008153CD">
              <w:rPr>
                <w:sz w:val="18"/>
                <w:szCs w:val="18"/>
              </w:rPr>
              <w:t>14.6–23.9%</w:t>
            </w:r>
          </w:p>
        </w:tc>
      </w:tr>
      <w:tr w:rsidR="0022662D" w:rsidRPr="008153CD" w14:paraId="2F21D179" w14:textId="77777777" w:rsidTr="00162373">
        <w:tc>
          <w:tcPr>
            <w:tcW w:w="1843" w:type="dxa"/>
            <w:tcBorders>
              <w:right w:val="single" w:sz="2" w:space="0" w:color="808080" w:themeColor="background1" w:themeShade="80"/>
            </w:tcBorders>
            <w:hideMark/>
          </w:tcPr>
          <w:p w14:paraId="587C328E" w14:textId="77777777" w:rsidR="00E87D5B" w:rsidRPr="008153CD" w:rsidRDefault="00E87D5B">
            <w:pPr>
              <w:pStyle w:val="NormalWeb"/>
              <w:rPr>
                <w:sz w:val="18"/>
                <w:szCs w:val="18"/>
              </w:rPr>
            </w:pPr>
            <w:r w:rsidRPr="008153CD">
              <w:rPr>
                <w:sz w:val="18"/>
                <w:szCs w:val="18"/>
              </w:rPr>
              <w:t>15–19</w:t>
            </w:r>
          </w:p>
        </w:tc>
        <w:tc>
          <w:tcPr>
            <w:tcW w:w="567" w:type="dxa"/>
            <w:tcBorders>
              <w:left w:val="single" w:sz="2" w:space="0" w:color="808080" w:themeColor="background1" w:themeShade="80"/>
              <w:right w:val="single" w:sz="2" w:space="0" w:color="808080" w:themeColor="background1" w:themeShade="80"/>
            </w:tcBorders>
            <w:hideMark/>
          </w:tcPr>
          <w:p w14:paraId="2FAC66A0" w14:textId="77777777" w:rsidR="00E87D5B" w:rsidRPr="008153CD" w:rsidRDefault="00E87D5B" w:rsidP="008153CD">
            <w:pPr>
              <w:pStyle w:val="NormalWeb"/>
              <w:jc w:val="center"/>
              <w:rPr>
                <w:sz w:val="18"/>
                <w:szCs w:val="18"/>
              </w:rPr>
            </w:pPr>
            <w:r w:rsidRPr="008153CD">
              <w:rPr>
                <w:sz w:val="18"/>
                <w:szCs w:val="18"/>
              </w:rPr>
              <w:t>270</w:t>
            </w:r>
          </w:p>
        </w:tc>
        <w:tc>
          <w:tcPr>
            <w:tcW w:w="992" w:type="dxa"/>
            <w:tcBorders>
              <w:left w:val="single" w:sz="2" w:space="0" w:color="808080" w:themeColor="background1" w:themeShade="80"/>
              <w:right w:val="single" w:sz="2" w:space="0" w:color="808080" w:themeColor="background1" w:themeShade="80"/>
            </w:tcBorders>
            <w:hideMark/>
          </w:tcPr>
          <w:p w14:paraId="03E9D754" w14:textId="77777777" w:rsidR="00E87D5B" w:rsidRPr="008153CD" w:rsidRDefault="00E87D5B" w:rsidP="008153CD">
            <w:pPr>
              <w:pStyle w:val="NormalWeb"/>
              <w:jc w:val="center"/>
              <w:rPr>
                <w:sz w:val="18"/>
                <w:szCs w:val="18"/>
              </w:rPr>
            </w:pPr>
            <w:r w:rsidRPr="008153CD">
              <w:rPr>
                <w:sz w:val="18"/>
                <w:szCs w:val="18"/>
              </w:rPr>
              <w:t>82.6%</w:t>
            </w:r>
          </w:p>
        </w:tc>
        <w:tc>
          <w:tcPr>
            <w:tcW w:w="993" w:type="dxa"/>
            <w:tcBorders>
              <w:left w:val="single" w:sz="2" w:space="0" w:color="808080" w:themeColor="background1" w:themeShade="80"/>
              <w:right w:val="single" w:sz="2" w:space="0" w:color="808080" w:themeColor="background1" w:themeShade="80"/>
            </w:tcBorders>
            <w:hideMark/>
          </w:tcPr>
          <w:p w14:paraId="3CF664C4" w14:textId="77777777" w:rsidR="00E87D5B" w:rsidRPr="008153CD" w:rsidRDefault="00E87D5B" w:rsidP="008153CD">
            <w:pPr>
              <w:pStyle w:val="NormalWeb"/>
              <w:jc w:val="center"/>
              <w:rPr>
                <w:sz w:val="18"/>
                <w:szCs w:val="18"/>
              </w:rPr>
            </w:pPr>
            <w:r w:rsidRPr="008153CD">
              <w:rPr>
                <w:sz w:val="18"/>
                <w:szCs w:val="18"/>
              </w:rPr>
              <w:t>77.6–86.7%</w:t>
            </w:r>
          </w:p>
        </w:tc>
        <w:tc>
          <w:tcPr>
            <w:tcW w:w="850" w:type="dxa"/>
            <w:tcBorders>
              <w:left w:val="single" w:sz="2" w:space="0" w:color="808080" w:themeColor="background1" w:themeShade="80"/>
              <w:right w:val="single" w:sz="2" w:space="0" w:color="808080" w:themeColor="background1" w:themeShade="80"/>
            </w:tcBorders>
            <w:hideMark/>
          </w:tcPr>
          <w:p w14:paraId="53849655" w14:textId="77777777" w:rsidR="00E87D5B" w:rsidRPr="008153CD" w:rsidRDefault="00E87D5B" w:rsidP="008153CD">
            <w:pPr>
              <w:pStyle w:val="NormalWeb"/>
              <w:jc w:val="center"/>
              <w:rPr>
                <w:sz w:val="18"/>
                <w:szCs w:val="18"/>
              </w:rPr>
            </w:pPr>
            <w:r w:rsidRPr="008153CD">
              <w:rPr>
                <w:sz w:val="18"/>
                <w:szCs w:val="18"/>
              </w:rPr>
              <w:t>69.2%</w:t>
            </w:r>
          </w:p>
        </w:tc>
        <w:tc>
          <w:tcPr>
            <w:tcW w:w="992" w:type="dxa"/>
            <w:tcBorders>
              <w:left w:val="single" w:sz="2" w:space="0" w:color="808080" w:themeColor="background1" w:themeShade="80"/>
              <w:right w:val="single" w:sz="2" w:space="0" w:color="808080" w:themeColor="background1" w:themeShade="80"/>
            </w:tcBorders>
            <w:hideMark/>
          </w:tcPr>
          <w:p w14:paraId="208820A2" w14:textId="77777777" w:rsidR="00E87D5B" w:rsidRPr="008153CD" w:rsidRDefault="00E87D5B" w:rsidP="008153CD">
            <w:pPr>
              <w:pStyle w:val="NormalWeb"/>
              <w:jc w:val="center"/>
              <w:rPr>
                <w:sz w:val="18"/>
                <w:szCs w:val="18"/>
              </w:rPr>
            </w:pPr>
            <w:r w:rsidRPr="008153CD">
              <w:rPr>
                <w:sz w:val="18"/>
                <w:szCs w:val="18"/>
              </w:rPr>
              <w:t>63.4–74.5%</w:t>
            </w:r>
          </w:p>
        </w:tc>
        <w:tc>
          <w:tcPr>
            <w:tcW w:w="993" w:type="dxa"/>
            <w:tcBorders>
              <w:left w:val="single" w:sz="2" w:space="0" w:color="808080" w:themeColor="background1" w:themeShade="80"/>
              <w:right w:val="single" w:sz="2" w:space="0" w:color="808080" w:themeColor="background1" w:themeShade="80"/>
            </w:tcBorders>
            <w:hideMark/>
          </w:tcPr>
          <w:p w14:paraId="2158B3F4" w14:textId="77777777" w:rsidR="00E87D5B" w:rsidRPr="008153CD" w:rsidRDefault="00E87D5B" w:rsidP="008153CD">
            <w:pPr>
              <w:pStyle w:val="NormalWeb"/>
              <w:jc w:val="center"/>
              <w:rPr>
                <w:sz w:val="18"/>
                <w:szCs w:val="18"/>
              </w:rPr>
            </w:pPr>
            <w:r w:rsidRPr="008153CD">
              <w:rPr>
                <w:sz w:val="18"/>
                <w:szCs w:val="18"/>
              </w:rPr>
              <w:t>13.4%</w:t>
            </w:r>
          </w:p>
        </w:tc>
        <w:tc>
          <w:tcPr>
            <w:tcW w:w="1134" w:type="dxa"/>
            <w:tcBorders>
              <w:left w:val="single" w:sz="2" w:space="0" w:color="808080" w:themeColor="background1" w:themeShade="80"/>
              <w:right w:val="single" w:sz="2" w:space="0" w:color="808080" w:themeColor="background1" w:themeShade="80"/>
            </w:tcBorders>
            <w:hideMark/>
          </w:tcPr>
          <w:p w14:paraId="62FC6DF5" w14:textId="77777777" w:rsidR="00E87D5B" w:rsidRPr="008153CD" w:rsidRDefault="00E87D5B" w:rsidP="008153CD">
            <w:pPr>
              <w:pStyle w:val="NormalWeb"/>
              <w:jc w:val="center"/>
              <w:rPr>
                <w:sz w:val="18"/>
                <w:szCs w:val="18"/>
              </w:rPr>
            </w:pPr>
            <w:r w:rsidRPr="008153CD">
              <w:rPr>
                <w:sz w:val="18"/>
                <w:szCs w:val="18"/>
              </w:rPr>
              <w:t>9.7–18.1%</w:t>
            </w:r>
          </w:p>
        </w:tc>
        <w:tc>
          <w:tcPr>
            <w:tcW w:w="850" w:type="dxa"/>
            <w:tcBorders>
              <w:left w:val="single" w:sz="2" w:space="0" w:color="808080" w:themeColor="background1" w:themeShade="80"/>
              <w:right w:val="single" w:sz="2" w:space="0" w:color="808080" w:themeColor="background1" w:themeShade="80"/>
            </w:tcBorders>
            <w:hideMark/>
          </w:tcPr>
          <w:p w14:paraId="09133370" w14:textId="77777777" w:rsidR="00E87D5B" w:rsidRPr="008153CD" w:rsidRDefault="00E87D5B" w:rsidP="008153CD">
            <w:pPr>
              <w:pStyle w:val="NormalWeb"/>
              <w:jc w:val="center"/>
              <w:rPr>
                <w:sz w:val="18"/>
                <w:szCs w:val="18"/>
              </w:rPr>
            </w:pPr>
            <w:r w:rsidRPr="008153CD">
              <w:rPr>
                <w:sz w:val="18"/>
                <w:szCs w:val="18"/>
              </w:rPr>
              <w:t>17.4%</w:t>
            </w:r>
          </w:p>
        </w:tc>
        <w:tc>
          <w:tcPr>
            <w:tcW w:w="1226" w:type="dxa"/>
            <w:tcBorders>
              <w:left w:val="single" w:sz="2" w:space="0" w:color="808080" w:themeColor="background1" w:themeShade="80"/>
            </w:tcBorders>
            <w:hideMark/>
          </w:tcPr>
          <w:p w14:paraId="40A90496" w14:textId="77777777" w:rsidR="00E87D5B" w:rsidRPr="008153CD" w:rsidRDefault="00E87D5B" w:rsidP="008153CD">
            <w:pPr>
              <w:pStyle w:val="NormalWeb"/>
              <w:jc w:val="center"/>
              <w:rPr>
                <w:sz w:val="18"/>
                <w:szCs w:val="18"/>
              </w:rPr>
            </w:pPr>
            <w:r w:rsidRPr="008153CD">
              <w:rPr>
                <w:sz w:val="18"/>
                <w:szCs w:val="18"/>
              </w:rPr>
              <w:t>13.3–22.4%</w:t>
            </w:r>
          </w:p>
        </w:tc>
      </w:tr>
      <w:tr w:rsidR="00650385" w:rsidRPr="008153CD" w14:paraId="35866131" w14:textId="77777777" w:rsidTr="00162373">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808080" w:themeColor="background1" w:themeShade="80"/>
            </w:tcBorders>
            <w:hideMark/>
          </w:tcPr>
          <w:p w14:paraId="3F6DE6C6" w14:textId="77777777" w:rsidR="00E87D5B" w:rsidRPr="008153CD" w:rsidRDefault="00E87D5B">
            <w:pPr>
              <w:pStyle w:val="NormalWeb"/>
              <w:rPr>
                <w:sz w:val="18"/>
                <w:szCs w:val="18"/>
              </w:rPr>
            </w:pPr>
            <w:r w:rsidRPr="008153CD">
              <w:rPr>
                <w:sz w:val="18"/>
                <w:szCs w:val="18"/>
              </w:rPr>
              <w:t>20–24</w:t>
            </w:r>
          </w:p>
        </w:tc>
        <w:tc>
          <w:tcPr>
            <w:tcW w:w="567" w:type="dxa"/>
            <w:tcBorders>
              <w:left w:val="single" w:sz="2" w:space="0" w:color="808080" w:themeColor="background1" w:themeShade="80"/>
              <w:right w:val="single" w:sz="2" w:space="0" w:color="808080" w:themeColor="background1" w:themeShade="80"/>
            </w:tcBorders>
            <w:hideMark/>
          </w:tcPr>
          <w:p w14:paraId="763B0F45" w14:textId="77777777" w:rsidR="00E87D5B" w:rsidRPr="008153CD" w:rsidRDefault="00E87D5B" w:rsidP="008153CD">
            <w:pPr>
              <w:pStyle w:val="NormalWeb"/>
              <w:jc w:val="center"/>
              <w:rPr>
                <w:sz w:val="18"/>
                <w:szCs w:val="18"/>
              </w:rPr>
            </w:pPr>
            <w:r w:rsidRPr="008153CD">
              <w:rPr>
                <w:sz w:val="18"/>
                <w:szCs w:val="18"/>
              </w:rPr>
              <w:t>250</w:t>
            </w:r>
          </w:p>
        </w:tc>
        <w:tc>
          <w:tcPr>
            <w:tcW w:w="992" w:type="dxa"/>
            <w:tcBorders>
              <w:left w:val="single" w:sz="2" w:space="0" w:color="808080" w:themeColor="background1" w:themeShade="80"/>
              <w:right w:val="single" w:sz="2" w:space="0" w:color="808080" w:themeColor="background1" w:themeShade="80"/>
            </w:tcBorders>
            <w:hideMark/>
          </w:tcPr>
          <w:p w14:paraId="52C5C5FF" w14:textId="77777777" w:rsidR="00E87D5B" w:rsidRPr="008153CD" w:rsidRDefault="00E87D5B" w:rsidP="008153CD">
            <w:pPr>
              <w:pStyle w:val="NormalWeb"/>
              <w:jc w:val="center"/>
              <w:rPr>
                <w:sz w:val="18"/>
                <w:szCs w:val="18"/>
              </w:rPr>
            </w:pPr>
            <w:r w:rsidRPr="008153CD">
              <w:rPr>
                <w:sz w:val="18"/>
                <w:szCs w:val="18"/>
              </w:rPr>
              <w:t>80.6%</w:t>
            </w:r>
          </w:p>
        </w:tc>
        <w:tc>
          <w:tcPr>
            <w:tcW w:w="993" w:type="dxa"/>
            <w:tcBorders>
              <w:left w:val="single" w:sz="2" w:space="0" w:color="808080" w:themeColor="background1" w:themeShade="80"/>
              <w:right w:val="single" w:sz="2" w:space="0" w:color="808080" w:themeColor="background1" w:themeShade="80"/>
            </w:tcBorders>
            <w:hideMark/>
          </w:tcPr>
          <w:p w14:paraId="0849B243" w14:textId="77777777" w:rsidR="00E87D5B" w:rsidRPr="008153CD" w:rsidRDefault="00E87D5B" w:rsidP="008153CD">
            <w:pPr>
              <w:pStyle w:val="NormalWeb"/>
              <w:jc w:val="center"/>
              <w:rPr>
                <w:sz w:val="18"/>
                <w:szCs w:val="18"/>
              </w:rPr>
            </w:pPr>
            <w:r w:rsidRPr="008153CD">
              <w:rPr>
                <w:sz w:val="18"/>
                <w:szCs w:val="18"/>
              </w:rPr>
              <w:t>75.0–85.1%</w:t>
            </w:r>
          </w:p>
        </w:tc>
        <w:tc>
          <w:tcPr>
            <w:tcW w:w="850" w:type="dxa"/>
            <w:tcBorders>
              <w:left w:val="single" w:sz="2" w:space="0" w:color="808080" w:themeColor="background1" w:themeShade="80"/>
              <w:right w:val="single" w:sz="2" w:space="0" w:color="808080" w:themeColor="background1" w:themeShade="80"/>
            </w:tcBorders>
            <w:hideMark/>
          </w:tcPr>
          <w:p w14:paraId="0E487A07" w14:textId="77777777" w:rsidR="00E87D5B" w:rsidRPr="008153CD" w:rsidRDefault="00E87D5B" w:rsidP="008153CD">
            <w:pPr>
              <w:pStyle w:val="NormalWeb"/>
              <w:jc w:val="center"/>
              <w:rPr>
                <w:sz w:val="18"/>
                <w:szCs w:val="18"/>
              </w:rPr>
            </w:pPr>
            <w:r w:rsidRPr="008153CD">
              <w:rPr>
                <w:sz w:val="18"/>
                <w:szCs w:val="18"/>
              </w:rPr>
              <w:t>68.6%</w:t>
            </w:r>
          </w:p>
        </w:tc>
        <w:tc>
          <w:tcPr>
            <w:tcW w:w="992" w:type="dxa"/>
            <w:tcBorders>
              <w:left w:val="single" w:sz="2" w:space="0" w:color="808080" w:themeColor="background1" w:themeShade="80"/>
              <w:right w:val="single" w:sz="2" w:space="0" w:color="808080" w:themeColor="background1" w:themeShade="80"/>
            </w:tcBorders>
            <w:hideMark/>
          </w:tcPr>
          <w:p w14:paraId="0D7E0F2D" w14:textId="77777777" w:rsidR="00E87D5B" w:rsidRPr="008153CD" w:rsidRDefault="00E87D5B" w:rsidP="008153CD">
            <w:pPr>
              <w:pStyle w:val="NormalWeb"/>
              <w:jc w:val="center"/>
              <w:rPr>
                <w:sz w:val="18"/>
                <w:szCs w:val="18"/>
              </w:rPr>
            </w:pPr>
            <w:r w:rsidRPr="008153CD">
              <w:rPr>
                <w:sz w:val="18"/>
                <w:szCs w:val="18"/>
              </w:rPr>
              <w:t>62.4–74.2%</w:t>
            </w:r>
          </w:p>
        </w:tc>
        <w:tc>
          <w:tcPr>
            <w:tcW w:w="993" w:type="dxa"/>
            <w:tcBorders>
              <w:left w:val="single" w:sz="2" w:space="0" w:color="808080" w:themeColor="background1" w:themeShade="80"/>
              <w:right w:val="single" w:sz="2" w:space="0" w:color="808080" w:themeColor="background1" w:themeShade="80"/>
            </w:tcBorders>
            <w:hideMark/>
          </w:tcPr>
          <w:p w14:paraId="3818E067" w14:textId="77777777" w:rsidR="00E87D5B" w:rsidRPr="008153CD" w:rsidRDefault="00E87D5B" w:rsidP="008153CD">
            <w:pPr>
              <w:pStyle w:val="NormalWeb"/>
              <w:jc w:val="center"/>
              <w:rPr>
                <w:sz w:val="18"/>
                <w:szCs w:val="18"/>
              </w:rPr>
            </w:pPr>
            <w:r w:rsidRPr="008153CD">
              <w:rPr>
                <w:sz w:val="18"/>
                <w:szCs w:val="18"/>
              </w:rPr>
              <w:t>11.9%</w:t>
            </w:r>
          </w:p>
        </w:tc>
        <w:tc>
          <w:tcPr>
            <w:tcW w:w="1134" w:type="dxa"/>
            <w:tcBorders>
              <w:left w:val="single" w:sz="2" w:space="0" w:color="808080" w:themeColor="background1" w:themeShade="80"/>
              <w:right w:val="single" w:sz="2" w:space="0" w:color="808080" w:themeColor="background1" w:themeShade="80"/>
            </w:tcBorders>
            <w:hideMark/>
          </w:tcPr>
          <w:p w14:paraId="2D65ABF5" w14:textId="77777777" w:rsidR="00E87D5B" w:rsidRPr="008153CD" w:rsidRDefault="00E87D5B" w:rsidP="008153CD">
            <w:pPr>
              <w:pStyle w:val="NormalWeb"/>
              <w:jc w:val="center"/>
              <w:rPr>
                <w:sz w:val="18"/>
                <w:szCs w:val="18"/>
              </w:rPr>
            </w:pPr>
            <w:r w:rsidRPr="008153CD">
              <w:rPr>
                <w:sz w:val="18"/>
                <w:szCs w:val="18"/>
              </w:rPr>
              <w:t>8.4–16.7%</w:t>
            </w:r>
          </w:p>
        </w:tc>
        <w:tc>
          <w:tcPr>
            <w:tcW w:w="850" w:type="dxa"/>
            <w:tcBorders>
              <w:left w:val="single" w:sz="2" w:space="0" w:color="808080" w:themeColor="background1" w:themeShade="80"/>
              <w:right w:val="single" w:sz="2" w:space="0" w:color="808080" w:themeColor="background1" w:themeShade="80"/>
            </w:tcBorders>
            <w:hideMark/>
          </w:tcPr>
          <w:p w14:paraId="308295FE" w14:textId="77777777" w:rsidR="00E87D5B" w:rsidRPr="008153CD" w:rsidRDefault="00E87D5B" w:rsidP="008153CD">
            <w:pPr>
              <w:pStyle w:val="NormalWeb"/>
              <w:jc w:val="center"/>
              <w:rPr>
                <w:sz w:val="18"/>
                <w:szCs w:val="18"/>
              </w:rPr>
            </w:pPr>
            <w:r w:rsidRPr="008153CD">
              <w:rPr>
                <w:sz w:val="18"/>
                <w:szCs w:val="18"/>
              </w:rPr>
              <w:t>19.4%</w:t>
            </w:r>
          </w:p>
        </w:tc>
        <w:tc>
          <w:tcPr>
            <w:tcW w:w="1226" w:type="dxa"/>
            <w:tcBorders>
              <w:left w:val="single" w:sz="2" w:space="0" w:color="808080" w:themeColor="background1" w:themeShade="80"/>
            </w:tcBorders>
            <w:hideMark/>
          </w:tcPr>
          <w:p w14:paraId="1CC10FC3" w14:textId="77777777" w:rsidR="00E87D5B" w:rsidRPr="008153CD" w:rsidRDefault="00E87D5B" w:rsidP="008153CD">
            <w:pPr>
              <w:pStyle w:val="NormalWeb"/>
              <w:jc w:val="center"/>
              <w:rPr>
                <w:sz w:val="18"/>
                <w:szCs w:val="18"/>
              </w:rPr>
            </w:pPr>
            <w:r w:rsidRPr="008153CD">
              <w:rPr>
                <w:sz w:val="18"/>
                <w:szCs w:val="18"/>
              </w:rPr>
              <w:t>14.9–25.0%</w:t>
            </w:r>
          </w:p>
        </w:tc>
      </w:tr>
      <w:tr w:rsidR="0022662D" w:rsidRPr="008153CD" w14:paraId="1DB38996" w14:textId="77777777" w:rsidTr="00162373">
        <w:tc>
          <w:tcPr>
            <w:tcW w:w="1843" w:type="dxa"/>
            <w:tcBorders>
              <w:right w:val="single" w:sz="2" w:space="0" w:color="808080" w:themeColor="background1" w:themeShade="80"/>
            </w:tcBorders>
            <w:hideMark/>
          </w:tcPr>
          <w:p w14:paraId="7F4B54DC" w14:textId="77777777" w:rsidR="00E87D5B" w:rsidRPr="008153CD" w:rsidRDefault="00E87D5B">
            <w:pPr>
              <w:pStyle w:val="NormalWeb"/>
              <w:rPr>
                <w:sz w:val="18"/>
                <w:szCs w:val="18"/>
              </w:rPr>
            </w:pPr>
            <w:r w:rsidRPr="008153CD">
              <w:rPr>
                <w:sz w:val="18"/>
                <w:szCs w:val="18"/>
              </w:rPr>
              <w:t>25–29</w:t>
            </w:r>
          </w:p>
        </w:tc>
        <w:tc>
          <w:tcPr>
            <w:tcW w:w="567" w:type="dxa"/>
            <w:tcBorders>
              <w:left w:val="single" w:sz="2" w:space="0" w:color="808080" w:themeColor="background1" w:themeShade="80"/>
              <w:right w:val="single" w:sz="2" w:space="0" w:color="808080" w:themeColor="background1" w:themeShade="80"/>
            </w:tcBorders>
            <w:hideMark/>
          </w:tcPr>
          <w:p w14:paraId="080387BE" w14:textId="77777777" w:rsidR="00E87D5B" w:rsidRPr="008153CD" w:rsidRDefault="00E87D5B" w:rsidP="008153CD">
            <w:pPr>
              <w:pStyle w:val="NormalWeb"/>
              <w:jc w:val="center"/>
              <w:rPr>
                <w:sz w:val="18"/>
                <w:szCs w:val="18"/>
              </w:rPr>
            </w:pPr>
            <w:r w:rsidRPr="008153CD">
              <w:rPr>
                <w:sz w:val="18"/>
                <w:szCs w:val="18"/>
              </w:rPr>
              <w:t>320</w:t>
            </w:r>
          </w:p>
        </w:tc>
        <w:tc>
          <w:tcPr>
            <w:tcW w:w="992" w:type="dxa"/>
            <w:tcBorders>
              <w:left w:val="single" w:sz="2" w:space="0" w:color="808080" w:themeColor="background1" w:themeShade="80"/>
              <w:right w:val="single" w:sz="2" w:space="0" w:color="808080" w:themeColor="background1" w:themeShade="80"/>
            </w:tcBorders>
            <w:hideMark/>
          </w:tcPr>
          <w:p w14:paraId="0A7B3568" w14:textId="77777777" w:rsidR="00E87D5B" w:rsidRPr="008153CD" w:rsidRDefault="00E87D5B" w:rsidP="008153CD">
            <w:pPr>
              <w:pStyle w:val="NormalWeb"/>
              <w:jc w:val="center"/>
              <w:rPr>
                <w:sz w:val="18"/>
                <w:szCs w:val="18"/>
              </w:rPr>
            </w:pPr>
            <w:r w:rsidRPr="008153CD">
              <w:rPr>
                <w:sz w:val="18"/>
                <w:szCs w:val="18"/>
              </w:rPr>
              <w:t>86.4%</w:t>
            </w:r>
          </w:p>
        </w:tc>
        <w:tc>
          <w:tcPr>
            <w:tcW w:w="993" w:type="dxa"/>
            <w:tcBorders>
              <w:left w:val="single" w:sz="2" w:space="0" w:color="808080" w:themeColor="background1" w:themeShade="80"/>
              <w:right w:val="single" w:sz="2" w:space="0" w:color="808080" w:themeColor="background1" w:themeShade="80"/>
            </w:tcBorders>
            <w:hideMark/>
          </w:tcPr>
          <w:p w14:paraId="33BC7ECB" w14:textId="77777777" w:rsidR="00E87D5B" w:rsidRPr="008153CD" w:rsidRDefault="00E87D5B" w:rsidP="008153CD">
            <w:pPr>
              <w:pStyle w:val="NormalWeb"/>
              <w:jc w:val="center"/>
              <w:rPr>
                <w:sz w:val="18"/>
                <w:szCs w:val="18"/>
              </w:rPr>
            </w:pPr>
            <w:r w:rsidRPr="008153CD">
              <w:rPr>
                <w:sz w:val="18"/>
                <w:szCs w:val="18"/>
              </w:rPr>
              <w:t>82.2–89.8%</w:t>
            </w:r>
          </w:p>
        </w:tc>
        <w:tc>
          <w:tcPr>
            <w:tcW w:w="850" w:type="dxa"/>
            <w:tcBorders>
              <w:left w:val="single" w:sz="2" w:space="0" w:color="808080" w:themeColor="background1" w:themeShade="80"/>
              <w:right w:val="single" w:sz="2" w:space="0" w:color="808080" w:themeColor="background1" w:themeShade="80"/>
            </w:tcBorders>
            <w:hideMark/>
          </w:tcPr>
          <w:p w14:paraId="61590B6F" w14:textId="77777777" w:rsidR="00E87D5B" w:rsidRPr="008153CD" w:rsidRDefault="00E87D5B" w:rsidP="008153CD">
            <w:pPr>
              <w:pStyle w:val="NormalWeb"/>
              <w:jc w:val="center"/>
              <w:rPr>
                <w:sz w:val="18"/>
                <w:szCs w:val="18"/>
              </w:rPr>
            </w:pPr>
            <w:r w:rsidRPr="008153CD">
              <w:rPr>
                <w:sz w:val="18"/>
                <w:szCs w:val="18"/>
              </w:rPr>
              <w:t>72.3%</w:t>
            </w:r>
          </w:p>
        </w:tc>
        <w:tc>
          <w:tcPr>
            <w:tcW w:w="992" w:type="dxa"/>
            <w:tcBorders>
              <w:left w:val="single" w:sz="2" w:space="0" w:color="808080" w:themeColor="background1" w:themeShade="80"/>
              <w:right w:val="single" w:sz="2" w:space="0" w:color="808080" w:themeColor="background1" w:themeShade="80"/>
            </w:tcBorders>
            <w:hideMark/>
          </w:tcPr>
          <w:p w14:paraId="30188B6D" w14:textId="77777777" w:rsidR="00E87D5B" w:rsidRPr="008153CD" w:rsidRDefault="00E87D5B" w:rsidP="008153CD">
            <w:pPr>
              <w:pStyle w:val="NormalWeb"/>
              <w:jc w:val="center"/>
              <w:rPr>
                <w:sz w:val="18"/>
                <w:szCs w:val="18"/>
              </w:rPr>
            </w:pPr>
            <w:r w:rsidRPr="008153CD">
              <w:rPr>
                <w:sz w:val="18"/>
                <w:szCs w:val="18"/>
              </w:rPr>
              <w:t>67.1–77.0%</w:t>
            </w:r>
          </w:p>
        </w:tc>
        <w:tc>
          <w:tcPr>
            <w:tcW w:w="993" w:type="dxa"/>
            <w:tcBorders>
              <w:left w:val="single" w:sz="2" w:space="0" w:color="808080" w:themeColor="background1" w:themeShade="80"/>
              <w:right w:val="single" w:sz="2" w:space="0" w:color="808080" w:themeColor="background1" w:themeShade="80"/>
            </w:tcBorders>
            <w:hideMark/>
          </w:tcPr>
          <w:p w14:paraId="38A98FDE" w14:textId="77777777" w:rsidR="00E87D5B" w:rsidRPr="008153CD" w:rsidRDefault="00E87D5B" w:rsidP="008153CD">
            <w:pPr>
              <w:pStyle w:val="NormalWeb"/>
              <w:jc w:val="center"/>
              <w:rPr>
                <w:sz w:val="18"/>
                <w:szCs w:val="18"/>
              </w:rPr>
            </w:pPr>
            <w:r w:rsidRPr="008153CD">
              <w:rPr>
                <w:sz w:val="18"/>
                <w:szCs w:val="18"/>
              </w:rPr>
              <w:t>14.1%</w:t>
            </w:r>
          </w:p>
        </w:tc>
        <w:tc>
          <w:tcPr>
            <w:tcW w:w="1134" w:type="dxa"/>
            <w:tcBorders>
              <w:left w:val="single" w:sz="2" w:space="0" w:color="808080" w:themeColor="background1" w:themeShade="80"/>
              <w:right w:val="single" w:sz="2" w:space="0" w:color="808080" w:themeColor="background1" w:themeShade="80"/>
            </w:tcBorders>
            <w:hideMark/>
          </w:tcPr>
          <w:p w14:paraId="5C01051F" w14:textId="77777777" w:rsidR="00E87D5B" w:rsidRPr="008153CD" w:rsidRDefault="00E87D5B" w:rsidP="008153CD">
            <w:pPr>
              <w:pStyle w:val="NormalWeb"/>
              <w:jc w:val="center"/>
              <w:rPr>
                <w:sz w:val="18"/>
                <w:szCs w:val="18"/>
              </w:rPr>
            </w:pPr>
            <w:r w:rsidRPr="008153CD">
              <w:rPr>
                <w:sz w:val="18"/>
                <w:szCs w:val="18"/>
              </w:rPr>
              <w:t>10.6–18.5%</w:t>
            </w:r>
          </w:p>
        </w:tc>
        <w:tc>
          <w:tcPr>
            <w:tcW w:w="850" w:type="dxa"/>
            <w:tcBorders>
              <w:left w:val="single" w:sz="2" w:space="0" w:color="808080" w:themeColor="background1" w:themeShade="80"/>
              <w:right w:val="single" w:sz="2" w:space="0" w:color="808080" w:themeColor="background1" w:themeShade="80"/>
            </w:tcBorders>
            <w:hideMark/>
          </w:tcPr>
          <w:p w14:paraId="2E2E6F6C" w14:textId="77777777" w:rsidR="00E87D5B" w:rsidRPr="008153CD" w:rsidRDefault="00E87D5B" w:rsidP="008153CD">
            <w:pPr>
              <w:pStyle w:val="NormalWeb"/>
              <w:jc w:val="center"/>
              <w:rPr>
                <w:sz w:val="18"/>
                <w:szCs w:val="18"/>
              </w:rPr>
            </w:pPr>
            <w:r w:rsidRPr="008153CD">
              <w:rPr>
                <w:sz w:val="18"/>
                <w:szCs w:val="18"/>
              </w:rPr>
              <w:t>13.6%</w:t>
            </w:r>
          </w:p>
        </w:tc>
        <w:tc>
          <w:tcPr>
            <w:tcW w:w="1226" w:type="dxa"/>
            <w:tcBorders>
              <w:left w:val="single" w:sz="2" w:space="0" w:color="808080" w:themeColor="background1" w:themeShade="80"/>
            </w:tcBorders>
            <w:hideMark/>
          </w:tcPr>
          <w:p w14:paraId="4675510F" w14:textId="77777777" w:rsidR="00E87D5B" w:rsidRPr="008153CD" w:rsidRDefault="00E87D5B" w:rsidP="008153CD">
            <w:pPr>
              <w:pStyle w:val="NormalWeb"/>
              <w:jc w:val="center"/>
              <w:rPr>
                <w:sz w:val="18"/>
                <w:szCs w:val="18"/>
              </w:rPr>
            </w:pPr>
            <w:r w:rsidRPr="008153CD">
              <w:rPr>
                <w:sz w:val="18"/>
                <w:szCs w:val="18"/>
              </w:rPr>
              <w:t>10.2–17.8%</w:t>
            </w:r>
          </w:p>
        </w:tc>
      </w:tr>
      <w:tr w:rsidR="00650385" w:rsidRPr="008153CD" w14:paraId="368ED3C0" w14:textId="77777777" w:rsidTr="00162373">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808080" w:themeColor="background1" w:themeShade="80"/>
            </w:tcBorders>
            <w:hideMark/>
          </w:tcPr>
          <w:p w14:paraId="0BB210DE" w14:textId="77777777" w:rsidR="00E87D5B" w:rsidRPr="008153CD" w:rsidRDefault="00E87D5B">
            <w:pPr>
              <w:pStyle w:val="NormalWeb"/>
              <w:rPr>
                <w:sz w:val="18"/>
                <w:szCs w:val="18"/>
              </w:rPr>
            </w:pPr>
            <w:r w:rsidRPr="008153CD">
              <w:rPr>
                <w:sz w:val="18"/>
                <w:szCs w:val="18"/>
              </w:rPr>
              <w:t>30–34</w:t>
            </w:r>
          </w:p>
        </w:tc>
        <w:tc>
          <w:tcPr>
            <w:tcW w:w="567" w:type="dxa"/>
            <w:tcBorders>
              <w:left w:val="single" w:sz="2" w:space="0" w:color="808080" w:themeColor="background1" w:themeShade="80"/>
              <w:right w:val="single" w:sz="2" w:space="0" w:color="808080" w:themeColor="background1" w:themeShade="80"/>
            </w:tcBorders>
            <w:hideMark/>
          </w:tcPr>
          <w:p w14:paraId="493DD22A" w14:textId="77777777" w:rsidR="00E87D5B" w:rsidRPr="008153CD" w:rsidRDefault="00E87D5B" w:rsidP="008153CD">
            <w:pPr>
              <w:pStyle w:val="NormalWeb"/>
              <w:jc w:val="center"/>
              <w:rPr>
                <w:sz w:val="18"/>
                <w:szCs w:val="18"/>
              </w:rPr>
            </w:pPr>
            <w:r w:rsidRPr="008153CD">
              <w:rPr>
                <w:sz w:val="18"/>
                <w:szCs w:val="18"/>
              </w:rPr>
              <w:t>205</w:t>
            </w:r>
          </w:p>
        </w:tc>
        <w:tc>
          <w:tcPr>
            <w:tcW w:w="992" w:type="dxa"/>
            <w:tcBorders>
              <w:left w:val="single" w:sz="2" w:space="0" w:color="808080" w:themeColor="background1" w:themeShade="80"/>
              <w:right w:val="single" w:sz="2" w:space="0" w:color="808080" w:themeColor="background1" w:themeShade="80"/>
            </w:tcBorders>
            <w:hideMark/>
          </w:tcPr>
          <w:p w14:paraId="63B473F7" w14:textId="77777777" w:rsidR="00E87D5B" w:rsidRPr="008153CD" w:rsidRDefault="00E87D5B" w:rsidP="008153CD">
            <w:pPr>
              <w:pStyle w:val="NormalWeb"/>
              <w:jc w:val="center"/>
              <w:rPr>
                <w:sz w:val="18"/>
                <w:szCs w:val="18"/>
              </w:rPr>
            </w:pPr>
            <w:r w:rsidRPr="008153CD">
              <w:rPr>
                <w:sz w:val="18"/>
                <w:szCs w:val="18"/>
              </w:rPr>
              <w:t>75.6%</w:t>
            </w:r>
          </w:p>
        </w:tc>
        <w:tc>
          <w:tcPr>
            <w:tcW w:w="993" w:type="dxa"/>
            <w:tcBorders>
              <w:left w:val="single" w:sz="2" w:space="0" w:color="808080" w:themeColor="background1" w:themeShade="80"/>
              <w:right w:val="single" w:sz="2" w:space="0" w:color="808080" w:themeColor="background1" w:themeShade="80"/>
            </w:tcBorders>
            <w:hideMark/>
          </w:tcPr>
          <w:p w14:paraId="1CD1BB5A" w14:textId="77777777" w:rsidR="00E87D5B" w:rsidRPr="008153CD" w:rsidRDefault="00E87D5B" w:rsidP="008153CD">
            <w:pPr>
              <w:pStyle w:val="NormalWeb"/>
              <w:jc w:val="center"/>
              <w:rPr>
                <w:sz w:val="18"/>
                <w:szCs w:val="18"/>
              </w:rPr>
            </w:pPr>
            <w:r w:rsidRPr="008153CD">
              <w:rPr>
                <w:sz w:val="18"/>
                <w:szCs w:val="18"/>
              </w:rPr>
              <w:t>69.1–81.1%</w:t>
            </w:r>
          </w:p>
        </w:tc>
        <w:tc>
          <w:tcPr>
            <w:tcW w:w="850" w:type="dxa"/>
            <w:tcBorders>
              <w:left w:val="single" w:sz="2" w:space="0" w:color="808080" w:themeColor="background1" w:themeShade="80"/>
              <w:right w:val="single" w:sz="2" w:space="0" w:color="808080" w:themeColor="background1" w:themeShade="80"/>
            </w:tcBorders>
            <w:hideMark/>
          </w:tcPr>
          <w:p w14:paraId="350D1F66" w14:textId="77777777" w:rsidR="00E87D5B" w:rsidRPr="008153CD" w:rsidRDefault="00E87D5B" w:rsidP="008153CD">
            <w:pPr>
              <w:pStyle w:val="NormalWeb"/>
              <w:jc w:val="center"/>
              <w:rPr>
                <w:sz w:val="18"/>
                <w:szCs w:val="18"/>
              </w:rPr>
            </w:pPr>
            <w:r w:rsidRPr="008153CD">
              <w:rPr>
                <w:sz w:val="18"/>
                <w:szCs w:val="18"/>
              </w:rPr>
              <w:t>61.2%</w:t>
            </w:r>
          </w:p>
        </w:tc>
        <w:tc>
          <w:tcPr>
            <w:tcW w:w="992" w:type="dxa"/>
            <w:tcBorders>
              <w:left w:val="single" w:sz="2" w:space="0" w:color="808080" w:themeColor="background1" w:themeShade="80"/>
              <w:right w:val="single" w:sz="2" w:space="0" w:color="808080" w:themeColor="background1" w:themeShade="80"/>
            </w:tcBorders>
            <w:hideMark/>
          </w:tcPr>
          <w:p w14:paraId="537A4C44" w14:textId="77777777" w:rsidR="00E87D5B" w:rsidRPr="008153CD" w:rsidRDefault="00E87D5B" w:rsidP="008153CD">
            <w:pPr>
              <w:pStyle w:val="NormalWeb"/>
              <w:jc w:val="center"/>
              <w:rPr>
                <w:sz w:val="18"/>
                <w:szCs w:val="18"/>
              </w:rPr>
            </w:pPr>
            <w:r w:rsidRPr="008153CD">
              <w:rPr>
                <w:sz w:val="18"/>
                <w:szCs w:val="18"/>
              </w:rPr>
              <w:t>54.1–67.9%</w:t>
            </w:r>
          </w:p>
        </w:tc>
        <w:tc>
          <w:tcPr>
            <w:tcW w:w="993" w:type="dxa"/>
            <w:tcBorders>
              <w:left w:val="single" w:sz="2" w:space="0" w:color="808080" w:themeColor="background1" w:themeShade="80"/>
              <w:right w:val="single" w:sz="2" w:space="0" w:color="808080" w:themeColor="background1" w:themeShade="80"/>
            </w:tcBorders>
            <w:hideMark/>
          </w:tcPr>
          <w:p w14:paraId="15CCC018" w14:textId="77777777" w:rsidR="00E87D5B" w:rsidRPr="008153CD" w:rsidRDefault="00E87D5B" w:rsidP="008153CD">
            <w:pPr>
              <w:pStyle w:val="NormalWeb"/>
              <w:jc w:val="center"/>
              <w:rPr>
                <w:sz w:val="18"/>
                <w:szCs w:val="18"/>
              </w:rPr>
            </w:pPr>
            <w:r w:rsidRPr="008153CD">
              <w:rPr>
                <w:sz w:val="18"/>
                <w:szCs w:val="18"/>
              </w:rPr>
              <w:t>14.4%</w:t>
            </w:r>
          </w:p>
        </w:tc>
        <w:tc>
          <w:tcPr>
            <w:tcW w:w="1134" w:type="dxa"/>
            <w:tcBorders>
              <w:left w:val="single" w:sz="2" w:space="0" w:color="808080" w:themeColor="background1" w:themeShade="80"/>
              <w:right w:val="single" w:sz="2" w:space="0" w:color="808080" w:themeColor="background1" w:themeShade="80"/>
            </w:tcBorders>
            <w:hideMark/>
          </w:tcPr>
          <w:p w14:paraId="6AF22811" w14:textId="77777777" w:rsidR="00E87D5B" w:rsidRPr="008153CD" w:rsidRDefault="00E87D5B" w:rsidP="008153CD">
            <w:pPr>
              <w:pStyle w:val="NormalWeb"/>
              <w:jc w:val="center"/>
              <w:rPr>
                <w:sz w:val="18"/>
                <w:szCs w:val="18"/>
              </w:rPr>
            </w:pPr>
            <w:r w:rsidRPr="008153CD">
              <w:rPr>
                <w:sz w:val="18"/>
                <w:szCs w:val="18"/>
              </w:rPr>
              <w:t>10.2–20.0%</w:t>
            </w:r>
          </w:p>
        </w:tc>
        <w:tc>
          <w:tcPr>
            <w:tcW w:w="850" w:type="dxa"/>
            <w:tcBorders>
              <w:left w:val="single" w:sz="2" w:space="0" w:color="808080" w:themeColor="background1" w:themeShade="80"/>
              <w:right w:val="single" w:sz="2" w:space="0" w:color="808080" w:themeColor="background1" w:themeShade="80"/>
            </w:tcBorders>
            <w:hideMark/>
          </w:tcPr>
          <w:p w14:paraId="66F7FBBA" w14:textId="77777777" w:rsidR="00E87D5B" w:rsidRPr="008153CD" w:rsidRDefault="00E87D5B" w:rsidP="008153CD">
            <w:pPr>
              <w:pStyle w:val="NormalWeb"/>
              <w:jc w:val="center"/>
              <w:rPr>
                <w:sz w:val="18"/>
                <w:szCs w:val="18"/>
              </w:rPr>
            </w:pPr>
            <w:r w:rsidRPr="008153CD">
              <w:rPr>
                <w:sz w:val="18"/>
                <w:szCs w:val="18"/>
              </w:rPr>
              <w:t>24.4%</w:t>
            </w:r>
          </w:p>
        </w:tc>
        <w:tc>
          <w:tcPr>
            <w:tcW w:w="1226" w:type="dxa"/>
            <w:tcBorders>
              <w:left w:val="single" w:sz="2" w:space="0" w:color="808080" w:themeColor="background1" w:themeShade="80"/>
            </w:tcBorders>
            <w:hideMark/>
          </w:tcPr>
          <w:p w14:paraId="5280E99B" w14:textId="77777777" w:rsidR="00E87D5B" w:rsidRPr="008153CD" w:rsidRDefault="00E87D5B" w:rsidP="008153CD">
            <w:pPr>
              <w:pStyle w:val="NormalWeb"/>
              <w:jc w:val="center"/>
              <w:rPr>
                <w:sz w:val="18"/>
                <w:szCs w:val="18"/>
              </w:rPr>
            </w:pPr>
            <w:r w:rsidRPr="008153CD">
              <w:rPr>
                <w:sz w:val="18"/>
                <w:szCs w:val="18"/>
              </w:rPr>
              <w:t>18.9–30.9%</w:t>
            </w:r>
          </w:p>
        </w:tc>
      </w:tr>
      <w:tr w:rsidR="0022662D" w:rsidRPr="008153CD" w14:paraId="35F66B58" w14:textId="77777777" w:rsidTr="00162373">
        <w:tc>
          <w:tcPr>
            <w:tcW w:w="1843" w:type="dxa"/>
            <w:tcBorders>
              <w:right w:val="single" w:sz="2" w:space="0" w:color="808080" w:themeColor="background1" w:themeShade="80"/>
            </w:tcBorders>
            <w:hideMark/>
          </w:tcPr>
          <w:p w14:paraId="205E2A91" w14:textId="77777777" w:rsidR="00E87D5B" w:rsidRPr="008153CD" w:rsidRDefault="00E87D5B">
            <w:pPr>
              <w:pStyle w:val="NormalWeb"/>
              <w:rPr>
                <w:sz w:val="18"/>
                <w:szCs w:val="18"/>
              </w:rPr>
            </w:pPr>
            <w:r w:rsidRPr="008153CD">
              <w:rPr>
                <w:sz w:val="18"/>
                <w:szCs w:val="18"/>
              </w:rPr>
              <w:t>35–39</w:t>
            </w:r>
          </w:p>
        </w:tc>
        <w:tc>
          <w:tcPr>
            <w:tcW w:w="567" w:type="dxa"/>
            <w:tcBorders>
              <w:left w:val="single" w:sz="2" w:space="0" w:color="808080" w:themeColor="background1" w:themeShade="80"/>
              <w:right w:val="single" w:sz="2" w:space="0" w:color="808080" w:themeColor="background1" w:themeShade="80"/>
            </w:tcBorders>
            <w:hideMark/>
          </w:tcPr>
          <w:p w14:paraId="5793D0E5" w14:textId="77777777" w:rsidR="00E87D5B" w:rsidRPr="008153CD" w:rsidRDefault="00E87D5B" w:rsidP="008153CD">
            <w:pPr>
              <w:pStyle w:val="NormalWeb"/>
              <w:jc w:val="center"/>
              <w:rPr>
                <w:sz w:val="18"/>
                <w:szCs w:val="18"/>
              </w:rPr>
            </w:pPr>
            <w:r w:rsidRPr="008153CD">
              <w:rPr>
                <w:sz w:val="18"/>
                <w:szCs w:val="18"/>
              </w:rPr>
              <w:t>285</w:t>
            </w:r>
          </w:p>
        </w:tc>
        <w:tc>
          <w:tcPr>
            <w:tcW w:w="992" w:type="dxa"/>
            <w:tcBorders>
              <w:left w:val="single" w:sz="2" w:space="0" w:color="808080" w:themeColor="background1" w:themeShade="80"/>
              <w:right w:val="single" w:sz="2" w:space="0" w:color="808080" w:themeColor="background1" w:themeShade="80"/>
            </w:tcBorders>
            <w:hideMark/>
          </w:tcPr>
          <w:p w14:paraId="5CC1C153" w14:textId="77777777" w:rsidR="00E87D5B" w:rsidRPr="008153CD" w:rsidRDefault="00E87D5B" w:rsidP="008153CD">
            <w:pPr>
              <w:pStyle w:val="NormalWeb"/>
              <w:jc w:val="center"/>
              <w:rPr>
                <w:sz w:val="18"/>
                <w:szCs w:val="18"/>
              </w:rPr>
            </w:pPr>
            <w:r w:rsidRPr="008153CD">
              <w:rPr>
                <w:sz w:val="18"/>
                <w:szCs w:val="18"/>
              </w:rPr>
              <w:t>85.1%</w:t>
            </w:r>
          </w:p>
        </w:tc>
        <w:tc>
          <w:tcPr>
            <w:tcW w:w="993" w:type="dxa"/>
            <w:tcBorders>
              <w:left w:val="single" w:sz="2" w:space="0" w:color="808080" w:themeColor="background1" w:themeShade="80"/>
              <w:right w:val="single" w:sz="2" w:space="0" w:color="808080" w:themeColor="background1" w:themeShade="80"/>
            </w:tcBorders>
            <w:hideMark/>
          </w:tcPr>
          <w:p w14:paraId="102268B8" w14:textId="77777777" w:rsidR="00E87D5B" w:rsidRPr="008153CD" w:rsidRDefault="00E87D5B" w:rsidP="008153CD">
            <w:pPr>
              <w:pStyle w:val="NormalWeb"/>
              <w:jc w:val="center"/>
              <w:rPr>
                <w:sz w:val="18"/>
                <w:szCs w:val="18"/>
              </w:rPr>
            </w:pPr>
            <w:r w:rsidRPr="008153CD">
              <w:rPr>
                <w:sz w:val="18"/>
                <w:szCs w:val="18"/>
              </w:rPr>
              <w:t>80.3–88.9%</w:t>
            </w:r>
          </w:p>
        </w:tc>
        <w:tc>
          <w:tcPr>
            <w:tcW w:w="850" w:type="dxa"/>
            <w:tcBorders>
              <w:left w:val="single" w:sz="2" w:space="0" w:color="808080" w:themeColor="background1" w:themeShade="80"/>
              <w:right w:val="single" w:sz="2" w:space="0" w:color="808080" w:themeColor="background1" w:themeShade="80"/>
            </w:tcBorders>
            <w:hideMark/>
          </w:tcPr>
          <w:p w14:paraId="13180CF9" w14:textId="77777777" w:rsidR="00E87D5B" w:rsidRPr="008153CD" w:rsidRDefault="00E87D5B" w:rsidP="008153CD">
            <w:pPr>
              <w:pStyle w:val="NormalWeb"/>
              <w:jc w:val="center"/>
              <w:rPr>
                <w:sz w:val="18"/>
                <w:szCs w:val="18"/>
              </w:rPr>
            </w:pPr>
            <w:r w:rsidRPr="008153CD">
              <w:rPr>
                <w:sz w:val="18"/>
                <w:szCs w:val="18"/>
              </w:rPr>
              <w:t>76.8%</w:t>
            </w:r>
          </w:p>
        </w:tc>
        <w:tc>
          <w:tcPr>
            <w:tcW w:w="992" w:type="dxa"/>
            <w:tcBorders>
              <w:left w:val="single" w:sz="2" w:space="0" w:color="808080" w:themeColor="background1" w:themeShade="80"/>
              <w:right w:val="single" w:sz="2" w:space="0" w:color="808080" w:themeColor="background1" w:themeShade="80"/>
            </w:tcBorders>
            <w:hideMark/>
          </w:tcPr>
          <w:p w14:paraId="1CB673CB" w14:textId="77777777" w:rsidR="00E87D5B" w:rsidRPr="008153CD" w:rsidRDefault="00E87D5B" w:rsidP="008153CD">
            <w:pPr>
              <w:pStyle w:val="NormalWeb"/>
              <w:jc w:val="center"/>
              <w:rPr>
                <w:sz w:val="18"/>
                <w:szCs w:val="18"/>
              </w:rPr>
            </w:pPr>
            <w:r w:rsidRPr="008153CD">
              <w:rPr>
                <w:sz w:val="18"/>
                <w:szCs w:val="18"/>
              </w:rPr>
              <w:t>71.5–81.4%</w:t>
            </w:r>
          </w:p>
        </w:tc>
        <w:tc>
          <w:tcPr>
            <w:tcW w:w="993" w:type="dxa"/>
            <w:tcBorders>
              <w:left w:val="single" w:sz="2" w:space="0" w:color="808080" w:themeColor="background1" w:themeShade="80"/>
              <w:right w:val="single" w:sz="2" w:space="0" w:color="808080" w:themeColor="background1" w:themeShade="80"/>
            </w:tcBorders>
            <w:hideMark/>
          </w:tcPr>
          <w:p w14:paraId="1E84E33A" w14:textId="77777777" w:rsidR="00E87D5B" w:rsidRPr="008153CD" w:rsidRDefault="00E87D5B" w:rsidP="008153CD">
            <w:pPr>
              <w:pStyle w:val="NormalWeb"/>
              <w:jc w:val="center"/>
              <w:rPr>
                <w:sz w:val="18"/>
                <w:szCs w:val="18"/>
              </w:rPr>
            </w:pPr>
            <w:r w:rsidRPr="008153CD">
              <w:rPr>
                <w:sz w:val="18"/>
                <w:szCs w:val="18"/>
              </w:rPr>
              <w:t>8.3%</w:t>
            </w:r>
          </w:p>
        </w:tc>
        <w:tc>
          <w:tcPr>
            <w:tcW w:w="1134" w:type="dxa"/>
            <w:tcBorders>
              <w:left w:val="single" w:sz="2" w:space="0" w:color="808080" w:themeColor="background1" w:themeShade="80"/>
              <w:right w:val="single" w:sz="2" w:space="0" w:color="808080" w:themeColor="background1" w:themeShade="80"/>
            </w:tcBorders>
            <w:hideMark/>
          </w:tcPr>
          <w:p w14:paraId="6B0DEF8D" w14:textId="77777777" w:rsidR="00E87D5B" w:rsidRPr="008153CD" w:rsidRDefault="00E87D5B" w:rsidP="008153CD">
            <w:pPr>
              <w:pStyle w:val="NormalWeb"/>
              <w:jc w:val="center"/>
              <w:rPr>
                <w:sz w:val="18"/>
                <w:szCs w:val="18"/>
              </w:rPr>
            </w:pPr>
            <w:r w:rsidRPr="008153CD">
              <w:rPr>
                <w:sz w:val="18"/>
                <w:szCs w:val="18"/>
              </w:rPr>
              <w:t>5.6–12.0%</w:t>
            </w:r>
          </w:p>
        </w:tc>
        <w:tc>
          <w:tcPr>
            <w:tcW w:w="850" w:type="dxa"/>
            <w:tcBorders>
              <w:left w:val="single" w:sz="2" w:space="0" w:color="808080" w:themeColor="background1" w:themeShade="80"/>
              <w:right w:val="single" w:sz="2" w:space="0" w:color="808080" w:themeColor="background1" w:themeShade="80"/>
            </w:tcBorders>
            <w:hideMark/>
          </w:tcPr>
          <w:p w14:paraId="10ABD901" w14:textId="77777777" w:rsidR="00E87D5B" w:rsidRPr="008153CD" w:rsidRDefault="00E87D5B" w:rsidP="008153CD">
            <w:pPr>
              <w:pStyle w:val="NormalWeb"/>
              <w:jc w:val="center"/>
              <w:rPr>
                <w:sz w:val="18"/>
                <w:szCs w:val="18"/>
              </w:rPr>
            </w:pPr>
            <w:r w:rsidRPr="008153CD">
              <w:rPr>
                <w:sz w:val="18"/>
                <w:szCs w:val="18"/>
              </w:rPr>
              <w:t>14.9%</w:t>
            </w:r>
          </w:p>
        </w:tc>
        <w:tc>
          <w:tcPr>
            <w:tcW w:w="1226" w:type="dxa"/>
            <w:tcBorders>
              <w:left w:val="single" w:sz="2" w:space="0" w:color="808080" w:themeColor="background1" w:themeShade="80"/>
            </w:tcBorders>
            <w:hideMark/>
          </w:tcPr>
          <w:p w14:paraId="2BB0BAAE" w14:textId="77777777" w:rsidR="00E87D5B" w:rsidRPr="008153CD" w:rsidRDefault="00E87D5B" w:rsidP="008153CD">
            <w:pPr>
              <w:pStyle w:val="NormalWeb"/>
              <w:jc w:val="center"/>
              <w:rPr>
                <w:sz w:val="18"/>
                <w:szCs w:val="18"/>
              </w:rPr>
            </w:pPr>
            <w:r w:rsidRPr="008153CD">
              <w:rPr>
                <w:sz w:val="18"/>
                <w:szCs w:val="18"/>
              </w:rPr>
              <w:t>11.1–19.7%</w:t>
            </w:r>
          </w:p>
        </w:tc>
      </w:tr>
      <w:tr w:rsidR="00650385" w:rsidRPr="008153CD" w14:paraId="1811B9CA" w14:textId="77777777" w:rsidTr="00162373">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808080" w:themeColor="background1" w:themeShade="80"/>
            </w:tcBorders>
            <w:hideMark/>
          </w:tcPr>
          <w:p w14:paraId="4980E968" w14:textId="77777777" w:rsidR="00E87D5B" w:rsidRPr="008153CD" w:rsidRDefault="00E87D5B">
            <w:pPr>
              <w:pStyle w:val="NormalWeb"/>
              <w:rPr>
                <w:sz w:val="18"/>
                <w:szCs w:val="18"/>
              </w:rPr>
            </w:pPr>
            <w:r w:rsidRPr="008153CD">
              <w:rPr>
                <w:sz w:val="18"/>
                <w:szCs w:val="18"/>
              </w:rPr>
              <w:t>40–44</w:t>
            </w:r>
          </w:p>
        </w:tc>
        <w:tc>
          <w:tcPr>
            <w:tcW w:w="567" w:type="dxa"/>
            <w:tcBorders>
              <w:left w:val="single" w:sz="2" w:space="0" w:color="808080" w:themeColor="background1" w:themeShade="80"/>
              <w:right w:val="single" w:sz="2" w:space="0" w:color="808080" w:themeColor="background1" w:themeShade="80"/>
            </w:tcBorders>
            <w:hideMark/>
          </w:tcPr>
          <w:p w14:paraId="71871DD5" w14:textId="77777777" w:rsidR="00E87D5B" w:rsidRPr="008153CD" w:rsidRDefault="00E87D5B" w:rsidP="008153CD">
            <w:pPr>
              <w:pStyle w:val="NormalWeb"/>
              <w:jc w:val="center"/>
              <w:rPr>
                <w:sz w:val="18"/>
                <w:szCs w:val="18"/>
              </w:rPr>
            </w:pPr>
            <w:r w:rsidRPr="008153CD">
              <w:rPr>
                <w:sz w:val="18"/>
                <w:szCs w:val="18"/>
              </w:rPr>
              <w:t>255</w:t>
            </w:r>
          </w:p>
        </w:tc>
        <w:tc>
          <w:tcPr>
            <w:tcW w:w="992" w:type="dxa"/>
            <w:tcBorders>
              <w:left w:val="single" w:sz="2" w:space="0" w:color="808080" w:themeColor="background1" w:themeShade="80"/>
              <w:right w:val="single" w:sz="2" w:space="0" w:color="808080" w:themeColor="background1" w:themeShade="80"/>
            </w:tcBorders>
            <w:hideMark/>
          </w:tcPr>
          <w:p w14:paraId="67907986" w14:textId="77777777" w:rsidR="00E87D5B" w:rsidRPr="008153CD" w:rsidRDefault="00E87D5B" w:rsidP="008153CD">
            <w:pPr>
              <w:pStyle w:val="NormalWeb"/>
              <w:jc w:val="center"/>
              <w:rPr>
                <w:sz w:val="18"/>
                <w:szCs w:val="18"/>
              </w:rPr>
            </w:pPr>
            <w:r w:rsidRPr="008153CD">
              <w:rPr>
                <w:sz w:val="18"/>
                <w:szCs w:val="18"/>
              </w:rPr>
              <w:t>84.0%</w:t>
            </w:r>
          </w:p>
        </w:tc>
        <w:tc>
          <w:tcPr>
            <w:tcW w:w="993" w:type="dxa"/>
            <w:tcBorders>
              <w:left w:val="single" w:sz="2" w:space="0" w:color="808080" w:themeColor="background1" w:themeShade="80"/>
              <w:right w:val="single" w:sz="2" w:space="0" w:color="808080" w:themeColor="background1" w:themeShade="80"/>
            </w:tcBorders>
            <w:hideMark/>
          </w:tcPr>
          <w:p w14:paraId="2C930157" w14:textId="77777777" w:rsidR="00E87D5B" w:rsidRPr="008153CD" w:rsidRDefault="00E87D5B" w:rsidP="008153CD">
            <w:pPr>
              <w:pStyle w:val="NormalWeb"/>
              <w:jc w:val="center"/>
              <w:rPr>
                <w:sz w:val="18"/>
                <w:szCs w:val="18"/>
              </w:rPr>
            </w:pPr>
            <w:r w:rsidRPr="008153CD">
              <w:rPr>
                <w:sz w:val="18"/>
                <w:szCs w:val="18"/>
              </w:rPr>
              <w:t>78.8–88.1%</w:t>
            </w:r>
          </w:p>
        </w:tc>
        <w:tc>
          <w:tcPr>
            <w:tcW w:w="850" w:type="dxa"/>
            <w:tcBorders>
              <w:left w:val="single" w:sz="2" w:space="0" w:color="808080" w:themeColor="background1" w:themeShade="80"/>
              <w:right w:val="single" w:sz="2" w:space="0" w:color="808080" w:themeColor="background1" w:themeShade="80"/>
            </w:tcBorders>
            <w:hideMark/>
          </w:tcPr>
          <w:p w14:paraId="1EA74385" w14:textId="77777777" w:rsidR="00E87D5B" w:rsidRPr="008153CD" w:rsidRDefault="00E87D5B" w:rsidP="008153CD">
            <w:pPr>
              <w:pStyle w:val="NormalWeb"/>
              <w:jc w:val="center"/>
              <w:rPr>
                <w:sz w:val="18"/>
                <w:szCs w:val="18"/>
              </w:rPr>
            </w:pPr>
            <w:r w:rsidRPr="008153CD">
              <w:rPr>
                <w:sz w:val="18"/>
                <w:szCs w:val="18"/>
              </w:rPr>
              <w:t>79.9%</w:t>
            </w:r>
          </w:p>
        </w:tc>
        <w:tc>
          <w:tcPr>
            <w:tcW w:w="992" w:type="dxa"/>
            <w:tcBorders>
              <w:left w:val="single" w:sz="2" w:space="0" w:color="808080" w:themeColor="background1" w:themeShade="80"/>
              <w:right w:val="single" w:sz="2" w:space="0" w:color="808080" w:themeColor="background1" w:themeShade="80"/>
            </w:tcBorders>
            <w:hideMark/>
          </w:tcPr>
          <w:p w14:paraId="11D601C9" w14:textId="77777777" w:rsidR="00E87D5B" w:rsidRPr="008153CD" w:rsidRDefault="00E87D5B" w:rsidP="008153CD">
            <w:pPr>
              <w:pStyle w:val="NormalWeb"/>
              <w:jc w:val="center"/>
              <w:rPr>
                <w:sz w:val="18"/>
                <w:szCs w:val="18"/>
              </w:rPr>
            </w:pPr>
            <w:r w:rsidRPr="008153CD">
              <w:rPr>
                <w:sz w:val="18"/>
                <w:szCs w:val="18"/>
              </w:rPr>
              <w:t>74.4–84.5%</w:t>
            </w:r>
          </w:p>
        </w:tc>
        <w:tc>
          <w:tcPr>
            <w:tcW w:w="993" w:type="dxa"/>
            <w:tcBorders>
              <w:left w:val="single" w:sz="2" w:space="0" w:color="808080" w:themeColor="background1" w:themeShade="80"/>
              <w:right w:val="single" w:sz="2" w:space="0" w:color="808080" w:themeColor="background1" w:themeShade="80"/>
            </w:tcBorders>
            <w:hideMark/>
          </w:tcPr>
          <w:p w14:paraId="5A0F45E6" w14:textId="77777777" w:rsidR="00E87D5B" w:rsidRPr="008153CD" w:rsidRDefault="00E87D5B" w:rsidP="008153CD">
            <w:pPr>
              <w:pStyle w:val="NormalWeb"/>
              <w:jc w:val="center"/>
              <w:rPr>
                <w:sz w:val="18"/>
                <w:szCs w:val="18"/>
              </w:rPr>
            </w:pPr>
            <w:r w:rsidRPr="008153CD">
              <w:rPr>
                <w:sz w:val="18"/>
                <w:szCs w:val="18"/>
              </w:rPr>
              <w:t>4.1%</w:t>
            </w:r>
          </w:p>
        </w:tc>
        <w:tc>
          <w:tcPr>
            <w:tcW w:w="1134" w:type="dxa"/>
            <w:tcBorders>
              <w:left w:val="single" w:sz="2" w:space="0" w:color="808080" w:themeColor="background1" w:themeShade="80"/>
              <w:right w:val="single" w:sz="2" w:space="0" w:color="808080" w:themeColor="background1" w:themeShade="80"/>
            </w:tcBorders>
            <w:hideMark/>
          </w:tcPr>
          <w:p w14:paraId="16F96625" w14:textId="77777777" w:rsidR="00E87D5B" w:rsidRPr="008153CD" w:rsidRDefault="00E87D5B" w:rsidP="008153CD">
            <w:pPr>
              <w:pStyle w:val="NormalWeb"/>
              <w:jc w:val="center"/>
              <w:rPr>
                <w:sz w:val="18"/>
                <w:szCs w:val="18"/>
              </w:rPr>
            </w:pPr>
            <w:r w:rsidRPr="008153CD">
              <w:rPr>
                <w:sz w:val="18"/>
                <w:szCs w:val="18"/>
              </w:rPr>
              <w:t>2.3–7.2%</w:t>
            </w:r>
          </w:p>
        </w:tc>
        <w:tc>
          <w:tcPr>
            <w:tcW w:w="850" w:type="dxa"/>
            <w:tcBorders>
              <w:left w:val="single" w:sz="2" w:space="0" w:color="808080" w:themeColor="background1" w:themeShade="80"/>
              <w:right w:val="single" w:sz="2" w:space="0" w:color="808080" w:themeColor="background1" w:themeShade="80"/>
            </w:tcBorders>
            <w:hideMark/>
          </w:tcPr>
          <w:p w14:paraId="78D047E5" w14:textId="77777777" w:rsidR="00E87D5B" w:rsidRPr="008153CD" w:rsidRDefault="00E87D5B" w:rsidP="008153CD">
            <w:pPr>
              <w:pStyle w:val="NormalWeb"/>
              <w:jc w:val="center"/>
              <w:rPr>
                <w:sz w:val="18"/>
                <w:szCs w:val="18"/>
              </w:rPr>
            </w:pPr>
            <w:r w:rsidRPr="008153CD">
              <w:rPr>
                <w:sz w:val="18"/>
                <w:szCs w:val="18"/>
              </w:rPr>
              <w:t>16.0%</w:t>
            </w:r>
          </w:p>
        </w:tc>
        <w:tc>
          <w:tcPr>
            <w:tcW w:w="1226" w:type="dxa"/>
            <w:tcBorders>
              <w:left w:val="single" w:sz="2" w:space="0" w:color="808080" w:themeColor="background1" w:themeShade="80"/>
            </w:tcBorders>
            <w:hideMark/>
          </w:tcPr>
          <w:p w14:paraId="69630DB5" w14:textId="77777777" w:rsidR="00E87D5B" w:rsidRPr="008153CD" w:rsidRDefault="00E87D5B" w:rsidP="008153CD">
            <w:pPr>
              <w:pStyle w:val="NormalWeb"/>
              <w:jc w:val="center"/>
              <w:rPr>
                <w:sz w:val="18"/>
                <w:szCs w:val="18"/>
              </w:rPr>
            </w:pPr>
            <w:r w:rsidRPr="008153CD">
              <w:rPr>
                <w:sz w:val="18"/>
                <w:szCs w:val="18"/>
              </w:rPr>
              <w:t>11.9–21.2%</w:t>
            </w:r>
          </w:p>
        </w:tc>
      </w:tr>
      <w:tr w:rsidR="0022662D" w:rsidRPr="008153CD" w14:paraId="5B911FC7" w14:textId="77777777" w:rsidTr="00162373">
        <w:tc>
          <w:tcPr>
            <w:tcW w:w="1843" w:type="dxa"/>
            <w:tcBorders>
              <w:right w:val="single" w:sz="2" w:space="0" w:color="808080" w:themeColor="background1" w:themeShade="80"/>
            </w:tcBorders>
            <w:hideMark/>
          </w:tcPr>
          <w:p w14:paraId="7B113679" w14:textId="77777777" w:rsidR="00E87D5B" w:rsidRPr="008153CD" w:rsidRDefault="00E87D5B">
            <w:pPr>
              <w:pStyle w:val="NormalWeb"/>
              <w:rPr>
                <w:sz w:val="18"/>
                <w:szCs w:val="18"/>
              </w:rPr>
            </w:pPr>
            <w:r w:rsidRPr="008153CD">
              <w:rPr>
                <w:sz w:val="18"/>
                <w:szCs w:val="18"/>
              </w:rPr>
              <w:t>45–49</w:t>
            </w:r>
          </w:p>
        </w:tc>
        <w:tc>
          <w:tcPr>
            <w:tcW w:w="567" w:type="dxa"/>
            <w:tcBorders>
              <w:left w:val="single" w:sz="2" w:space="0" w:color="808080" w:themeColor="background1" w:themeShade="80"/>
              <w:right w:val="single" w:sz="2" w:space="0" w:color="808080" w:themeColor="background1" w:themeShade="80"/>
            </w:tcBorders>
            <w:hideMark/>
          </w:tcPr>
          <w:p w14:paraId="5E63B3B8" w14:textId="77777777" w:rsidR="00E87D5B" w:rsidRPr="008153CD" w:rsidRDefault="00E87D5B" w:rsidP="008153CD">
            <w:pPr>
              <w:pStyle w:val="NormalWeb"/>
              <w:jc w:val="center"/>
              <w:rPr>
                <w:sz w:val="18"/>
                <w:szCs w:val="18"/>
              </w:rPr>
            </w:pPr>
            <w:r w:rsidRPr="008153CD">
              <w:rPr>
                <w:sz w:val="18"/>
                <w:szCs w:val="18"/>
              </w:rPr>
              <w:t>205</w:t>
            </w:r>
          </w:p>
        </w:tc>
        <w:tc>
          <w:tcPr>
            <w:tcW w:w="992" w:type="dxa"/>
            <w:tcBorders>
              <w:left w:val="single" w:sz="2" w:space="0" w:color="808080" w:themeColor="background1" w:themeShade="80"/>
              <w:right w:val="single" w:sz="2" w:space="0" w:color="808080" w:themeColor="background1" w:themeShade="80"/>
            </w:tcBorders>
            <w:hideMark/>
          </w:tcPr>
          <w:p w14:paraId="31F28C1C" w14:textId="77777777" w:rsidR="00E87D5B" w:rsidRPr="008153CD" w:rsidRDefault="00E87D5B" w:rsidP="008153CD">
            <w:pPr>
              <w:pStyle w:val="NormalWeb"/>
              <w:jc w:val="center"/>
              <w:rPr>
                <w:sz w:val="18"/>
                <w:szCs w:val="18"/>
              </w:rPr>
            </w:pPr>
            <w:r w:rsidRPr="008153CD">
              <w:rPr>
                <w:sz w:val="18"/>
                <w:szCs w:val="18"/>
              </w:rPr>
              <w:t>87.3%</w:t>
            </w:r>
          </w:p>
        </w:tc>
        <w:tc>
          <w:tcPr>
            <w:tcW w:w="993" w:type="dxa"/>
            <w:tcBorders>
              <w:left w:val="single" w:sz="2" w:space="0" w:color="808080" w:themeColor="background1" w:themeShade="80"/>
              <w:right w:val="single" w:sz="2" w:space="0" w:color="808080" w:themeColor="background1" w:themeShade="80"/>
            </w:tcBorders>
            <w:hideMark/>
          </w:tcPr>
          <w:p w14:paraId="40F5E816" w14:textId="77777777" w:rsidR="00E87D5B" w:rsidRPr="008153CD" w:rsidRDefault="00E87D5B" w:rsidP="008153CD">
            <w:pPr>
              <w:pStyle w:val="NormalWeb"/>
              <w:jc w:val="center"/>
              <w:rPr>
                <w:sz w:val="18"/>
                <w:szCs w:val="18"/>
              </w:rPr>
            </w:pPr>
            <w:r w:rsidRPr="008153CD">
              <w:rPr>
                <w:sz w:val="18"/>
                <w:szCs w:val="18"/>
              </w:rPr>
              <w:t>82.0–91.3%</w:t>
            </w:r>
          </w:p>
        </w:tc>
        <w:tc>
          <w:tcPr>
            <w:tcW w:w="850" w:type="dxa"/>
            <w:tcBorders>
              <w:left w:val="single" w:sz="2" w:space="0" w:color="808080" w:themeColor="background1" w:themeShade="80"/>
              <w:right w:val="single" w:sz="2" w:space="0" w:color="808080" w:themeColor="background1" w:themeShade="80"/>
            </w:tcBorders>
            <w:hideMark/>
          </w:tcPr>
          <w:p w14:paraId="34D56CA2" w14:textId="77777777" w:rsidR="00E87D5B" w:rsidRPr="008153CD" w:rsidRDefault="00E87D5B" w:rsidP="008153CD">
            <w:pPr>
              <w:pStyle w:val="NormalWeb"/>
              <w:jc w:val="center"/>
              <w:rPr>
                <w:sz w:val="18"/>
                <w:szCs w:val="18"/>
              </w:rPr>
            </w:pPr>
            <w:r w:rsidRPr="008153CD">
              <w:rPr>
                <w:sz w:val="18"/>
                <w:szCs w:val="18"/>
              </w:rPr>
              <w:t>81.4%</w:t>
            </w:r>
          </w:p>
        </w:tc>
        <w:tc>
          <w:tcPr>
            <w:tcW w:w="992" w:type="dxa"/>
            <w:tcBorders>
              <w:left w:val="single" w:sz="2" w:space="0" w:color="808080" w:themeColor="background1" w:themeShade="80"/>
              <w:right w:val="single" w:sz="2" w:space="0" w:color="808080" w:themeColor="background1" w:themeShade="80"/>
            </w:tcBorders>
            <w:hideMark/>
          </w:tcPr>
          <w:p w14:paraId="7AB5581E" w14:textId="77777777" w:rsidR="00E87D5B" w:rsidRPr="008153CD" w:rsidRDefault="00E87D5B" w:rsidP="008153CD">
            <w:pPr>
              <w:pStyle w:val="NormalWeb"/>
              <w:jc w:val="center"/>
              <w:rPr>
                <w:sz w:val="18"/>
                <w:szCs w:val="18"/>
              </w:rPr>
            </w:pPr>
            <w:r w:rsidRPr="008153CD">
              <w:rPr>
                <w:sz w:val="18"/>
                <w:szCs w:val="18"/>
              </w:rPr>
              <w:t>75.4–86.2%</w:t>
            </w:r>
          </w:p>
        </w:tc>
        <w:tc>
          <w:tcPr>
            <w:tcW w:w="993" w:type="dxa"/>
            <w:tcBorders>
              <w:left w:val="single" w:sz="2" w:space="0" w:color="808080" w:themeColor="background1" w:themeShade="80"/>
              <w:right w:val="single" w:sz="2" w:space="0" w:color="808080" w:themeColor="background1" w:themeShade="80"/>
            </w:tcBorders>
            <w:hideMark/>
          </w:tcPr>
          <w:p w14:paraId="1A026BDD" w14:textId="77777777" w:rsidR="00E87D5B" w:rsidRPr="008153CD" w:rsidRDefault="00E87D5B" w:rsidP="008153CD">
            <w:pPr>
              <w:pStyle w:val="NormalWeb"/>
              <w:jc w:val="center"/>
              <w:rPr>
                <w:sz w:val="18"/>
                <w:szCs w:val="18"/>
              </w:rPr>
            </w:pPr>
            <w:r w:rsidRPr="008153CD">
              <w:rPr>
                <w:sz w:val="18"/>
                <w:szCs w:val="18"/>
              </w:rPr>
              <w:t>5.9%</w:t>
            </w:r>
          </w:p>
        </w:tc>
        <w:tc>
          <w:tcPr>
            <w:tcW w:w="1134" w:type="dxa"/>
            <w:tcBorders>
              <w:left w:val="single" w:sz="2" w:space="0" w:color="808080" w:themeColor="background1" w:themeShade="80"/>
              <w:right w:val="single" w:sz="2" w:space="0" w:color="808080" w:themeColor="background1" w:themeShade="80"/>
            </w:tcBorders>
            <w:hideMark/>
          </w:tcPr>
          <w:p w14:paraId="69F0C597" w14:textId="77777777" w:rsidR="00E87D5B" w:rsidRPr="008153CD" w:rsidRDefault="00E87D5B" w:rsidP="008153CD">
            <w:pPr>
              <w:pStyle w:val="NormalWeb"/>
              <w:jc w:val="center"/>
              <w:rPr>
                <w:sz w:val="18"/>
                <w:szCs w:val="18"/>
              </w:rPr>
            </w:pPr>
            <w:r w:rsidRPr="008153CD">
              <w:rPr>
                <w:sz w:val="18"/>
                <w:szCs w:val="18"/>
              </w:rPr>
              <w:t>3.4–10.1%</w:t>
            </w:r>
          </w:p>
        </w:tc>
        <w:tc>
          <w:tcPr>
            <w:tcW w:w="850" w:type="dxa"/>
            <w:tcBorders>
              <w:left w:val="single" w:sz="2" w:space="0" w:color="808080" w:themeColor="background1" w:themeShade="80"/>
              <w:right w:val="single" w:sz="2" w:space="0" w:color="808080" w:themeColor="background1" w:themeShade="80"/>
            </w:tcBorders>
            <w:hideMark/>
          </w:tcPr>
          <w:p w14:paraId="54D9168F" w14:textId="77777777" w:rsidR="00E87D5B" w:rsidRPr="008153CD" w:rsidRDefault="00E87D5B" w:rsidP="008153CD">
            <w:pPr>
              <w:pStyle w:val="NormalWeb"/>
              <w:jc w:val="center"/>
              <w:rPr>
                <w:sz w:val="18"/>
                <w:szCs w:val="18"/>
              </w:rPr>
            </w:pPr>
            <w:r w:rsidRPr="008153CD">
              <w:rPr>
                <w:sz w:val="18"/>
                <w:szCs w:val="18"/>
              </w:rPr>
              <w:t>12.7%</w:t>
            </w:r>
          </w:p>
        </w:tc>
        <w:tc>
          <w:tcPr>
            <w:tcW w:w="1226" w:type="dxa"/>
            <w:tcBorders>
              <w:left w:val="single" w:sz="2" w:space="0" w:color="808080" w:themeColor="background1" w:themeShade="80"/>
            </w:tcBorders>
            <w:hideMark/>
          </w:tcPr>
          <w:p w14:paraId="27434A96" w14:textId="77777777" w:rsidR="00E87D5B" w:rsidRPr="008153CD" w:rsidRDefault="00E87D5B" w:rsidP="008153CD">
            <w:pPr>
              <w:pStyle w:val="NormalWeb"/>
              <w:jc w:val="center"/>
              <w:rPr>
                <w:sz w:val="18"/>
                <w:szCs w:val="18"/>
              </w:rPr>
            </w:pPr>
            <w:r w:rsidRPr="008153CD">
              <w:rPr>
                <w:sz w:val="18"/>
                <w:szCs w:val="18"/>
              </w:rPr>
              <w:t>8.7–18.0%</w:t>
            </w:r>
          </w:p>
        </w:tc>
      </w:tr>
      <w:tr w:rsidR="00650385" w:rsidRPr="00443B1C" w14:paraId="723B801F" w14:textId="77777777" w:rsidTr="00443B1C">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808080" w:themeColor="background1" w:themeShade="80"/>
            </w:tcBorders>
            <w:shd w:val="clear" w:color="auto" w:fill="FDE9D9" w:themeFill="accent6" w:themeFillTint="33"/>
            <w:hideMark/>
          </w:tcPr>
          <w:p w14:paraId="697CF37A" w14:textId="77777777" w:rsidR="00E87D5B" w:rsidRPr="00443B1C" w:rsidRDefault="00E87D5B">
            <w:pPr>
              <w:pStyle w:val="NormalWeb"/>
              <w:rPr>
                <w:b/>
                <w:sz w:val="18"/>
                <w:szCs w:val="18"/>
              </w:rPr>
            </w:pPr>
            <w:r w:rsidRPr="00443B1C">
              <w:rPr>
                <w:b/>
                <w:sz w:val="18"/>
                <w:szCs w:val="18"/>
              </w:rPr>
              <w:t>All ages</w:t>
            </w:r>
          </w:p>
        </w:tc>
        <w:tc>
          <w:tcPr>
            <w:tcW w:w="567"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9957585" w14:textId="77777777" w:rsidR="00E87D5B" w:rsidRPr="00443B1C" w:rsidRDefault="00E87D5B" w:rsidP="008153CD">
            <w:pPr>
              <w:pStyle w:val="NormalWeb"/>
              <w:jc w:val="center"/>
              <w:rPr>
                <w:b/>
                <w:sz w:val="18"/>
                <w:szCs w:val="18"/>
              </w:rPr>
            </w:pPr>
            <w:r w:rsidRPr="00443B1C">
              <w:rPr>
                <w:b/>
                <w:sz w:val="18"/>
                <w:szCs w:val="18"/>
              </w:rPr>
              <w:t>2,729</w:t>
            </w:r>
          </w:p>
        </w:tc>
        <w:tc>
          <w:tcPr>
            <w:tcW w:w="99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5CA663A" w14:textId="77777777" w:rsidR="00E87D5B" w:rsidRPr="00443B1C" w:rsidRDefault="00E87D5B" w:rsidP="008153CD">
            <w:pPr>
              <w:pStyle w:val="NormalWeb"/>
              <w:jc w:val="center"/>
              <w:rPr>
                <w:b/>
                <w:sz w:val="18"/>
                <w:szCs w:val="18"/>
              </w:rPr>
            </w:pPr>
            <w:r w:rsidRPr="00443B1C">
              <w:rPr>
                <w:b/>
                <w:sz w:val="18"/>
                <w:szCs w:val="18"/>
              </w:rPr>
              <w:t>82.1%</w:t>
            </w:r>
          </w:p>
        </w:tc>
        <w:tc>
          <w:tcPr>
            <w:tcW w:w="99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0C0A319" w14:textId="77777777" w:rsidR="00E87D5B" w:rsidRPr="00443B1C" w:rsidRDefault="00E87D5B" w:rsidP="008153CD">
            <w:pPr>
              <w:pStyle w:val="NormalWeb"/>
              <w:jc w:val="center"/>
              <w:rPr>
                <w:b/>
                <w:sz w:val="18"/>
                <w:szCs w:val="18"/>
              </w:rPr>
            </w:pPr>
            <w:r w:rsidRPr="00443B1C">
              <w:rPr>
                <w:b/>
                <w:sz w:val="18"/>
                <w:szCs w:val="18"/>
              </w:rPr>
              <w:t>80.6–83.5%</w:t>
            </w:r>
          </w:p>
        </w:tc>
        <w:tc>
          <w:tcPr>
            <w:tcW w:w="850"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93DE2CE" w14:textId="77777777" w:rsidR="00E87D5B" w:rsidRPr="00443B1C" w:rsidRDefault="00E87D5B" w:rsidP="008153CD">
            <w:pPr>
              <w:pStyle w:val="NormalWeb"/>
              <w:jc w:val="center"/>
              <w:rPr>
                <w:b/>
                <w:sz w:val="18"/>
                <w:szCs w:val="18"/>
              </w:rPr>
            </w:pPr>
            <w:r w:rsidRPr="00443B1C">
              <w:rPr>
                <w:b/>
                <w:sz w:val="18"/>
                <w:szCs w:val="18"/>
              </w:rPr>
              <w:t>71.1%</w:t>
            </w:r>
          </w:p>
        </w:tc>
        <w:tc>
          <w:tcPr>
            <w:tcW w:w="99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632C1E4" w14:textId="77777777" w:rsidR="00E87D5B" w:rsidRPr="00443B1C" w:rsidRDefault="00E87D5B" w:rsidP="008153CD">
            <w:pPr>
              <w:pStyle w:val="NormalWeb"/>
              <w:jc w:val="center"/>
              <w:rPr>
                <w:b/>
                <w:sz w:val="18"/>
                <w:szCs w:val="18"/>
              </w:rPr>
            </w:pPr>
            <w:r w:rsidRPr="00443B1C">
              <w:rPr>
                <w:b/>
                <w:sz w:val="18"/>
                <w:szCs w:val="18"/>
              </w:rPr>
              <w:t>69.4–72.9%</w:t>
            </w:r>
          </w:p>
        </w:tc>
        <w:tc>
          <w:tcPr>
            <w:tcW w:w="99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445257E" w14:textId="77777777" w:rsidR="00E87D5B" w:rsidRPr="00443B1C" w:rsidRDefault="00E87D5B" w:rsidP="008153CD">
            <w:pPr>
              <w:pStyle w:val="NormalWeb"/>
              <w:jc w:val="center"/>
              <w:rPr>
                <w:b/>
                <w:sz w:val="18"/>
                <w:szCs w:val="18"/>
              </w:rPr>
            </w:pPr>
            <w:r w:rsidRPr="00443B1C">
              <w:rPr>
                <w:b/>
                <w:sz w:val="18"/>
                <w:szCs w:val="18"/>
              </w:rPr>
              <w:t>10.9%</w:t>
            </w:r>
          </w:p>
        </w:tc>
        <w:tc>
          <w:tcPr>
            <w:tcW w:w="1134"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BBC0833" w14:textId="77777777" w:rsidR="00E87D5B" w:rsidRPr="00443B1C" w:rsidRDefault="00E87D5B" w:rsidP="008153CD">
            <w:pPr>
              <w:pStyle w:val="NormalWeb"/>
              <w:jc w:val="center"/>
              <w:rPr>
                <w:b/>
                <w:sz w:val="18"/>
                <w:szCs w:val="18"/>
              </w:rPr>
            </w:pPr>
            <w:r w:rsidRPr="00443B1C">
              <w:rPr>
                <w:b/>
                <w:sz w:val="18"/>
                <w:szCs w:val="18"/>
              </w:rPr>
              <w:t>9.8–12.2%</w:t>
            </w:r>
          </w:p>
        </w:tc>
        <w:tc>
          <w:tcPr>
            <w:tcW w:w="850"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793538F" w14:textId="77777777" w:rsidR="00E87D5B" w:rsidRPr="00443B1C" w:rsidRDefault="00E87D5B" w:rsidP="008153CD">
            <w:pPr>
              <w:pStyle w:val="NormalWeb"/>
              <w:jc w:val="center"/>
              <w:rPr>
                <w:b/>
                <w:sz w:val="18"/>
                <w:szCs w:val="18"/>
              </w:rPr>
            </w:pPr>
            <w:r w:rsidRPr="00443B1C">
              <w:rPr>
                <w:b/>
                <w:sz w:val="18"/>
                <w:szCs w:val="18"/>
              </w:rPr>
              <w:t>17.9%</w:t>
            </w:r>
          </w:p>
        </w:tc>
        <w:tc>
          <w:tcPr>
            <w:tcW w:w="1226" w:type="dxa"/>
            <w:tcBorders>
              <w:left w:val="single" w:sz="2" w:space="0" w:color="808080" w:themeColor="background1" w:themeShade="80"/>
            </w:tcBorders>
            <w:shd w:val="clear" w:color="auto" w:fill="FDE9D9" w:themeFill="accent6" w:themeFillTint="33"/>
            <w:hideMark/>
          </w:tcPr>
          <w:p w14:paraId="79F97647" w14:textId="77777777" w:rsidR="00E87D5B" w:rsidRPr="00443B1C" w:rsidRDefault="00E87D5B" w:rsidP="008153CD">
            <w:pPr>
              <w:pStyle w:val="NormalWeb"/>
              <w:jc w:val="center"/>
              <w:rPr>
                <w:b/>
                <w:sz w:val="18"/>
                <w:szCs w:val="18"/>
              </w:rPr>
            </w:pPr>
            <w:r w:rsidRPr="00443B1C">
              <w:rPr>
                <w:b/>
                <w:sz w:val="18"/>
                <w:szCs w:val="18"/>
              </w:rPr>
              <w:t>16.5–19.4%</w:t>
            </w:r>
          </w:p>
        </w:tc>
      </w:tr>
    </w:tbl>
    <w:p w14:paraId="6FAF08B0" w14:textId="77777777" w:rsidR="00367FE9" w:rsidRDefault="00367FE9" w:rsidP="00FC046B">
      <w:pPr>
        <w:spacing w:before="200"/>
      </w:pPr>
    </w:p>
    <w:p w14:paraId="28ED49A4" w14:textId="77777777" w:rsidR="00E87D5B" w:rsidRDefault="00E87D5B" w:rsidP="00FC046B">
      <w:pPr>
        <w:spacing w:before="200"/>
      </w:pPr>
      <w:r>
        <w:t>The proportion of equivocal results was highest in age groups between 10 and &lt;35 years, ranging from 11.9–16.1%, and lowest among 35–49 year olds (</w:t>
      </w:r>
      <w:r w:rsidRPr="00F065FF">
        <w:rPr>
          <w:rStyle w:val="Emphasis"/>
          <w:b w:val="0"/>
        </w:rPr>
        <w:t>p</w:t>
      </w:r>
      <w:r>
        <w:t xml:space="preserve"> &lt; 0.001 compared with younger age groups except 2–9 year olds) (Appendix A, Table A.3). </w:t>
      </w:r>
    </w:p>
    <w:p w14:paraId="322EDC3D" w14:textId="77777777" w:rsidR="00E87D5B" w:rsidRPr="00F70C9F" w:rsidRDefault="00E87D5B" w:rsidP="00F70C9F">
      <w:pPr>
        <w:pStyle w:val="Heading2"/>
      </w:pPr>
      <w:r w:rsidRPr="00F70C9F">
        <w:t xml:space="preserve">Comparison with previous serosurveys </w:t>
      </w:r>
    </w:p>
    <w:p w14:paraId="4AC3EAD3" w14:textId="77777777" w:rsidR="00D00BDE" w:rsidRDefault="00E87D5B" w:rsidP="00F70C9F">
      <w:pPr>
        <w:sectPr w:rsidR="00D00BDE"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 xml:space="preserve">Among all 1,915 and 3,396 specimens tested in the 1997–1998 and 2007–2008 serosurveys, a greater proportion of specimens were positive or equivocal for mumps-specific antibodies in 2012–2013 (82.1%) than in 2007–2008 (75.5%, </w:t>
      </w:r>
      <w:r w:rsidRPr="00F065FF">
        <w:rPr>
          <w:rStyle w:val="Emphasis"/>
          <w:b w:val="0"/>
        </w:rPr>
        <w:t xml:space="preserve">p </w:t>
      </w:r>
      <w:r>
        <w:t xml:space="preserve">&lt; 0.001) or 1997–1998 (72.5%, </w:t>
      </w:r>
      <w:r w:rsidRPr="00F065FF">
        <w:rPr>
          <w:rStyle w:val="Emphasis"/>
          <w:b w:val="0"/>
        </w:rPr>
        <w:t>p</w:t>
      </w:r>
      <w:r>
        <w:t xml:space="preserve"> &lt; 0.001). Although age-specific proportions seropositive or equivocal differed across the three serosurveys (Figures 1 and 2), the proportion positive or equivocal was higher in 2012–2013 for each age group with the exception of 30–34 year olds. However, differences were statistically significant only in some age groups (2007–2008 serosurvey: 1 year, 25–29 years and 35–39 years; 1997–1998 serosurvey: 2–4 years, 5–9 years and 15–19 years) (Figure 1, details in Appendix A, Table A.3). The proportion positive or equivocal was significantly lower for 30–34 year olds in 2012–2013 (75.6%) than in 2007–2008 (83.4%, </w:t>
      </w:r>
      <w:r w:rsidRPr="00F065FF">
        <w:rPr>
          <w:rStyle w:val="Emphasis"/>
          <w:b w:val="0"/>
        </w:rPr>
        <w:t>p</w:t>
      </w:r>
      <w:r>
        <w:t xml:space="preserve"> = 0.009). Subjects aged 30-34 years in 2012–2013 roughly correspond to the 1978–1982 birth cohort, which had lower proportions positive or equivocal compared with other birth cohorts across all three serosurveys (2012–2013: 77.6%; 2007–2008: 70.5%; 1997–1998: 67.2%) (Figure 3). </w:t>
      </w:r>
    </w:p>
    <w:p w14:paraId="59147240" w14:textId="77777777" w:rsidR="00E87D5B" w:rsidRDefault="00E87D5B" w:rsidP="00F70C9F"/>
    <w:p w14:paraId="006FD3AD" w14:textId="77777777" w:rsidR="00E87D5B" w:rsidRDefault="00E87D5B" w:rsidP="00F70C9F">
      <w:pPr>
        <w:pStyle w:val="CDIFigures"/>
      </w:pPr>
      <w:r>
        <w:t>Figure 1: Proportion of specimens positive or equivocal for mumps-specific antibodies, by age group and year of serosurvey</w:t>
      </w:r>
    </w:p>
    <w:p w14:paraId="5D183FD4" w14:textId="77777777" w:rsidR="00E87D5B" w:rsidRDefault="00E87D5B" w:rsidP="00AB0910">
      <w:pPr>
        <w:jc w:val="center"/>
        <w:rPr>
          <w:rFonts w:eastAsia="Times New Roman"/>
        </w:rPr>
      </w:pPr>
      <w:r>
        <w:rPr>
          <w:rFonts w:eastAsia="Times New Roman"/>
          <w:noProof/>
        </w:rPr>
        <w:drawing>
          <wp:inline distT="0" distB="0" distL="0" distR="0" wp14:anchorId="7DFEB1A9" wp14:editId="40D5DA15">
            <wp:extent cx="8345441" cy="5769876"/>
            <wp:effectExtent l="0" t="0" r="0" b="2540"/>
            <wp:docPr id="5" name="Picture 5" descr="Figure 1 is a bar chart showing the results of the three mumps serosurveys conducted in in 1997–1998, 2007–2008 and 2012–2013, clustered by age group to enable comparisons across the years within an age group, and showing the proportion of specimens, with 95% confidence intervals, that were either positive or equivocal. A greater proportion of specimens were positive or equivocal for mumps-specific antibodies in 2012–2013 compared with 2007–2008 and 1997–1998 for all age groups except for one, the 30–34 year o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bar chart showing the results of the three mumps serosurveys conducted in in 1997–1998, 2007–2008 and 2012–2013, clustered by age group to enable comparisons across the years within an age group, and showing the proportion of specimens, with 95% confidence intervals, that were either positive or equivocal. A greater proportion of specimens were positive or equivocal for mumps-specific antibodies in 2012–2013 compared with 2007–2008 and 1997–1998 for all age groups except for one, the 30–34 year olds.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345441" cy="5769876"/>
                    </a:xfrm>
                    <a:prstGeom prst="rect">
                      <a:avLst/>
                    </a:prstGeom>
                  </pic:spPr>
                </pic:pic>
              </a:graphicData>
            </a:graphic>
          </wp:inline>
        </w:drawing>
      </w:r>
    </w:p>
    <w:p w14:paraId="065599C3" w14:textId="77777777" w:rsidR="00D00BDE" w:rsidRDefault="00D00BDE" w:rsidP="00D00BDE">
      <w:pPr>
        <w:pStyle w:val="CDIFigures"/>
        <w:sectPr w:rsidR="00D00BDE" w:rsidSect="00BD6A04">
          <w:pgSz w:w="16838" w:h="11906" w:orient="landscape"/>
          <w:pgMar w:top="720" w:right="720" w:bottom="720" w:left="1134" w:header="709" w:footer="284" w:gutter="0"/>
          <w:cols w:space="708"/>
          <w:titlePg/>
          <w:docGrid w:linePitch="360"/>
        </w:sectPr>
      </w:pPr>
    </w:p>
    <w:p w14:paraId="1CF88271" w14:textId="77777777" w:rsidR="00E87D5B" w:rsidRDefault="00E87D5B" w:rsidP="00D00BDE">
      <w:pPr>
        <w:pStyle w:val="CDIFigures"/>
      </w:pPr>
      <w:r>
        <w:lastRenderedPageBreak/>
        <w:t>Figure 2: Proportion of specimens positive only for mumps-specific antibodies, by age group and year of serosurvey</w:t>
      </w:r>
    </w:p>
    <w:p w14:paraId="04B0F029" w14:textId="77777777" w:rsidR="00E87D5B" w:rsidRDefault="00E87D5B" w:rsidP="00835F08">
      <w:pPr>
        <w:jc w:val="center"/>
        <w:rPr>
          <w:rFonts w:eastAsia="Times New Roman"/>
        </w:rPr>
      </w:pPr>
      <w:r>
        <w:rPr>
          <w:rFonts w:eastAsia="Times New Roman"/>
          <w:noProof/>
        </w:rPr>
        <w:drawing>
          <wp:inline distT="0" distB="0" distL="0" distR="0" wp14:anchorId="2A6CCF54" wp14:editId="090285DB">
            <wp:extent cx="8214377" cy="5611379"/>
            <wp:effectExtent l="0" t="0" r="0" b="8890"/>
            <wp:docPr id="2" name="Picture 2" descr="Figure 2 is a bar chart showing the results of the three mumps serosurveys conducted in in 1997–1998, 2007–2008 and 2012–2013, clustered by age group to enable comparisons across the years within an age group, showing the proportion of specimens that were positive only. A greater proportion of specimens were positive for mumps-specific antibodies in 2012–2013 compared with 2007–2008 and 1997–1998 for all age groups except for one, the 30–34 year olds. This finding is similar to that seen for the proportion of specimens positive or equivocal (as shown in Figur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bar chart showing the results of the three mumps serosurveys conducted in in 1997–1998, 2007–2008 and 2012–2013, clustered by age group to enable comparisons across the years within an age group, showing the proportion of specimens that were positive only. A greater proportion of specimens were positive for mumps-specific antibodies in 2012–2013 compared with 2007–2008 and 1997–1998 for all age groups except for one, the 30–34 year olds. This finding is similar to that seen for the proportion of specimens positive or equivocal (as shown in Figure 1).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214377" cy="5611379"/>
                    </a:xfrm>
                    <a:prstGeom prst="rect">
                      <a:avLst/>
                    </a:prstGeom>
                  </pic:spPr>
                </pic:pic>
              </a:graphicData>
            </a:graphic>
          </wp:inline>
        </w:drawing>
      </w:r>
    </w:p>
    <w:p w14:paraId="12FA16D6" w14:textId="77777777" w:rsidR="00D00BDE" w:rsidRDefault="00D00BDE" w:rsidP="00F70C9F">
      <w:pPr>
        <w:pStyle w:val="CDIFigures"/>
        <w:sectPr w:rsidR="00D00BDE" w:rsidSect="00BD6A04">
          <w:pgSz w:w="16838" w:h="11906" w:orient="landscape"/>
          <w:pgMar w:top="720" w:right="720" w:bottom="720" w:left="1134" w:header="709" w:footer="284" w:gutter="0"/>
          <w:cols w:space="708"/>
          <w:titlePg/>
          <w:docGrid w:linePitch="360"/>
        </w:sectPr>
      </w:pPr>
    </w:p>
    <w:p w14:paraId="1F4ABD3A" w14:textId="77777777" w:rsidR="00E87D5B" w:rsidRDefault="00E87D5B" w:rsidP="00F70C9F">
      <w:pPr>
        <w:pStyle w:val="CDIFigures"/>
      </w:pPr>
      <w:r>
        <w:lastRenderedPageBreak/>
        <w:t>Figure 3: Proportion of specimens positive or equivocal for mumps-specific antibodies, by year of birth and year of serosurvey</w:t>
      </w:r>
    </w:p>
    <w:p w14:paraId="114A175D" w14:textId="77777777" w:rsidR="00E87D5B" w:rsidRDefault="00E87D5B" w:rsidP="00835F08">
      <w:pPr>
        <w:jc w:val="center"/>
        <w:rPr>
          <w:rFonts w:eastAsia="Times New Roman"/>
        </w:rPr>
      </w:pPr>
      <w:r>
        <w:rPr>
          <w:rFonts w:eastAsia="Times New Roman"/>
          <w:noProof/>
        </w:rPr>
        <w:drawing>
          <wp:inline distT="0" distB="0" distL="0" distR="0" wp14:anchorId="4CB8A892" wp14:editId="5CF39E08">
            <wp:extent cx="8363729" cy="5812548"/>
            <wp:effectExtent l="0" t="0" r="0" b="0"/>
            <wp:docPr id="3" name="Picture 3" descr="Figure 3 is a bar chart which shows the proportion of samples positive or equivocal for mumps-specific antibodies in each of the three mumps serosurveys conducted in 1997–1998, 2007–2008 and 2012–2013, clustered by birth cohort to enable comparisons across the years within a birth cohort. The proportion positive or equivocal was maintained in 2012–2013 compared with the previous serosurveys across all birth cohorts, with results in 2012–2013 being similar to or higher than the previous years. Across the three serosurveys, the proportion of samples positive or equivocal was lower in 1978–1982 birth coh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bar chart which shows the proportion of samples positive or equivocal for mumps-specific antibodies in each of the three mumps serosurveys conducted in 1997–1998, 2007–2008 and 2012–2013, clustered by birth cohort to enable comparisons across the years within a birth cohort. The proportion positive or equivocal was maintained in 2012–2013 compared with the previous serosurveys across all birth cohorts, with results in 2012–2013 being similar to or higher than the previous years. Across the three serosurveys, the proportion of samples positive or equivocal was lower in 1978–1982 birth cohort.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363729" cy="5812548"/>
                    </a:xfrm>
                    <a:prstGeom prst="rect">
                      <a:avLst/>
                    </a:prstGeom>
                  </pic:spPr>
                </pic:pic>
              </a:graphicData>
            </a:graphic>
          </wp:inline>
        </w:drawing>
      </w:r>
    </w:p>
    <w:p w14:paraId="626F1496" w14:textId="77777777" w:rsidR="00D00BDE" w:rsidRDefault="00D00BDE" w:rsidP="00F70C9F">
      <w:pPr>
        <w:pStyle w:val="Heading1"/>
        <w:sectPr w:rsidR="00D00BDE" w:rsidSect="00BD6A04">
          <w:pgSz w:w="16838" w:h="11906" w:orient="landscape"/>
          <w:pgMar w:top="720" w:right="720" w:bottom="720" w:left="1134" w:header="709" w:footer="284" w:gutter="0"/>
          <w:cols w:space="708"/>
          <w:titlePg/>
          <w:docGrid w:linePitch="360"/>
        </w:sectPr>
      </w:pPr>
    </w:p>
    <w:p w14:paraId="5A75BB79" w14:textId="77777777" w:rsidR="00E87D5B" w:rsidRPr="00F70C9F" w:rsidRDefault="00E87D5B" w:rsidP="00F70C9F">
      <w:pPr>
        <w:pStyle w:val="Heading1"/>
      </w:pPr>
      <w:r w:rsidRPr="00F70C9F">
        <w:lastRenderedPageBreak/>
        <w:t xml:space="preserve">Discussion </w:t>
      </w:r>
    </w:p>
    <w:p w14:paraId="71A5E9E5" w14:textId="77777777" w:rsidR="00E87D5B" w:rsidRDefault="00E87D5B" w:rsidP="00F70C9F">
      <w:r>
        <w:t>In 2012–2013, there was evidence of moderate to high immunity against mumps in the Australian population, with mumps-specific IgG antibodies detected in 82% of a representative sample. This is lower than similar estimates reported for measles (89.7%)</w:t>
      </w:r>
      <w:r>
        <w:rPr>
          <w:vertAlign w:val="superscript"/>
        </w:rPr>
        <w:t>36</w:t>
      </w:r>
      <w:r>
        <w:t xml:space="preserve"> and rubella (98.8%),</w:t>
      </w:r>
      <w:r>
        <w:rPr>
          <w:vertAlign w:val="superscript"/>
        </w:rPr>
        <w:t>37</w:t>
      </w:r>
      <w:r>
        <w:t xml:space="preserve"> the other components of the MMR vaccine. Our findings are consistent with evidence that a lower seroconversion rate (especially following 1 dose of MMR vaccine), faster declines in seropositivity and antibody concentrations, and antibodies of lower avidity are observed with the mumps component of MMR vaccine compared to the other two components.</w:t>
      </w:r>
      <w:r w:rsidR="00367FE9">
        <w:rPr>
          <w:vertAlign w:val="superscript"/>
        </w:rPr>
        <w:t>1,17,38,</w:t>
      </w:r>
      <w:r>
        <w:rPr>
          <w:vertAlign w:val="superscript"/>
        </w:rPr>
        <w:t>39</w:t>
      </w:r>
      <w:r>
        <w:t xml:space="preserve"> </w:t>
      </w:r>
    </w:p>
    <w:p w14:paraId="050AE756" w14:textId="77777777" w:rsidR="00E87D5B" w:rsidRDefault="00E87D5B" w:rsidP="00F70C9F">
      <w:r>
        <w:t>The proportion with evidence of immunity against mumps (i.e. either positive or equivocal for mumps-specific antibodies) varied by age and was highest among cohorts aged 35 years or more (84–87%), who would be expected to have had higher rates of mumps infection in childhood. The proportion positive or equivocal was greater than 80% for all age groups except 1-year olds (66.1%), who do not complete the vaccination course until 18 months of age, and those aged 30–34 years (75.6%), corresponding to the birth cohort with historically lower mumps seropositivity and having missed the second dose of MMR vaccine.</w:t>
      </w:r>
      <w:r>
        <w:rPr>
          <w:vertAlign w:val="superscript"/>
        </w:rPr>
        <w:t>34</w:t>
      </w:r>
      <w:r>
        <w:t xml:space="preserve"> Marginally higher proportions with equivocal results were observed among people aged 10–34 years (11–16%) compared with those aged 2–9 (8–8.5%) years and 35–49 years (4–8%). This is likely due to a combination of lower 2-dose coverage and waning immunity among those completing the MMR vaccination schedule ten or more years prior. </w:t>
      </w:r>
    </w:p>
    <w:p w14:paraId="0E598C83" w14:textId="77777777" w:rsidR="00E87D5B" w:rsidRDefault="00E87D5B" w:rsidP="00F70C9F">
      <w:r>
        <w:t>Seropositivity in the 2007–2008 and 1997–1998 serosurveys also varied by age, which may be attributable to a number of factors including changes in the rate of past mumps infection, changes to vaccination schedules, supplementary vaccination campaigns, and changes in age-related vaccine coverage over time.</w:t>
      </w:r>
      <w:r>
        <w:rPr>
          <w:vertAlign w:val="superscript"/>
        </w:rPr>
        <w:t>3,11–16,20</w:t>
      </w:r>
      <w:r>
        <w:t xml:space="preserve"> The higher overall proportion positive or equivocal in 2012–2013 (82.1%) compared to the 1997–1998 and 2007–2008 serosurveys (75.5% and 72.5%, respectively) likely reflects improving 2-dose coverage of MMR vaccine, especially in children. While coverage of the first dose of MMR vaccine has been consistently above 90% since 2000,</w:t>
      </w:r>
      <w:r>
        <w:rPr>
          <w:vertAlign w:val="superscript"/>
        </w:rPr>
        <w:t>40</w:t>
      </w:r>
      <w:r>
        <w:t xml:space="preserve"> 2-dose MMR vaccine coverage among 5-year olds increased from 80.3% in 2008 to 91.6% in 2012.</w:t>
      </w:r>
      <w:r>
        <w:rPr>
          <w:vertAlign w:val="superscript"/>
        </w:rPr>
        <w:t>14</w:t>
      </w:r>
      <w:r>
        <w:t xml:space="preserve"> However, the differences in age-specific mumps seroprevalence across the serosurveys were marginal, in contrast to clear evidence of increasing equivocal results observed in the same age cohorts for measles.</w:t>
      </w:r>
      <w:r>
        <w:rPr>
          <w:vertAlign w:val="superscript"/>
        </w:rPr>
        <w:t>36</w:t>
      </w:r>
      <w:r>
        <w:t xml:space="preserve"> </w:t>
      </w:r>
    </w:p>
    <w:p w14:paraId="1C702EE5" w14:textId="77777777" w:rsidR="00E87D5B" w:rsidRDefault="00E87D5B" w:rsidP="00F70C9F">
      <w:r>
        <w:t>The lower proportion positive or equivocal for mumps-specific antibodies observed for 30–34 year olds in the 2012–2013 serosurvey is consistent with results of the previous serosurveys documenting lower immunity against mumps in the 1978–1982 birth cohort compared with the rest of the Australian population.</w:t>
      </w:r>
      <w:r>
        <w:rPr>
          <w:vertAlign w:val="superscript"/>
        </w:rPr>
        <w:t>34</w:t>
      </w:r>
      <w:r>
        <w:t xml:space="preserve"> Circulation of mumps virus was declining in the 1980s</w:t>
      </w:r>
      <w:r>
        <w:rPr>
          <w:vertAlign w:val="superscript"/>
        </w:rPr>
        <w:t>34</w:t>
      </w:r>
      <w:r>
        <w:t xml:space="preserve"> and vaccination was not routinely offered to infants until 1983. Although this age cohort was targeted in a 2001 MMR vaccination campaign for young adults aged 18–30 years, uptake was </w:t>
      </w:r>
      <w:proofErr w:type="gramStart"/>
      <w:r>
        <w:t>low</w:t>
      </w:r>
      <w:proofErr w:type="gramEnd"/>
      <w:r>
        <w:t xml:space="preserve"> so it is likely that many remained both unvaccinated and uninfected.</w:t>
      </w:r>
      <w:r>
        <w:rPr>
          <w:vertAlign w:val="superscript"/>
        </w:rPr>
        <w:t>41,42</w:t>
      </w:r>
      <w:r>
        <w:t xml:space="preserve"> </w:t>
      </w:r>
    </w:p>
    <w:p w14:paraId="16C3CE9A" w14:textId="77777777" w:rsidR="00E87D5B" w:rsidRDefault="00E87D5B" w:rsidP="00F70C9F">
      <w:r>
        <w:t>The overall estimates of seropositivity in our study are slightly lower than population-level seropositivity reported in other countries with high coverage of mumps-containing vaccine, including the USA (90.0% in 1999–2004</w:t>
      </w:r>
      <w:r>
        <w:rPr>
          <w:vertAlign w:val="superscript"/>
        </w:rPr>
        <w:t>43</w:t>
      </w:r>
      <w:r>
        <w:t xml:space="preserve"> and 87.6% in 2009–2010),</w:t>
      </w:r>
      <w:r>
        <w:rPr>
          <w:vertAlign w:val="superscript"/>
        </w:rPr>
        <w:t>44</w:t>
      </w:r>
      <w:r>
        <w:t xml:space="preserve"> the Netherlands (90.9% in 2006–2007)</w:t>
      </w:r>
      <w:r>
        <w:rPr>
          <w:vertAlign w:val="superscript"/>
        </w:rPr>
        <w:t>45</w:t>
      </w:r>
      <w:r>
        <w:t xml:space="preserve"> and Spain (88.3% in 2007–2010).</w:t>
      </w:r>
      <w:r>
        <w:rPr>
          <w:vertAlign w:val="superscript"/>
        </w:rPr>
        <w:t>46</w:t>
      </w:r>
      <w:r>
        <w:t xml:space="preserve"> However the variations and trends in seropositivity to mumps by age group observed in our study are broadly similar to these other international serosurveys.</w:t>
      </w:r>
      <w:r>
        <w:rPr>
          <w:vertAlign w:val="superscript"/>
        </w:rPr>
        <w:t>38,45,46</w:t>
      </w:r>
      <w:r>
        <w:t xml:space="preserve"> Our lower observed </w:t>
      </w:r>
      <w:proofErr w:type="spellStart"/>
      <w:r>
        <w:t>seroprevalance</w:t>
      </w:r>
      <w:proofErr w:type="spellEnd"/>
      <w:r>
        <w:t xml:space="preserve"> rates overall may be attributable to differences in the sensitivity of test assays used in different studies,</w:t>
      </w:r>
      <w:r>
        <w:rPr>
          <w:vertAlign w:val="superscript"/>
        </w:rPr>
        <w:t>33</w:t>
      </w:r>
      <w:r>
        <w:t xml:space="preserve"> rather than to lower immunity in Australia. </w:t>
      </w:r>
    </w:p>
    <w:p w14:paraId="70D9A164" w14:textId="77777777" w:rsidR="00E87D5B" w:rsidRDefault="00E87D5B" w:rsidP="00F70C9F">
      <w:r>
        <w:t>Although the proportion of the population with evidence of immunity against mumps in our study is below the estimated threshold for herd immunity for mumps of 90–92%,</w:t>
      </w:r>
      <w:r>
        <w:rPr>
          <w:vertAlign w:val="superscript"/>
        </w:rPr>
        <w:t>47</w:t>
      </w:r>
      <w:r>
        <w:t xml:space="preserve"> there is no current evidence of widespread community transmission of mumps in Australia. A recent analysis of mumps notifications in Australia,</w:t>
      </w:r>
      <w:r>
        <w:rPr>
          <w:vertAlign w:val="superscript"/>
        </w:rPr>
        <w:t>48</w:t>
      </w:r>
      <w:r>
        <w:t xml:space="preserve"> reproduced in Figure 4, showed that incidence has remained low overall. The exception is two outbreaks among Aboriginal and Torres Strait Islander people reported in 2007–2008</w:t>
      </w:r>
      <w:r>
        <w:rPr>
          <w:vertAlign w:val="superscript"/>
        </w:rPr>
        <w:t>21</w:t>
      </w:r>
      <w:r>
        <w:t xml:space="preserve"> and 2015–2017.</w:t>
      </w:r>
      <w:r>
        <w:rPr>
          <w:vertAlign w:val="superscript"/>
        </w:rPr>
        <w:t>49,50</w:t>
      </w:r>
      <w:r>
        <w:t xml:space="preserve"> These outbreaks predominantly occurred in close contact settings in remote Aboriginal communities and mainly affected adolescents and young adults up to age 30 years, despite 52% (80/153)</w:t>
      </w:r>
      <w:r>
        <w:rPr>
          <w:vertAlign w:val="superscript"/>
        </w:rPr>
        <w:t>21</w:t>
      </w:r>
      <w:r>
        <w:t xml:space="preserve"> and 89% (371/419)</w:t>
      </w:r>
      <w:r>
        <w:rPr>
          <w:vertAlign w:val="superscript"/>
        </w:rPr>
        <w:t>6</w:t>
      </w:r>
      <w:r>
        <w:t xml:space="preserve"> of cases having received 2 doses of mumps vaccine in the </w:t>
      </w:r>
      <w:r>
        <w:lastRenderedPageBreak/>
        <w:t>2007–2008 and 2015–2017 outbreaks. A matched case-control analysis of the mumps outbreak in Western Australia in 2015 found low 2-dose vaccine effectiveness among Aboriginal people.</w:t>
      </w:r>
      <w:r>
        <w:rPr>
          <w:vertAlign w:val="superscript"/>
        </w:rPr>
        <w:t>49</w:t>
      </w:r>
      <w:r>
        <w:t xml:space="preserve"> Multiple outbreaks have also occurred among close contact groups of adolescents and young adults in other countries despite high 2-dose vaccine coverage,</w:t>
      </w:r>
      <w:r>
        <w:rPr>
          <w:vertAlign w:val="superscript"/>
        </w:rPr>
        <w:t>21,25,26,28,29,51–57</w:t>
      </w:r>
      <w:r>
        <w:t xml:space="preserve"> with lower vaccine effectiveness reported in outbreaks for individuals with increasing time since vaccination.</w:t>
      </w:r>
      <w:r>
        <w:rPr>
          <w:vertAlign w:val="superscript"/>
        </w:rPr>
        <w:t>52,58</w:t>
      </w:r>
      <w:r>
        <w:t xml:space="preserve"> In the absence of data on seroprevalence in the affected population immediately prior to an outbreak, it is unclear whether population-level mumps seropositivity lower than 90% is predictive of future outbreaks. However, the evidence cumulatively suggests that populations with moderate levels of immunity, particularly those who completed vaccination more than 10 years prior to disease exposure, are vulnerable to mumps outbreaks in settings with a high force of infection, consistent with data over the past two decades in Australia.</w:t>
      </w:r>
    </w:p>
    <w:p w14:paraId="6811630D" w14:textId="77777777" w:rsidR="00BD6A04" w:rsidRDefault="00BD6A04" w:rsidP="00BD6A04">
      <w:pPr>
        <w:pStyle w:val="CDIFigures"/>
        <w:sectPr w:rsidR="00BD6A04" w:rsidSect="00A30C37">
          <w:pgSz w:w="11906" w:h="16838"/>
          <w:pgMar w:top="720" w:right="720" w:bottom="1134" w:left="720" w:header="709" w:footer="284" w:gutter="0"/>
          <w:cols w:space="708"/>
          <w:titlePg/>
          <w:docGrid w:linePitch="360"/>
        </w:sectPr>
      </w:pPr>
    </w:p>
    <w:p w14:paraId="7E11CEF3" w14:textId="77777777" w:rsidR="00E87D5B" w:rsidRDefault="00E87D5B" w:rsidP="00BD6A04">
      <w:pPr>
        <w:pStyle w:val="CDIFigures"/>
      </w:pPr>
      <w:r>
        <w:lastRenderedPageBreak/>
        <w:t xml:space="preserve">Figure 4: Mumps notification rates, all jurisdictions, 2006 to 2015, by Aboriginal and Torres Strait Islander </w:t>
      </w:r>
      <w:proofErr w:type="spellStart"/>
      <w:r>
        <w:t>status</w:t>
      </w:r>
      <w:r w:rsidRPr="00896608">
        <w:rPr>
          <w:vertAlign w:val="superscript"/>
        </w:rPr>
        <w:t>a</w:t>
      </w:r>
      <w:proofErr w:type="spellEnd"/>
    </w:p>
    <w:p w14:paraId="0C3D2955" w14:textId="77777777" w:rsidR="00E87D5B" w:rsidRDefault="00E87D5B">
      <w:pPr>
        <w:rPr>
          <w:rFonts w:eastAsia="Times New Roman"/>
        </w:rPr>
      </w:pPr>
      <w:r>
        <w:rPr>
          <w:rFonts w:eastAsia="Times New Roman"/>
          <w:noProof/>
        </w:rPr>
        <w:drawing>
          <wp:inline distT="0" distB="0" distL="0" distR="0" wp14:anchorId="0718A72A" wp14:editId="1AEBA3B2">
            <wp:extent cx="9366523" cy="5141986"/>
            <wp:effectExtent l="0" t="0" r="6350" b="1905"/>
            <wp:docPr id="4" name="Picture 4" descr="Figure 4 is a line graph showing the national mumps notification rate per 100,000 by Indigenous status, i.e. for Aboriginal and Torres Strait Islanders vs all others, between 2006 and 2015. The notification rate remained low (below 2 per 100,000) for other Australians throughout this period. The notification rate was similarly low for Aboriginal and Torres Strait Islanders between 2009 and 2014, but high rates of disease were observed during an outbreak in 2007–2008 and another outbreak commencing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line graph showing the national mumps notification rate per 100,000 by Indigenous status, i.e. for Aboriginal and Torres Strait Islanders vs all others, between 2006 and 2015. The notification rate remained low (below 2 per 100,00) for other Australians throughout this period. The notification rate was similarly low for Aboriginal and Torres Strait Islanders between 2009 and 2014, but high rates of disease were observed during an outbreak in 2007–2008 and another outbreak commencing in 201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366523" cy="5141986"/>
                    </a:xfrm>
                    <a:prstGeom prst="rect">
                      <a:avLst/>
                    </a:prstGeom>
                  </pic:spPr>
                </pic:pic>
              </a:graphicData>
            </a:graphic>
          </wp:inline>
        </w:drawing>
      </w:r>
    </w:p>
    <w:p w14:paraId="21674878" w14:textId="77777777" w:rsidR="00BD6A04" w:rsidRDefault="00E87D5B" w:rsidP="00F70C9F">
      <w:pPr>
        <w:pStyle w:val="CDIfootnotes"/>
        <w:sectPr w:rsidR="00BD6A04" w:rsidSect="00BD6A04">
          <w:pgSz w:w="16838" w:h="11906" w:orient="landscape"/>
          <w:pgMar w:top="720" w:right="720" w:bottom="720" w:left="1134" w:header="709" w:footer="284" w:gutter="0"/>
          <w:cols w:space="708"/>
          <w:titlePg/>
          <w:docGrid w:linePitch="360"/>
        </w:sectPr>
      </w:pPr>
      <w:r>
        <w:t>a</w:t>
      </w:r>
      <w:r>
        <w:tab/>
        <w:t>Reproduced from reference 48.</w:t>
      </w:r>
    </w:p>
    <w:p w14:paraId="1253EBFA" w14:textId="77777777" w:rsidR="00E87D5B" w:rsidRDefault="00E87D5B" w:rsidP="00F70C9F">
      <w:pPr>
        <w:pStyle w:val="CDIfootnotes"/>
      </w:pPr>
    </w:p>
    <w:p w14:paraId="38909B21" w14:textId="77777777" w:rsidR="00E87D5B" w:rsidRDefault="00E87D5B" w:rsidP="00F70C9F">
      <w:r>
        <w:t xml:space="preserve">Limitations of our study include the absence of data on vaccination status; on time since vaccination; and on Aboriginal and Torres Strait Islander status. Our data may underestimate true seroprevalence in Australia, with the moderate seropositivity and relatively high proportion of equivocal results related to the immunoassay used. The commercial assay </w:t>
      </w:r>
      <w:proofErr w:type="spellStart"/>
      <w:r>
        <w:t>Enzygnost</w:t>
      </w:r>
      <w:proofErr w:type="spellEnd"/>
      <w:r>
        <w:t xml:space="preserve"> ELISA was used in all three serosurveys we have conducted, and has been previously shown to be significantly less sensitive than the </w:t>
      </w:r>
      <w:proofErr w:type="spellStart"/>
      <w:r>
        <w:t>Microimmune</w:t>
      </w:r>
      <w:proofErr w:type="spellEnd"/>
      <w:r>
        <w:t xml:space="preserve"> ELISA.</w:t>
      </w:r>
      <w:r>
        <w:rPr>
          <w:vertAlign w:val="superscript"/>
        </w:rPr>
        <w:t>33</w:t>
      </w:r>
      <w:r>
        <w:t xml:space="preserve"> The </w:t>
      </w:r>
      <w:proofErr w:type="spellStart"/>
      <w:r>
        <w:t>MicroImmune</w:t>
      </w:r>
      <w:proofErr w:type="spellEnd"/>
      <w:r>
        <w:t xml:space="preserve"> ELISA currently commercially available is more appropriate for testing mumps-specific IgM rather than IgG. Establishing a correlate of protection for mumps has been problematic,</w:t>
      </w:r>
      <w:r>
        <w:rPr>
          <w:vertAlign w:val="superscript"/>
        </w:rPr>
        <w:t>1</w:t>
      </w:r>
      <w:r>
        <w:t xml:space="preserve"> in contrast to measles and rubella. While plaque reduction neutralisation tests are considered to be the gold standard for mumps serology,</w:t>
      </w:r>
      <w:r>
        <w:rPr>
          <w:vertAlign w:val="superscript"/>
        </w:rPr>
        <w:t>59,60</w:t>
      </w:r>
      <w:r>
        <w:t xml:space="preserve"> they are cumbersome and time-consuming, and unsuitable for testing thousands of samples for the purpose of serosurveillance. Furthermore, while the frequency of mumps-specific B cells appears to be low,</w:t>
      </w:r>
      <w:r>
        <w:rPr>
          <w:vertAlign w:val="superscript"/>
        </w:rPr>
        <w:t>59</w:t>
      </w:r>
      <w:r>
        <w:t xml:space="preserve"> the possibility of immunity through B cell memory or cellular immunity cannot be excluded in people negative for mumps antibodies. We have attempted to address the limitations of the test assay by presenting positive and equivocal results together, as well as positive results only. </w:t>
      </w:r>
    </w:p>
    <w:p w14:paraId="1E9C1B81" w14:textId="77777777" w:rsidR="00E87D5B" w:rsidRDefault="00E87D5B" w:rsidP="00F70C9F">
      <w:r>
        <w:t>In conclusion, this 2012–2013 serosurvey provides evidence of moderate to high population level immunity against mumps, marginally higher than, but similar to, estimates from past national serosurveys. Despite mumps-specific seroprevalence below the presumptive herd immunity threshold of 92%, seropositivity was &gt; 80% in most age groups. Given the absence of widespread mumps transmission in Australia, indicated by the low notification rates of acute mumps infection (0.9 per 100,000 in 2012),</w:t>
      </w:r>
      <w:r>
        <w:rPr>
          <w:vertAlign w:val="superscript"/>
        </w:rPr>
        <w:t>3</w:t>
      </w:r>
      <w:r>
        <w:t xml:space="preserve"> our findings imply that there is adequate population-level protection afforded by the vaccination program in Australia. In close contact settings where there is a high force of infection, there is a risk of outbreaks every ten or so years. The long-term effectiveness of mumps vaccination and the potential value of a third dose of mumps-containing vaccine, particularly in selected populations, is being examined internationally.</w:t>
      </w:r>
      <w:r>
        <w:rPr>
          <w:vertAlign w:val="superscript"/>
        </w:rPr>
        <w:t>58,61–64</w:t>
      </w:r>
      <w:r>
        <w:t xml:space="preserve"> While a third dose of mumps-containing vaccine is not currently warranted at a population level for any age or regional group, its use in outbreak settings would likely be effective in limiting case numbers. Ongoing monitoring of population-level seroprevalence of mumps-specific antibodies and more detailed examination of seroprevalence among high-risk populations, such as Aboriginal and Torres Strait Islander people in some regions, could further inform consideration of this issue in Australia. </w:t>
      </w:r>
    </w:p>
    <w:p w14:paraId="65D7E786" w14:textId="77777777" w:rsidR="00E87D5B" w:rsidRPr="00F70C9F" w:rsidRDefault="00E87D5B" w:rsidP="00F70C9F">
      <w:pPr>
        <w:pStyle w:val="Heading1"/>
      </w:pPr>
      <w:r w:rsidRPr="00F70C9F">
        <w:t xml:space="preserve">Acknowledgements </w:t>
      </w:r>
    </w:p>
    <w:p w14:paraId="26D9DA58" w14:textId="77777777" w:rsidR="00E87D5B" w:rsidRDefault="00E87D5B" w:rsidP="00F70C9F">
      <w:r>
        <w:t xml:space="preserve">We wish to thank the staff of all the laboratories that have contributed sera/plasma to our national serosurvey program for their valuable contribution. </w:t>
      </w:r>
    </w:p>
    <w:p w14:paraId="0E9A3392" w14:textId="77777777" w:rsidR="00E87D5B" w:rsidRDefault="00E87D5B" w:rsidP="00F70C9F">
      <w:r>
        <w:t xml:space="preserve">The National Centre for Immunisation Research and Surveillance is supported by the Australian Government Department of Health, the NSW Ministry of Health and The Sydney Children’s Hospitals Network. The opinions expressed in this paper are those of the authors, and do not necessarily represent the views of these agencies. </w:t>
      </w:r>
    </w:p>
    <w:p w14:paraId="4CB91419" w14:textId="77777777" w:rsidR="00E87D5B" w:rsidRPr="00F70C9F" w:rsidRDefault="00E87D5B" w:rsidP="00F70C9F">
      <w:pPr>
        <w:pStyle w:val="Heading1"/>
      </w:pPr>
      <w:r w:rsidRPr="00F70C9F">
        <w:t xml:space="preserve">Author details </w:t>
      </w:r>
    </w:p>
    <w:p w14:paraId="7344D56D" w14:textId="77777777" w:rsidR="00E87D5B" w:rsidRDefault="00E87D5B" w:rsidP="00F70C9F">
      <w:r>
        <w:t>Cyra Patel</w:t>
      </w:r>
      <w:r>
        <w:rPr>
          <w:vertAlign w:val="superscript"/>
        </w:rPr>
        <w:t>1</w:t>
      </w:r>
      <w:r>
        <w:t xml:space="preserve"> Frank Beard</w:t>
      </w:r>
      <w:r>
        <w:rPr>
          <w:vertAlign w:val="superscript"/>
        </w:rPr>
        <w:t>1,2</w:t>
      </w:r>
      <w:r>
        <w:t xml:space="preserve"> Alexandra Hendry</w:t>
      </w:r>
      <w:r>
        <w:rPr>
          <w:vertAlign w:val="superscript"/>
        </w:rPr>
        <w:t>1</w:t>
      </w:r>
      <w:r>
        <w:t xml:space="preserve"> Helen Quinn</w:t>
      </w:r>
      <w:r>
        <w:rPr>
          <w:vertAlign w:val="superscript"/>
        </w:rPr>
        <w:t>1,2</w:t>
      </w:r>
      <w:r>
        <w:t xml:space="preserve"> Aditi Dey</w:t>
      </w:r>
      <w:r>
        <w:rPr>
          <w:vertAlign w:val="superscript"/>
        </w:rPr>
        <w:t>1,2</w:t>
      </w:r>
      <w:r>
        <w:t xml:space="preserve"> Kristine Macartney</w:t>
      </w:r>
      <w:r>
        <w:rPr>
          <w:vertAlign w:val="superscript"/>
        </w:rPr>
        <w:t>1,2</w:t>
      </w:r>
      <w:r>
        <w:t xml:space="preserve"> Linda Hueston</w:t>
      </w:r>
      <w:r>
        <w:rPr>
          <w:vertAlign w:val="superscript"/>
        </w:rPr>
        <w:t>3</w:t>
      </w:r>
      <w:r>
        <w:t xml:space="preserve"> Dominic E Dwyer</w:t>
      </w:r>
      <w:r>
        <w:rPr>
          <w:vertAlign w:val="superscript"/>
        </w:rPr>
        <w:t>3</w:t>
      </w:r>
      <w:r>
        <w:t xml:space="preserve"> Peter McIntyre</w:t>
      </w:r>
      <w:r>
        <w:rPr>
          <w:vertAlign w:val="superscript"/>
        </w:rPr>
        <w:t>1</w:t>
      </w:r>
      <w:r>
        <w:t xml:space="preserve"> </w:t>
      </w:r>
    </w:p>
    <w:p w14:paraId="32BCA857" w14:textId="77777777" w:rsidR="00E87D5B" w:rsidRPr="00F70C9F" w:rsidRDefault="00E87D5B" w:rsidP="00F70C9F">
      <w:pPr>
        <w:pStyle w:val="ListParagraph"/>
        <w:numPr>
          <w:ilvl w:val="0"/>
          <w:numId w:val="10"/>
        </w:numPr>
        <w:rPr>
          <w:rFonts w:eastAsia="Times New Roman"/>
        </w:rPr>
      </w:pPr>
      <w:r w:rsidRPr="00F70C9F">
        <w:rPr>
          <w:rFonts w:eastAsia="Times New Roman"/>
        </w:rPr>
        <w:t xml:space="preserve">National Centre for Immunisation Research and Surveillance, Children’s Hospital at Westmead, Sydney, Australia </w:t>
      </w:r>
    </w:p>
    <w:p w14:paraId="0A92E142" w14:textId="77777777" w:rsidR="00E87D5B" w:rsidRPr="00F70C9F" w:rsidRDefault="00E87D5B" w:rsidP="00F70C9F">
      <w:pPr>
        <w:pStyle w:val="ListParagraph"/>
        <w:numPr>
          <w:ilvl w:val="0"/>
          <w:numId w:val="10"/>
        </w:numPr>
        <w:rPr>
          <w:rFonts w:eastAsia="Times New Roman"/>
        </w:rPr>
      </w:pPr>
      <w:r w:rsidRPr="00F70C9F">
        <w:rPr>
          <w:rFonts w:eastAsia="Times New Roman"/>
        </w:rPr>
        <w:t xml:space="preserve">University of Sydney, Sydney, Australia </w:t>
      </w:r>
    </w:p>
    <w:p w14:paraId="3FD857AD" w14:textId="77777777" w:rsidR="00E87D5B" w:rsidRPr="00F70C9F" w:rsidRDefault="00E87D5B" w:rsidP="00F70C9F">
      <w:pPr>
        <w:pStyle w:val="ListParagraph"/>
        <w:numPr>
          <w:ilvl w:val="0"/>
          <w:numId w:val="10"/>
        </w:numPr>
        <w:rPr>
          <w:rFonts w:eastAsia="Times New Roman"/>
        </w:rPr>
      </w:pPr>
      <w:r w:rsidRPr="00F70C9F">
        <w:rPr>
          <w:rFonts w:eastAsia="Times New Roman"/>
        </w:rPr>
        <w:t xml:space="preserve">Institute of Clinical Pathology and Medical Research, NSW Health Pathology, Westmead, Sydney, Australia </w:t>
      </w:r>
    </w:p>
    <w:p w14:paraId="69A85240" w14:textId="77777777" w:rsidR="00E87D5B" w:rsidRPr="00F70C9F" w:rsidRDefault="00E87D5B" w:rsidP="00F70C9F">
      <w:pPr>
        <w:pStyle w:val="Heading2"/>
      </w:pPr>
      <w:r w:rsidRPr="00F70C9F">
        <w:lastRenderedPageBreak/>
        <w:t xml:space="preserve">Corresponding author </w:t>
      </w:r>
    </w:p>
    <w:p w14:paraId="7968493F" w14:textId="77777777" w:rsidR="00E87D5B" w:rsidRDefault="00E87D5B" w:rsidP="00F70C9F">
      <w:r>
        <w:t xml:space="preserve">Cyra Patel National Centre for Immunisation Research and Surveillance Kids Research, The Children’s Hospital at Westmead Locked Bag 4001, Westmead NSW 2145, Australia Phone: +61 2 9845 1407 / +61 466 345 248 Email: cyra.patel@health.nsw.gov.au </w:t>
      </w:r>
    </w:p>
    <w:p w14:paraId="30CEFA96" w14:textId="77777777" w:rsidR="00E87D5B" w:rsidRPr="00F70C9F" w:rsidRDefault="00E87D5B" w:rsidP="00F70C9F">
      <w:pPr>
        <w:pStyle w:val="Heading1"/>
      </w:pPr>
      <w:r w:rsidRPr="00F70C9F">
        <w:t xml:space="preserve">References </w:t>
      </w:r>
    </w:p>
    <w:p w14:paraId="0F701A59"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﻿Rubin SA. 40 – Mumps vaccines. In: Plotkin SA, Orenstein WA, Offit PA, Edwards KM, eds. </w:t>
      </w:r>
      <w:r w:rsidRPr="00F065FF">
        <w:rPr>
          <w:rStyle w:val="Emphasis"/>
          <w:rFonts w:eastAsia="Times New Roman"/>
          <w:b w:val="0"/>
        </w:rPr>
        <w:t>Vaccines</w:t>
      </w:r>
      <w:r w:rsidRPr="00FB28C1">
        <w:rPr>
          <w:rFonts w:eastAsia="Times New Roman"/>
        </w:rPr>
        <w:t xml:space="preserve">. 7th ed. </w:t>
      </w:r>
      <w:proofErr w:type="spellStart"/>
      <w:r w:rsidRPr="00FB28C1">
        <w:rPr>
          <w:rFonts w:eastAsia="Times New Roman"/>
        </w:rPr>
        <w:t>Philadeliphia</w:t>
      </w:r>
      <w:proofErr w:type="spellEnd"/>
      <w:r w:rsidRPr="00FB28C1">
        <w:rPr>
          <w:rFonts w:eastAsia="Times New Roman"/>
        </w:rPr>
        <w:t xml:space="preserve">, PA: Elsevier Saunders; 2018. p. 663–88.e11. </w:t>
      </w:r>
    </w:p>
    <w:p w14:paraId="5AAF713E"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Dey A, Knox S, Wang H, Beard FH, McIntyre PB. Summary of national surveillance data on vaccine preventable diseases in Australia, 2008–2011. </w:t>
      </w:r>
      <w:r w:rsidRPr="00F065FF">
        <w:rPr>
          <w:rStyle w:val="Emphasis"/>
          <w:rFonts w:eastAsia="Times New Roman"/>
          <w:b w:val="0"/>
        </w:rPr>
        <w:t>Commun Dis Intell Q Rep</w:t>
      </w:r>
      <w:r w:rsidRPr="00FB28C1">
        <w:rPr>
          <w:rFonts w:eastAsia="Times New Roman"/>
        </w:rPr>
        <w:t xml:space="preserve">. 2016;40(Suppl):S1–70. </w:t>
      </w:r>
    </w:p>
    <w:p w14:paraId="1798381C"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Bag SK, Dey A, Wang H, Beard F. Australian vaccine preventable disease epidemiological review series: mumps 2008–2012. </w:t>
      </w:r>
      <w:r w:rsidRPr="00F065FF">
        <w:rPr>
          <w:rStyle w:val="Emphasis"/>
          <w:rFonts w:eastAsia="Times New Roman"/>
          <w:b w:val="0"/>
        </w:rPr>
        <w:t>Commun Dis Intell Q Rep</w:t>
      </w:r>
      <w:r w:rsidRPr="00FB28C1">
        <w:rPr>
          <w:rFonts w:eastAsia="Times New Roman"/>
        </w:rPr>
        <w:t xml:space="preserve">. 2015;39(1):E10–18. </w:t>
      </w:r>
    </w:p>
    <w:p w14:paraId="45AD42D1"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Hviid</w:t>
      </w:r>
      <w:proofErr w:type="spellEnd"/>
      <w:r w:rsidRPr="00FB28C1">
        <w:rPr>
          <w:rFonts w:eastAsia="Times New Roman"/>
        </w:rPr>
        <w:t xml:space="preserve"> A, Rubin S, </w:t>
      </w:r>
      <w:proofErr w:type="spellStart"/>
      <w:r w:rsidRPr="00FB28C1">
        <w:rPr>
          <w:rFonts w:eastAsia="Times New Roman"/>
        </w:rPr>
        <w:t>Muhlemann</w:t>
      </w:r>
      <w:proofErr w:type="spellEnd"/>
      <w:r w:rsidRPr="00FB28C1">
        <w:rPr>
          <w:rFonts w:eastAsia="Times New Roman"/>
        </w:rPr>
        <w:t xml:space="preserve"> K. Mumps. </w:t>
      </w:r>
      <w:r w:rsidRPr="00F065FF">
        <w:rPr>
          <w:rStyle w:val="Emphasis"/>
          <w:rFonts w:eastAsia="Times New Roman"/>
          <w:b w:val="0"/>
        </w:rPr>
        <w:t>Lancet</w:t>
      </w:r>
      <w:r w:rsidRPr="00FB28C1">
        <w:rPr>
          <w:rFonts w:eastAsia="Times New Roman"/>
        </w:rPr>
        <w:t xml:space="preserve">. 2008;371(9616):932–44. </w:t>
      </w:r>
    </w:p>
    <w:p w14:paraId="22E9320E"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Australian Technical Advisory Group on Immunisation (ATAGI). The Australian Immunisation Handbook, 10th ed: Mumps. [Internet.] Canberra: Australian Government Department of Health; 2019. [Accessed on 12 July 2019.] Available from: https://immunisationhandbook.health.gov.au/vaccine-preventable-diseases/mumps. </w:t>
      </w:r>
    </w:p>
    <w:p w14:paraId="67320CAA"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Westphal DW, Eastwood A, Levy A, Davies J, Huppatz C, Gilles M et al. A protracted mumps outbreak in Western Australia despite high vaccine coverage: a population-based surveillance study. </w:t>
      </w:r>
      <w:r w:rsidRPr="00F065FF">
        <w:rPr>
          <w:rStyle w:val="Emphasis"/>
          <w:rFonts w:eastAsia="Times New Roman"/>
          <w:b w:val="0"/>
        </w:rPr>
        <w:t>Lancet Infect Dis</w:t>
      </w:r>
      <w:r w:rsidRPr="00FB28C1">
        <w:rPr>
          <w:rFonts w:eastAsia="Times New Roman"/>
        </w:rPr>
        <w:t xml:space="preserve">. 2019;19(2):177–84. </w:t>
      </w:r>
    </w:p>
    <w:p w14:paraId="061CBDD6"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Donahue M, Schneider A, </w:t>
      </w:r>
      <w:proofErr w:type="spellStart"/>
      <w:r w:rsidRPr="00FB28C1">
        <w:rPr>
          <w:rFonts w:eastAsia="Times New Roman"/>
        </w:rPr>
        <w:t>Ukegbu</w:t>
      </w:r>
      <w:proofErr w:type="spellEnd"/>
      <w:r w:rsidRPr="00FB28C1">
        <w:rPr>
          <w:rFonts w:eastAsia="Times New Roman"/>
        </w:rPr>
        <w:t xml:space="preserve"> U, Shah M, Riley J, Weigel A et al. Notes From the field: complications of mumps during a university outbreak among students who had received 2 doses of measles-mumps-rubella vaccine – Iowa, July 2015–May 2016. </w:t>
      </w:r>
      <w:r w:rsidRPr="00F065FF">
        <w:rPr>
          <w:rStyle w:val="Emphasis"/>
          <w:rFonts w:eastAsia="Times New Roman"/>
          <w:b w:val="0"/>
        </w:rPr>
        <w:t xml:space="preserve">MMWR </w:t>
      </w:r>
      <w:proofErr w:type="spellStart"/>
      <w:r w:rsidRPr="00F065FF">
        <w:rPr>
          <w:rStyle w:val="Emphasis"/>
          <w:rFonts w:eastAsia="Times New Roman"/>
          <w:b w:val="0"/>
        </w:rPr>
        <w:t>Morb</w:t>
      </w:r>
      <w:proofErr w:type="spellEnd"/>
      <w:r w:rsidRPr="00F065FF">
        <w:rPr>
          <w:rStyle w:val="Emphasis"/>
          <w:rFonts w:eastAsia="Times New Roman"/>
          <w:b w:val="0"/>
        </w:rPr>
        <w:t xml:space="preserve"> Mortal </w:t>
      </w:r>
      <w:proofErr w:type="spellStart"/>
      <w:r w:rsidRPr="00F065FF">
        <w:rPr>
          <w:rStyle w:val="Emphasis"/>
          <w:rFonts w:eastAsia="Times New Roman"/>
          <w:b w:val="0"/>
        </w:rPr>
        <w:t>Wkly</w:t>
      </w:r>
      <w:proofErr w:type="spellEnd"/>
      <w:r w:rsidRPr="00F065FF">
        <w:rPr>
          <w:rStyle w:val="Emphasis"/>
          <w:rFonts w:eastAsia="Times New Roman"/>
          <w:b w:val="0"/>
        </w:rPr>
        <w:t xml:space="preserve"> Rep</w:t>
      </w:r>
      <w:r w:rsidRPr="00FB28C1">
        <w:rPr>
          <w:rFonts w:eastAsia="Times New Roman"/>
        </w:rPr>
        <w:t xml:space="preserve">. 2017;66(14):390–391. </w:t>
      </w:r>
    </w:p>
    <w:p w14:paraId="17AB79AF"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Zamir CS, Schroeder H, </w:t>
      </w:r>
      <w:proofErr w:type="spellStart"/>
      <w:r w:rsidRPr="00FB28C1">
        <w:rPr>
          <w:rFonts w:eastAsia="Times New Roman"/>
        </w:rPr>
        <w:t>Shoob</w:t>
      </w:r>
      <w:proofErr w:type="spellEnd"/>
      <w:r w:rsidRPr="00FB28C1">
        <w:rPr>
          <w:rFonts w:eastAsia="Times New Roman"/>
        </w:rPr>
        <w:t xml:space="preserve"> H, Abramson N, </w:t>
      </w:r>
      <w:proofErr w:type="spellStart"/>
      <w:r w:rsidRPr="00FB28C1">
        <w:rPr>
          <w:rFonts w:eastAsia="Times New Roman"/>
        </w:rPr>
        <w:t>Zentner</w:t>
      </w:r>
      <w:proofErr w:type="spellEnd"/>
      <w:r w:rsidRPr="00FB28C1">
        <w:rPr>
          <w:rFonts w:eastAsia="Times New Roman"/>
        </w:rPr>
        <w:t xml:space="preserve"> G. Characteristics of a large mumps outbreak: clinical severity, complications and association with vaccination status of mumps outbreak cases. </w:t>
      </w:r>
      <w:r w:rsidRPr="00F065FF">
        <w:rPr>
          <w:rStyle w:val="Emphasis"/>
          <w:rFonts w:eastAsia="Times New Roman"/>
          <w:b w:val="0"/>
        </w:rPr>
        <w:t xml:space="preserve">Hum </w:t>
      </w:r>
      <w:proofErr w:type="spellStart"/>
      <w:r w:rsidRPr="00F065FF">
        <w:rPr>
          <w:rStyle w:val="Emphasis"/>
          <w:rFonts w:eastAsia="Times New Roman"/>
          <w:b w:val="0"/>
        </w:rPr>
        <w:t>Vaccin</w:t>
      </w:r>
      <w:proofErr w:type="spellEnd"/>
      <w:r w:rsidRPr="00F065FF">
        <w:rPr>
          <w:rStyle w:val="Emphasis"/>
          <w:rFonts w:eastAsia="Times New Roman"/>
          <w:b w:val="0"/>
        </w:rPr>
        <w:t xml:space="preserve"> </w:t>
      </w:r>
      <w:proofErr w:type="spellStart"/>
      <w:r w:rsidRPr="00F065FF">
        <w:rPr>
          <w:rStyle w:val="Emphasis"/>
          <w:rFonts w:eastAsia="Times New Roman"/>
          <w:b w:val="0"/>
        </w:rPr>
        <w:t>Immunother</w:t>
      </w:r>
      <w:proofErr w:type="spellEnd"/>
      <w:r w:rsidRPr="00FB28C1">
        <w:rPr>
          <w:rFonts w:eastAsia="Times New Roman"/>
        </w:rPr>
        <w:t xml:space="preserve">. 2015;11(6):1413–7. </w:t>
      </w:r>
    </w:p>
    <w:p w14:paraId="2867F83B"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Yung CF, Andrews N, </w:t>
      </w:r>
      <w:proofErr w:type="spellStart"/>
      <w:r w:rsidRPr="00FB28C1">
        <w:rPr>
          <w:rFonts w:eastAsia="Times New Roman"/>
        </w:rPr>
        <w:t>Bukasa</w:t>
      </w:r>
      <w:proofErr w:type="spellEnd"/>
      <w:r w:rsidRPr="00FB28C1">
        <w:rPr>
          <w:rFonts w:eastAsia="Times New Roman"/>
        </w:rPr>
        <w:t xml:space="preserve"> A, Brown KE, Ramsay M. Mumps complications and effects of mumps vaccination, England and Wales, 2002–2006. </w:t>
      </w:r>
      <w:proofErr w:type="spellStart"/>
      <w:r w:rsidRPr="00F065FF">
        <w:rPr>
          <w:rStyle w:val="Emphasis"/>
          <w:rFonts w:eastAsia="Times New Roman"/>
          <w:b w:val="0"/>
        </w:rPr>
        <w:t>Emerg</w:t>
      </w:r>
      <w:proofErr w:type="spellEnd"/>
      <w:r w:rsidRPr="00F065FF">
        <w:rPr>
          <w:rStyle w:val="Emphasis"/>
          <w:rFonts w:eastAsia="Times New Roman"/>
          <w:b w:val="0"/>
        </w:rPr>
        <w:t xml:space="preserve"> Infect Dis</w:t>
      </w:r>
      <w:r w:rsidRPr="00FB28C1">
        <w:rPr>
          <w:rFonts w:eastAsia="Times New Roman"/>
        </w:rPr>
        <w:t xml:space="preserve">. 2011;17(4):661–7. </w:t>
      </w:r>
    </w:p>
    <w:p w14:paraId="37AAB81D"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Kutty PK, Lawler J, Rausch-Phung E, Ortega-Sanchez IR, Goodell S, Schulte C et al. Epidemiology and the economic assessment of a mumps outbreak in a highly vaccinated population, Orange County, New York, 2009–2010. </w:t>
      </w:r>
      <w:r w:rsidRPr="00F065FF">
        <w:rPr>
          <w:rStyle w:val="Emphasis"/>
          <w:rFonts w:eastAsia="Times New Roman"/>
          <w:b w:val="0"/>
        </w:rPr>
        <w:t xml:space="preserve">Hum </w:t>
      </w:r>
      <w:proofErr w:type="spellStart"/>
      <w:r w:rsidRPr="00F065FF">
        <w:rPr>
          <w:rStyle w:val="Emphasis"/>
          <w:rFonts w:eastAsia="Times New Roman"/>
          <w:b w:val="0"/>
        </w:rPr>
        <w:t>Vaccin</w:t>
      </w:r>
      <w:proofErr w:type="spellEnd"/>
      <w:r w:rsidRPr="00F065FF">
        <w:rPr>
          <w:rStyle w:val="Emphasis"/>
          <w:rFonts w:eastAsia="Times New Roman"/>
          <w:b w:val="0"/>
        </w:rPr>
        <w:t xml:space="preserve"> </w:t>
      </w:r>
      <w:proofErr w:type="spellStart"/>
      <w:r w:rsidRPr="00F065FF">
        <w:rPr>
          <w:rStyle w:val="Emphasis"/>
          <w:rFonts w:eastAsia="Times New Roman"/>
          <w:b w:val="0"/>
        </w:rPr>
        <w:t>Immunother</w:t>
      </w:r>
      <w:proofErr w:type="spellEnd"/>
      <w:r w:rsidRPr="00FB28C1">
        <w:rPr>
          <w:rFonts w:eastAsia="Times New Roman"/>
        </w:rPr>
        <w:t xml:space="preserve">. 2014;10(5):1373–81. </w:t>
      </w:r>
    </w:p>
    <w:p w14:paraId="2B6611B8"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National Centre for Immunisation Research &amp; Surveillance (NCIRS). Significant events in measles, mumps and rubella vaccination practice in Australia. Sydney: NCIRS; 2019. [Accessed on 20 July 2020.] Available from: http://ncirs.org.au/sites/default/files/2019-12/Measles-mumps-rubella-history-Dec%202019.pdf. </w:t>
      </w:r>
    </w:p>
    <w:p w14:paraId="05C289E0"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Hull B, Dey A, Menzies R, McIntyre P. Annual immunisation coverage report, 2010. </w:t>
      </w:r>
      <w:r w:rsidRPr="00F065FF">
        <w:rPr>
          <w:rStyle w:val="Emphasis"/>
          <w:rFonts w:eastAsia="Times New Roman"/>
          <w:b w:val="0"/>
        </w:rPr>
        <w:t>Commun Dis Intell Q Rep</w:t>
      </w:r>
      <w:r w:rsidRPr="00FB28C1">
        <w:rPr>
          <w:rFonts w:eastAsia="Times New Roman"/>
        </w:rPr>
        <w:t xml:space="preserve">. 2013;37(1):E21–39. </w:t>
      </w:r>
    </w:p>
    <w:p w14:paraId="13301B89"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Hull BP, Dey A, Menzies RI, Brotherton JM, McIntyre PB. Immunisation coverage annual report, 2011. </w:t>
      </w:r>
      <w:r w:rsidRPr="00F065FF">
        <w:rPr>
          <w:rStyle w:val="Emphasis"/>
          <w:rFonts w:eastAsia="Times New Roman"/>
          <w:b w:val="0"/>
        </w:rPr>
        <w:t>Commun Dis Intell Q Rep</w:t>
      </w:r>
      <w:r w:rsidRPr="00FB28C1">
        <w:rPr>
          <w:rFonts w:eastAsia="Times New Roman"/>
        </w:rPr>
        <w:t xml:space="preserve">. 2013;37(4):E291–312. </w:t>
      </w:r>
    </w:p>
    <w:p w14:paraId="379D2359"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Hull BP, Dey A, Menzies RI, Brotherton JM, McIntyre PB. Immunisation coverage, 2012. </w:t>
      </w:r>
      <w:r w:rsidRPr="00F065FF">
        <w:rPr>
          <w:rStyle w:val="Emphasis"/>
          <w:rFonts w:eastAsia="Times New Roman"/>
          <w:b w:val="0"/>
        </w:rPr>
        <w:t>Commun Dis Intell Q Rep</w:t>
      </w:r>
      <w:r w:rsidRPr="00FB28C1">
        <w:rPr>
          <w:rFonts w:eastAsia="Times New Roman"/>
        </w:rPr>
        <w:t xml:space="preserve">. 2014;38(3):E208–31. </w:t>
      </w:r>
    </w:p>
    <w:p w14:paraId="2261D93D"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Hull BP, Dey A, Beard FH, Menzies RI, Brotherton JM, McIntyre PB. Immunisation coverage annual report, 2013. </w:t>
      </w:r>
      <w:r w:rsidRPr="00F065FF">
        <w:rPr>
          <w:rStyle w:val="Emphasis"/>
          <w:rFonts w:eastAsia="Times New Roman"/>
          <w:b w:val="0"/>
        </w:rPr>
        <w:t>Commun Dis Intell Q Rep</w:t>
      </w:r>
      <w:r w:rsidRPr="00FB28C1">
        <w:rPr>
          <w:rFonts w:eastAsia="Times New Roman"/>
        </w:rPr>
        <w:t xml:space="preserve">. 2016;40(1):E146–69. </w:t>
      </w:r>
    </w:p>
    <w:p w14:paraId="1ED7ACB7"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Hull BP, Hendry AJ, Dey A, Beard FH, Brotherton JM, McIntyre PB. Immunisation coverage annual report, 2014. </w:t>
      </w:r>
      <w:r w:rsidRPr="00F065FF">
        <w:rPr>
          <w:rStyle w:val="Emphasis"/>
          <w:rFonts w:eastAsia="Times New Roman"/>
          <w:b w:val="0"/>
        </w:rPr>
        <w:t>Commun Dis Intell Q Rep</w:t>
      </w:r>
      <w:r w:rsidRPr="00FB28C1">
        <w:rPr>
          <w:rFonts w:eastAsia="Times New Roman"/>
        </w:rPr>
        <w:t xml:space="preserve">. 2017;41(1):E68–90. </w:t>
      </w:r>
    </w:p>
    <w:p w14:paraId="53099AC2"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Kontio</w:t>
      </w:r>
      <w:proofErr w:type="spellEnd"/>
      <w:r w:rsidRPr="00FB28C1">
        <w:rPr>
          <w:rFonts w:eastAsia="Times New Roman"/>
        </w:rPr>
        <w:t xml:space="preserve"> M, Jokinen S, </w:t>
      </w:r>
      <w:proofErr w:type="spellStart"/>
      <w:r w:rsidRPr="00FB28C1">
        <w:rPr>
          <w:rFonts w:eastAsia="Times New Roman"/>
        </w:rPr>
        <w:t>Paunio</w:t>
      </w:r>
      <w:proofErr w:type="spellEnd"/>
      <w:r w:rsidRPr="00FB28C1">
        <w:rPr>
          <w:rFonts w:eastAsia="Times New Roman"/>
        </w:rPr>
        <w:t xml:space="preserve"> M, </w:t>
      </w:r>
      <w:proofErr w:type="spellStart"/>
      <w:r w:rsidRPr="00FB28C1">
        <w:rPr>
          <w:rFonts w:eastAsia="Times New Roman"/>
        </w:rPr>
        <w:t>Peltola</w:t>
      </w:r>
      <w:proofErr w:type="spellEnd"/>
      <w:r w:rsidRPr="00FB28C1">
        <w:rPr>
          <w:rFonts w:eastAsia="Times New Roman"/>
        </w:rPr>
        <w:t xml:space="preserve"> H, </w:t>
      </w:r>
      <w:proofErr w:type="spellStart"/>
      <w:r w:rsidRPr="00FB28C1">
        <w:rPr>
          <w:rFonts w:eastAsia="Times New Roman"/>
        </w:rPr>
        <w:t>Davidkin</w:t>
      </w:r>
      <w:proofErr w:type="spellEnd"/>
      <w:r w:rsidRPr="00FB28C1">
        <w:rPr>
          <w:rFonts w:eastAsia="Times New Roman"/>
        </w:rPr>
        <w:t xml:space="preserve"> I. Waning antibody levels and avidity: implications for MMR vaccine-induced protection. </w:t>
      </w:r>
      <w:r w:rsidRPr="00F065FF">
        <w:rPr>
          <w:rStyle w:val="Emphasis"/>
          <w:rFonts w:eastAsia="Times New Roman"/>
          <w:b w:val="0"/>
        </w:rPr>
        <w:t>J Infect Dis</w:t>
      </w:r>
      <w:r w:rsidRPr="00FB28C1">
        <w:rPr>
          <w:rFonts w:eastAsia="Times New Roman"/>
        </w:rPr>
        <w:t xml:space="preserve">. 2012;206(10):1542–8. </w:t>
      </w:r>
    </w:p>
    <w:p w14:paraId="3282D9BF"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lastRenderedPageBreak/>
        <w:t>Demicheli</w:t>
      </w:r>
      <w:proofErr w:type="spellEnd"/>
      <w:r w:rsidRPr="00FB28C1">
        <w:rPr>
          <w:rFonts w:eastAsia="Times New Roman"/>
        </w:rPr>
        <w:t xml:space="preserve"> V, </w:t>
      </w:r>
      <w:proofErr w:type="spellStart"/>
      <w:r w:rsidRPr="00FB28C1">
        <w:rPr>
          <w:rFonts w:eastAsia="Times New Roman"/>
        </w:rPr>
        <w:t>Rivetti</w:t>
      </w:r>
      <w:proofErr w:type="spellEnd"/>
      <w:r w:rsidRPr="00FB28C1">
        <w:rPr>
          <w:rFonts w:eastAsia="Times New Roman"/>
        </w:rPr>
        <w:t xml:space="preserve"> A, </w:t>
      </w:r>
      <w:proofErr w:type="spellStart"/>
      <w:r w:rsidRPr="00FB28C1">
        <w:rPr>
          <w:rFonts w:eastAsia="Times New Roman"/>
        </w:rPr>
        <w:t>Debalini</w:t>
      </w:r>
      <w:proofErr w:type="spellEnd"/>
      <w:r w:rsidRPr="00FB28C1">
        <w:rPr>
          <w:rFonts w:eastAsia="Times New Roman"/>
        </w:rPr>
        <w:t xml:space="preserve"> MG, Di </w:t>
      </w:r>
      <w:proofErr w:type="spellStart"/>
      <w:r w:rsidRPr="00FB28C1">
        <w:rPr>
          <w:rFonts w:eastAsia="Times New Roman"/>
        </w:rPr>
        <w:t>Pietrantonj</w:t>
      </w:r>
      <w:proofErr w:type="spellEnd"/>
      <w:r w:rsidRPr="00FB28C1">
        <w:rPr>
          <w:rFonts w:eastAsia="Times New Roman"/>
        </w:rPr>
        <w:t xml:space="preserve"> C. Vaccines for measles, mumps and rubella in children. </w:t>
      </w:r>
      <w:r w:rsidRPr="00F065FF">
        <w:rPr>
          <w:rStyle w:val="Emphasis"/>
          <w:rFonts w:eastAsia="Times New Roman"/>
          <w:b w:val="0"/>
        </w:rPr>
        <w:t>Cochrane Database Syst Rev</w:t>
      </w:r>
      <w:r w:rsidRPr="00FB28C1">
        <w:rPr>
          <w:rFonts w:eastAsia="Times New Roman"/>
        </w:rPr>
        <w:t xml:space="preserve">. 2012;2012(2):CD004407. </w:t>
      </w:r>
    </w:p>
    <w:p w14:paraId="60E842FC"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Australian Government Department of Health. Australian national notifiable diseases and case definitions. [Internet.] Canberra: Australian Government Department of Health; 2019. Available from: https://www1.health.gov.au/internet/main/publishing.nsf/Content/cdna-casedefinitions.htm. </w:t>
      </w:r>
    </w:p>
    <w:p w14:paraId="495EAC24"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McIntyre P, Amin J, Gidding H, Hull B, </w:t>
      </w:r>
      <w:proofErr w:type="spellStart"/>
      <w:r w:rsidRPr="00FB28C1">
        <w:rPr>
          <w:rFonts w:eastAsia="Times New Roman"/>
        </w:rPr>
        <w:t>Torvaldsen</w:t>
      </w:r>
      <w:proofErr w:type="spellEnd"/>
      <w:r w:rsidRPr="00FB28C1">
        <w:rPr>
          <w:rFonts w:eastAsia="Times New Roman"/>
        </w:rPr>
        <w:t xml:space="preserve"> S, Tucker A et al. Vaccine preventable diseases and vaccination coverage in Australia, 1993–1998. </w:t>
      </w:r>
      <w:r w:rsidRPr="00F065FF">
        <w:rPr>
          <w:rStyle w:val="Emphasis"/>
          <w:rFonts w:eastAsia="Times New Roman"/>
          <w:b w:val="0"/>
        </w:rPr>
        <w:t>Commun Dis Intell</w:t>
      </w:r>
      <w:r w:rsidRPr="00FB28C1">
        <w:rPr>
          <w:rFonts w:eastAsia="Times New Roman"/>
        </w:rPr>
        <w:t xml:space="preserve">. 2000;24(Suppl):v–83. </w:t>
      </w:r>
    </w:p>
    <w:p w14:paraId="4FFEBED0"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Bangor-Jones RD, Dowse GK, </w:t>
      </w:r>
      <w:proofErr w:type="spellStart"/>
      <w:r w:rsidRPr="00FB28C1">
        <w:rPr>
          <w:rFonts w:eastAsia="Times New Roman"/>
        </w:rPr>
        <w:t>Giele</w:t>
      </w:r>
      <w:proofErr w:type="spellEnd"/>
      <w:r w:rsidRPr="00FB28C1">
        <w:rPr>
          <w:rFonts w:eastAsia="Times New Roman"/>
        </w:rPr>
        <w:t xml:space="preserve"> CM, van </w:t>
      </w:r>
      <w:proofErr w:type="spellStart"/>
      <w:r w:rsidRPr="00FB28C1">
        <w:rPr>
          <w:rFonts w:eastAsia="Times New Roman"/>
        </w:rPr>
        <w:t>Buynder</w:t>
      </w:r>
      <w:proofErr w:type="spellEnd"/>
      <w:r w:rsidRPr="00FB28C1">
        <w:rPr>
          <w:rFonts w:eastAsia="Times New Roman"/>
        </w:rPr>
        <w:t xml:space="preserve"> PG, Hodge MM, Whitty MM. A prolonged mumps outbreak among highly vaccinated Aboriginal people in the Kimberley region of Western Australia. </w:t>
      </w:r>
      <w:r w:rsidRPr="00F065FF">
        <w:rPr>
          <w:rStyle w:val="Emphasis"/>
          <w:rFonts w:eastAsia="Times New Roman"/>
          <w:b w:val="0"/>
        </w:rPr>
        <w:t>Med J Aust</w:t>
      </w:r>
      <w:r w:rsidRPr="00FB28C1">
        <w:rPr>
          <w:rFonts w:eastAsia="Times New Roman"/>
        </w:rPr>
        <w:t xml:space="preserve">. 2009;191(7):398–401. </w:t>
      </w:r>
    </w:p>
    <w:p w14:paraId="7AEB1451"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Australian Government Department of Health. National Notifiable Diseases Surveillance System: summary tables for selected single disease. [Internet.] Canberra: Australian Government Department of Health; 2017. Available from: http://www9.health.gov.au/cda/source/cda-index.cfm. </w:t>
      </w:r>
    </w:p>
    <w:p w14:paraId="277750B4"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Naidu L, Chiu C, </w:t>
      </w:r>
      <w:proofErr w:type="spellStart"/>
      <w:r w:rsidRPr="00FB28C1">
        <w:rPr>
          <w:rFonts w:eastAsia="Times New Roman"/>
        </w:rPr>
        <w:t>Habig</w:t>
      </w:r>
      <w:proofErr w:type="spellEnd"/>
      <w:r w:rsidRPr="00FB28C1">
        <w:rPr>
          <w:rFonts w:eastAsia="Times New Roman"/>
        </w:rPr>
        <w:t xml:space="preserve"> A, </w:t>
      </w:r>
      <w:proofErr w:type="spellStart"/>
      <w:r w:rsidRPr="00FB28C1">
        <w:rPr>
          <w:rFonts w:eastAsia="Times New Roman"/>
        </w:rPr>
        <w:t>Lowbridge</w:t>
      </w:r>
      <w:proofErr w:type="spellEnd"/>
      <w:r w:rsidRPr="00FB28C1">
        <w:rPr>
          <w:rFonts w:eastAsia="Times New Roman"/>
        </w:rPr>
        <w:t xml:space="preserve"> C, Jayasinghe S, Wang H et al. Vaccine preventable diseases and vaccination coverage in Aboriginal and Torres Strait Islander people, Australia 2006–2010. </w:t>
      </w:r>
      <w:r w:rsidRPr="00F065FF">
        <w:rPr>
          <w:rStyle w:val="Emphasis"/>
          <w:rFonts w:eastAsia="Times New Roman"/>
          <w:b w:val="0"/>
        </w:rPr>
        <w:t>Commun Dis Intell Q Rep</w:t>
      </w:r>
      <w:r w:rsidRPr="00FB28C1">
        <w:rPr>
          <w:rFonts w:eastAsia="Times New Roman"/>
        </w:rPr>
        <w:t xml:space="preserve">. 2013;37(Suppl):S1–95. </w:t>
      </w:r>
    </w:p>
    <w:p w14:paraId="275FC4D0"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Queensland Health. Notifiable conditions annual reporting. Brisbane: Queensland Government, Queensland Health; 2019. Available from: https://www.health.qld.gov.au/clinical-practice/guidelines-procedures/diseases-infection/surveillance/reports/notifiable/annual. </w:t>
      </w:r>
    </w:p>
    <w:p w14:paraId="200E149D"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Centers</w:t>
      </w:r>
      <w:proofErr w:type="spellEnd"/>
      <w:r w:rsidRPr="00FB28C1">
        <w:rPr>
          <w:rFonts w:eastAsia="Times New Roman"/>
        </w:rPr>
        <w:t xml:space="preserve"> for Disease Control and Prevention (CDC). Mumps cases and outbreaks. [Internet.] Atlanta, GA: United States Government Department of Health and Human Services, CDC; 2017. Available from: https://www.cdc.gov/mumps/outbreaks.html. </w:t>
      </w:r>
    </w:p>
    <w:p w14:paraId="57399596"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Eriksen J, </w:t>
      </w:r>
      <w:proofErr w:type="spellStart"/>
      <w:r w:rsidRPr="00FB28C1">
        <w:rPr>
          <w:rFonts w:eastAsia="Times New Roman"/>
        </w:rPr>
        <w:t>Davidkin</w:t>
      </w:r>
      <w:proofErr w:type="spellEnd"/>
      <w:r w:rsidRPr="00FB28C1">
        <w:rPr>
          <w:rFonts w:eastAsia="Times New Roman"/>
        </w:rPr>
        <w:t xml:space="preserve"> I, </w:t>
      </w:r>
      <w:proofErr w:type="spellStart"/>
      <w:r w:rsidRPr="00FB28C1">
        <w:rPr>
          <w:rFonts w:eastAsia="Times New Roman"/>
        </w:rPr>
        <w:t>Kafatos</w:t>
      </w:r>
      <w:proofErr w:type="spellEnd"/>
      <w:r w:rsidRPr="00FB28C1">
        <w:rPr>
          <w:rFonts w:eastAsia="Times New Roman"/>
        </w:rPr>
        <w:t xml:space="preserve"> G, Andrews N, Barbara C, Cohen D et al. </w:t>
      </w:r>
      <w:proofErr w:type="spellStart"/>
      <w:r w:rsidRPr="00FB28C1">
        <w:rPr>
          <w:rFonts w:eastAsia="Times New Roman"/>
        </w:rPr>
        <w:t>Seroepidemiology</w:t>
      </w:r>
      <w:proofErr w:type="spellEnd"/>
      <w:r w:rsidRPr="00FB28C1">
        <w:rPr>
          <w:rFonts w:eastAsia="Times New Roman"/>
        </w:rPr>
        <w:t xml:space="preserve"> of mumps in Europe (1996–2008): why do outbreaks occur in highly vaccinated populations? </w:t>
      </w:r>
      <w:r w:rsidRPr="00F065FF">
        <w:rPr>
          <w:rStyle w:val="Emphasis"/>
          <w:rFonts w:eastAsia="Times New Roman"/>
          <w:b w:val="0"/>
        </w:rPr>
        <w:t>Epidemiol Infect</w:t>
      </w:r>
      <w:r w:rsidRPr="00FB28C1">
        <w:rPr>
          <w:rFonts w:eastAsia="Times New Roman"/>
        </w:rPr>
        <w:t xml:space="preserve">. 2013;141(3):651–66. </w:t>
      </w:r>
    </w:p>
    <w:p w14:paraId="572C916E"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Levine H, </w:t>
      </w:r>
      <w:proofErr w:type="spellStart"/>
      <w:r w:rsidRPr="00FB28C1">
        <w:rPr>
          <w:rFonts w:eastAsia="Times New Roman"/>
        </w:rPr>
        <w:t>Zarka</w:t>
      </w:r>
      <w:proofErr w:type="spellEnd"/>
      <w:r w:rsidRPr="00FB28C1">
        <w:rPr>
          <w:rFonts w:eastAsia="Times New Roman"/>
        </w:rPr>
        <w:t xml:space="preserve"> S, </w:t>
      </w:r>
      <w:proofErr w:type="spellStart"/>
      <w:r w:rsidRPr="00FB28C1">
        <w:rPr>
          <w:rFonts w:eastAsia="Times New Roman"/>
        </w:rPr>
        <w:t>Ankol</w:t>
      </w:r>
      <w:proofErr w:type="spellEnd"/>
      <w:r w:rsidRPr="00FB28C1">
        <w:rPr>
          <w:rFonts w:eastAsia="Times New Roman"/>
        </w:rPr>
        <w:t xml:space="preserve"> OE, </w:t>
      </w:r>
      <w:proofErr w:type="spellStart"/>
      <w:r w:rsidRPr="00FB28C1">
        <w:rPr>
          <w:rFonts w:eastAsia="Times New Roman"/>
        </w:rPr>
        <w:t>Rozhavski</w:t>
      </w:r>
      <w:proofErr w:type="spellEnd"/>
      <w:r w:rsidRPr="00FB28C1">
        <w:rPr>
          <w:rFonts w:eastAsia="Times New Roman"/>
        </w:rPr>
        <w:t xml:space="preserve"> V, </w:t>
      </w:r>
      <w:proofErr w:type="spellStart"/>
      <w:r w:rsidRPr="00FB28C1">
        <w:rPr>
          <w:rFonts w:eastAsia="Times New Roman"/>
        </w:rPr>
        <w:t>Davidovitch</w:t>
      </w:r>
      <w:proofErr w:type="spellEnd"/>
      <w:r w:rsidRPr="00FB28C1">
        <w:rPr>
          <w:rFonts w:eastAsia="Times New Roman"/>
        </w:rPr>
        <w:t xml:space="preserve"> N, </w:t>
      </w:r>
      <w:proofErr w:type="spellStart"/>
      <w:r w:rsidRPr="00FB28C1">
        <w:rPr>
          <w:rFonts w:eastAsia="Times New Roman"/>
        </w:rPr>
        <w:t>Aboudy</w:t>
      </w:r>
      <w:proofErr w:type="spellEnd"/>
      <w:r w:rsidRPr="00FB28C1">
        <w:rPr>
          <w:rFonts w:eastAsia="Times New Roman"/>
        </w:rPr>
        <w:t xml:space="preserve"> Y et al. Seroprevalence of measles, mumps and rubella among young adults, after 20 years of universal 2-dose MMR vaccination in </w:t>
      </w:r>
      <w:proofErr w:type="spellStart"/>
      <w:r w:rsidRPr="00FB28C1">
        <w:rPr>
          <w:rFonts w:eastAsia="Times New Roman"/>
        </w:rPr>
        <w:t>Israel.</w:t>
      </w:r>
      <w:r w:rsidRPr="00F065FF">
        <w:rPr>
          <w:rStyle w:val="Emphasis"/>
          <w:rFonts w:eastAsia="Times New Roman"/>
          <w:b w:val="0"/>
        </w:rPr>
        <w:t>Hum</w:t>
      </w:r>
      <w:proofErr w:type="spellEnd"/>
      <w:r w:rsidRPr="00F065FF">
        <w:rPr>
          <w:rStyle w:val="Emphasis"/>
          <w:rFonts w:eastAsia="Times New Roman"/>
          <w:b w:val="0"/>
        </w:rPr>
        <w:t xml:space="preserve"> </w:t>
      </w:r>
      <w:proofErr w:type="spellStart"/>
      <w:r w:rsidRPr="00F065FF">
        <w:rPr>
          <w:rStyle w:val="Emphasis"/>
          <w:rFonts w:eastAsia="Times New Roman"/>
          <w:b w:val="0"/>
        </w:rPr>
        <w:t>Vaccin</w:t>
      </w:r>
      <w:proofErr w:type="spellEnd"/>
      <w:r w:rsidRPr="00F065FF">
        <w:rPr>
          <w:rStyle w:val="Emphasis"/>
          <w:rFonts w:eastAsia="Times New Roman"/>
          <w:b w:val="0"/>
        </w:rPr>
        <w:t xml:space="preserve"> </w:t>
      </w:r>
      <w:proofErr w:type="spellStart"/>
      <w:r w:rsidRPr="00F065FF">
        <w:rPr>
          <w:rStyle w:val="Emphasis"/>
          <w:rFonts w:eastAsia="Times New Roman"/>
          <w:b w:val="0"/>
        </w:rPr>
        <w:t>Immunother</w:t>
      </w:r>
      <w:proofErr w:type="spellEnd"/>
      <w:r w:rsidRPr="00FB28C1">
        <w:rPr>
          <w:rFonts w:eastAsia="Times New Roman"/>
        </w:rPr>
        <w:t xml:space="preserve">. 2015;11(6):1400–5. </w:t>
      </w:r>
    </w:p>
    <w:p w14:paraId="63D3FF0D"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Nedeljković</w:t>
      </w:r>
      <w:proofErr w:type="spellEnd"/>
      <w:r w:rsidRPr="00FB28C1">
        <w:rPr>
          <w:rFonts w:eastAsia="Times New Roman"/>
        </w:rPr>
        <w:t xml:space="preserve"> J, </w:t>
      </w:r>
      <w:proofErr w:type="spellStart"/>
      <w:r w:rsidRPr="00FB28C1">
        <w:rPr>
          <w:rFonts w:eastAsia="Times New Roman"/>
        </w:rPr>
        <w:t>Kovačević</w:t>
      </w:r>
      <w:proofErr w:type="spellEnd"/>
      <w:r w:rsidRPr="00FB28C1">
        <w:rPr>
          <w:rFonts w:eastAsia="Times New Roman"/>
        </w:rPr>
        <w:t xml:space="preserve">-Jovanović V, </w:t>
      </w:r>
      <w:proofErr w:type="spellStart"/>
      <w:r w:rsidRPr="00FB28C1">
        <w:rPr>
          <w:rFonts w:eastAsia="Times New Roman"/>
        </w:rPr>
        <w:t>Milošević</w:t>
      </w:r>
      <w:proofErr w:type="spellEnd"/>
      <w:r w:rsidRPr="00FB28C1">
        <w:rPr>
          <w:rFonts w:eastAsia="Times New Roman"/>
        </w:rPr>
        <w:t xml:space="preserve"> V, </w:t>
      </w:r>
      <w:proofErr w:type="spellStart"/>
      <w:r w:rsidRPr="00FB28C1">
        <w:rPr>
          <w:rFonts w:eastAsia="Times New Roman"/>
        </w:rPr>
        <w:t>Šeguljev</w:t>
      </w:r>
      <w:proofErr w:type="spellEnd"/>
      <w:r w:rsidRPr="00FB28C1">
        <w:rPr>
          <w:rFonts w:eastAsia="Times New Roman"/>
        </w:rPr>
        <w:t xml:space="preserve"> Z, Petrovic V, Muller CP et al. A mumps outbreak in Vojvodina, Serbia, in 2012 underlines the need for additional vaccination opportunities for young adults. </w:t>
      </w:r>
      <w:proofErr w:type="spellStart"/>
      <w:r w:rsidRPr="00F065FF">
        <w:rPr>
          <w:rStyle w:val="Emphasis"/>
          <w:rFonts w:eastAsia="Times New Roman"/>
          <w:b w:val="0"/>
        </w:rPr>
        <w:t>PloS</w:t>
      </w:r>
      <w:proofErr w:type="spellEnd"/>
      <w:r w:rsidRPr="00F065FF">
        <w:rPr>
          <w:rStyle w:val="Emphasis"/>
          <w:rFonts w:eastAsia="Times New Roman"/>
          <w:b w:val="0"/>
        </w:rPr>
        <w:t xml:space="preserve"> One</w:t>
      </w:r>
      <w:r w:rsidRPr="00FB28C1">
        <w:rPr>
          <w:rFonts w:eastAsia="Times New Roman"/>
        </w:rPr>
        <w:t xml:space="preserve">. 2015;10(10):e0139815. </w:t>
      </w:r>
    </w:p>
    <w:p w14:paraId="56EC8A9C"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Schwarz NG, Bernard H, </w:t>
      </w:r>
      <w:proofErr w:type="spellStart"/>
      <w:r w:rsidRPr="00FB28C1">
        <w:rPr>
          <w:rFonts w:eastAsia="Times New Roman"/>
        </w:rPr>
        <w:t>Melnic</w:t>
      </w:r>
      <w:proofErr w:type="spellEnd"/>
      <w:r w:rsidRPr="00FB28C1">
        <w:rPr>
          <w:rFonts w:eastAsia="Times New Roman"/>
        </w:rPr>
        <w:t xml:space="preserve"> A, </w:t>
      </w:r>
      <w:proofErr w:type="spellStart"/>
      <w:r w:rsidRPr="00FB28C1">
        <w:rPr>
          <w:rFonts w:eastAsia="Times New Roman"/>
        </w:rPr>
        <w:t>Bucov</w:t>
      </w:r>
      <w:proofErr w:type="spellEnd"/>
      <w:r w:rsidRPr="00FB28C1">
        <w:rPr>
          <w:rFonts w:eastAsia="Times New Roman"/>
        </w:rPr>
        <w:t xml:space="preserve"> V, </w:t>
      </w:r>
      <w:proofErr w:type="spellStart"/>
      <w:r w:rsidRPr="00FB28C1">
        <w:rPr>
          <w:rFonts w:eastAsia="Times New Roman"/>
        </w:rPr>
        <w:t>Caterinciuc</w:t>
      </w:r>
      <w:proofErr w:type="spellEnd"/>
      <w:r w:rsidRPr="00FB28C1">
        <w:rPr>
          <w:rFonts w:eastAsia="Times New Roman"/>
        </w:rPr>
        <w:t xml:space="preserve"> N, an der </w:t>
      </w:r>
      <w:proofErr w:type="spellStart"/>
      <w:r w:rsidRPr="00FB28C1">
        <w:rPr>
          <w:rFonts w:eastAsia="Times New Roman"/>
        </w:rPr>
        <w:t>Heiden</w:t>
      </w:r>
      <w:proofErr w:type="spellEnd"/>
      <w:r w:rsidRPr="00FB28C1">
        <w:rPr>
          <w:rFonts w:eastAsia="Times New Roman"/>
        </w:rPr>
        <w:t xml:space="preserve"> M et al. Mumps outbreak in the Republic of Moldova, 2007–2008. </w:t>
      </w:r>
      <w:proofErr w:type="spellStart"/>
      <w:r w:rsidRPr="00F065FF">
        <w:rPr>
          <w:rStyle w:val="Emphasis"/>
          <w:rFonts w:eastAsia="Times New Roman"/>
          <w:b w:val="0"/>
        </w:rPr>
        <w:t>Pediatr</w:t>
      </w:r>
      <w:proofErr w:type="spellEnd"/>
      <w:r w:rsidRPr="00F065FF">
        <w:rPr>
          <w:rStyle w:val="Emphasis"/>
          <w:rFonts w:eastAsia="Times New Roman"/>
          <w:b w:val="0"/>
        </w:rPr>
        <w:t xml:space="preserve"> Infect Dis J</w:t>
      </w:r>
      <w:r w:rsidRPr="00FB28C1">
        <w:rPr>
          <w:rFonts w:eastAsia="Times New Roman"/>
        </w:rPr>
        <w:t xml:space="preserve">. 2010;29(8):703–6. </w:t>
      </w:r>
    </w:p>
    <w:p w14:paraId="4B8E6A4C"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Song N, Gao Z, Wood JG, </w:t>
      </w:r>
      <w:proofErr w:type="spellStart"/>
      <w:r w:rsidRPr="00FB28C1">
        <w:rPr>
          <w:rFonts w:eastAsia="Times New Roman"/>
        </w:rPr>
        <w:t>Hueston</w:t>
      </w:r>
      <w:proofErr w:type="spellEnd"/>
      <w:r w:rsidRPr="00FB28C1">
        <w:rPr>
          <w:rFonts w:eastAsia="Times New Roman"/>
        </w:rPr>
        <w:t xml:space="preserve"> L, Gilbert GL, </w:t>
      </w:r>
      <w:proofErr w:type="spellStart"/>
      <w:r w:rsidRPr="00FB28C1">
        <w:rPr>
          <w:rFonts w:eastAsia="Times New Roman"/>
        </w:rPr>
        <w:t>MacIntyre</w:t>
      </w:r>
      <w:proofErr w:type="spellEnd"/>
      <w:r w:rsidRPr="00FB28C1">
        <w:rPr>
          <w:rFonts w:eastAsia="Times New Roman"/>
        </w:rPr>
        <w:t xml:space="preserve"> CR et al. Current epidemiology of rubella and congenital rubella syndrome in Australia: progress towards elimination. </w:t>
      </w:r>
      <w:r w:rsidRPr="00F065FF">
        <w:rPr>
          <w:rStyle w:val="Emphasis"/>
          <w:rFonts w:eastAsia="Times New Roman"/>
          <w:b w:val="0"/>
        </w:rPr>
        <w:t>Vaccine</w:t>
      </w:r>
      <w:r w:rsidRPr="00FB28C1">
        <w:rPr>
          <w:rFonts w:eastAsia="Times New Roman"/>
        </w:rPr>
        <w:t xml:space="preserve">. 2012;30(27):4073–8. </w:t>
      </w:r>
    </w:p>
    <w:p w14:paraId="3190C778"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Gilbert GL, Escott RG, Gidding HF, Turnbull FM, Heath TC, McIntyre PB et al. Impact of the Australian Measles Control Campaign on immunity to measles and rubella. </w:t>
      </w:r>
      <w:r w:rsidRPr="00F065FF">
        <w:rPr>
          <w:rStyle w:val="Emphasis"/>
          <w:rFonts w:eastAsia="Times New Roman"/>
          <w:b w:val="0"/>
        </w:rPr>
        <w:t>Epidemiol Infect</w:t>
      </w:r>
      <w:r w:rsidRPr="00FB28C1">
        <w:rPr>
          <w:rFonts w:eastAsia="Times New Roman"/>
        </w:rPr>
        <w:t xml:space="preserve">. 2001;127(2):297–303. </w:t>
      </w:r>
    </w:p>
    <w:p w14:paraId="1A41029D"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Kelly H, Riddell MA, Gidding HF, Nolan T, Gilbert GL. A random cluster survey and a convenience sample give comparable estimates of immunity to vaccine preventable diseases in children of school age in Victoria, Australia. </w:t>
      </w:r>
      <w:r w:rsidRPr="00F065FF">
        <w:rPr>
          <w:rStyle w:val="Emphasis"/>
          <w:rFonts w:eastAsia="Times New Roman"/>
          <w:b w:val="0"/>
        </w:rPr>
        <w:t>Vaccine</w:t>
      </w:r>
      <w:r w:rsidRPr="00FB28C1">
        <w:rPr>
          <w:rFonts w:eastAsia="Times New Roman"/>
        </w:rPr>
        <w:t xml:space="preserve">. 2002;20(25–26):3130–6. </w:t>
      </w:r>
    </w:p>
    <w:p w14:paraId="4B0E0778"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Backhouse JL, Gidding HF, McIntyre PB, Gilbert GL. Evaluation of two enzyme immunoassays for detection of immunoglobulin G antibodies to mumps virus. </w:t>
      </w:r>
      <w:r w:rsidRPr="00F065FF">
        <w:rPr>
          <w:rStyle w:val="Emphasis"/>
          <w:rFonts w:eastAsia="Times New Roman"/>
          <w:b w:val="0"/>
        </w:rPr>
        <w:t>Clin Vaccine Immunol</w:t>
      </w:r>
      <w:r w:rsidRPr="00FB28C1">
        <w:rPr>
          <w:rFonts w:eastAsia="Times New Roman"/>
        </w:rPr>
        <w:t xml:space="preserve">. 2006;13(7):764–7. </w:t>
      </w:r>
    </w:p>
    <w:p w14:paraId="7441568A"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Aratchige</w:t>
      </w:r>
      <w:proofErr w:type="spellEnd"/>
      <w:r w:rsidRPr="00FB28C1">
        <w:rPr>
          <w:rFonts w:eastAsia="Times New Roman"/>
        </w:rPr>
        <w:t xml:space="preserve"> PE, McIntyre PB, Quinn HE, Gilbert GL. Recent increases in mumps incidence in Australia: the “forgotten” age group in the 1998 Australian Measles Control Campaign. </w:t>
      </w:r>
      <w:r w:rsidRPr="00F065FF">
        <w:rPr>
          <w:rStyle w:val="Emphasis"/>
          <w:rFonts w:eastAsia="Times New Roman"/>
          <w:b w:val="0"/>
        </w:rPr>
        <w:t>Med J Aust</w:t>
      </w:r>
      <w:r w:rsidRPr="00FB28C1">
        <w:rPr>
          <w:rFonts w:eastAsia="Times New Roman"/>
        </w:rPr>
        <w:t xml:space="preserve">. 2008;189(8):434–7. </w:t>
      </w:r>
    </w:p>
    <w:p w14:paraId="09A1E512" w14:textId="77777777" w:rsidR="00E87D5B" w:rsidRPr="00FB28C1" w:rsidRDefault="00E87D5B" w:rsidP="00FB28C1">
      <w:pPr>
        <w:pStyle w:val="ListParagraph"/>
        <w:numPr>
          <w:ilvl w:val="0"/>
          <w:numId w:val="11"/>
        </w:numPr>
        <w:rPr>
          <w:rFonts w:eastAsia="Times New Roman"/>
        </w:rPr>
      </w:pPr>
      <w:r w:rsidRPr="00FB28C1">
        <w:rPr>
          <w:rFonts w:eastAsia="Times New Roman"/>
        </w:rPr>
        <w:lastRenderedPageBreak/>
        <w:t xml:space="preserve">Australian Bureau of Statistics. 3238.0 – Estimates and Projections, Aboriginal and Torres Strait Islander Australians, 2001 to 2026. [Internet.] Canberra: Australian Government, Australian Bureau of Statistics; 30 April 2014. Available from: http://www.abs.gov.au/ausstats/abs@.nsf/mf/3238.0. </w:t>
      </w:r>
    </w:p>
    <w:p w14:paraId="22DD9D9C"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Gidding HF, Quinn HE, </w:t>
      </w:r>
      <w:proofErr w:type="spellStart"/>
      <w:r w:rsidRPr="00FB28C1">
        <w:rPr>
          <w:rFonts w:eastAsia="Times New Roman"/>
        </w:rPr>
        <w:t>Hueston</w:t>
      </w:r>
      <w:proofErr w:type="spellEnd"/>
      <w:r w:rsidRPr="00FB28C1">
        <w:rPr>
          <w:rFonts w:eastAsia="Times New Roman"/>
        </w:rPr>
        <w:t xml:space="preserve"> L, Dwyer DE, McIntyre PB. Declining measles antibodies in the era of elimination: Australia’s experience. </w:t>
      </w:r>
      <w:r w:rsidRPr="00F065FF">
        <w:rPr>
          <w:rStyle w:val="Emphasis"/>
          <w:rFonts w:eastAsia="Times New Roman"/>
          <w:b w:val="0"/>
        </w:rPr>
        <w:t>Vaccine</w:t>
      </w:r>
      <w:r w:rsidRPr="00FB28C1">
        <w:rPr>
          <w:rFonts w:eastAsia="Times New Roman"/>
        </w:rPr>
        <w:t xml:space="preserve">. 2018;36(4):507–13. </w:t>
      </w:r>
    </w:p>
    <w:p w14:paraId="2AF43ABF"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Edirisuriya</w:t>
      </w:r>
      <w:proofErr w:type="spellEnd"/>
      <w:r w:rsidRPr="00FB28C1">
        <w:rPr>
          <w:rFonts w:eastAsia="Times New Roman"/>
        </w:rPr>
        <w:t xml:space="preserve"> C, Beard FH, Hendry AJ, Dey A, Gidding HF, </w:t>
      </w:r>
      <w:proofErr w:type="spellStart"/>
      <w:r w:rsidRPr="00FB28C1">
        <w:rPr>
          <w:rFonts w:eastAsia="Times New Roman"/>
        </w:rPr>
        <w:t>Hueston</w:t>
      </w:r>
      <w:proofErr w:type="spellEnd"/>
      <w:r w:rsidRPr="00FB28C1">
        <w:rPr>
          <w:rFonts w:eastAsia="Times New Roman"/>
        </w:rPr>
        <w:t xml:space="preserve"> L et al. Australian rubella serosurvey 2012–2013: on track for elimination? </w:t>
      </w:r>
      <w:r w:rsidRPr="00F065FF">
        <w:rPr>
          <w:rStyle w:val="Emphasis"/>
          <w:rFonts w:eastAsia="Times New Roman"/>
          <w:b w:val="0"/>
        </w:rPr>
        <w:t>Vaccine</w:t>
      </w:r>
      <w:r w:rsidRPr="00FB28C1">
        <w:rPr>
          <w:rFonts w:eastAsia="Times New Roman"/>
        </w:rPr>
        <w:t xml:space="preserve">. 2018;36(20):2794–8. </w:t>
      </w:r>
    </w:p>
    <w:p w14:paraId="767E7964"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Davidkin</w:t>
      </w:r>
      <w:proofErr w:type="spellEnd"/>
      <w:r w:rsidRPr="00FB28C1">
        <w:rPr>
          <w:rFonts w:eastAsia="Times New Roman"/>
        </w:rPr>
        <w:t xml:space="preserve"> I, Jokinen S, Broman M, </w:t>
      </w:r>
      <w:proofErr w:type="spellStart"/>
      <w:r w:rsidRPr="00FB28C1">
        <w:rPr>
          <w:rFonts w:eastAsia="Times New Roman"/>
        </w:rPr>
        <w:t>Leinikki</w:t>
      </w:r>
      <w:proofErr w:type="spellEnd"/>
      <w:r w:rsidRPr="00FB28C1">
        <w:rPr>
          <w:rFonts w:eastAsia="Times New Roman"/>
        </w:rPr>
        <w:t xml:space="preserve"> P, </w:t>
      </w:r>
      <w:proofErr w:type="spellStart"/>
      <w:r w:rsidRPr="00FB28C1">
        <w:rPr>
          <w:rFonts w:eastAsia="Times New Roman"/>
        </w:rPr>
        <w:t>Peltola</w:t>
      </w:r>
      <w:proofErr w:type="spellEnd"/>
      <w:r w:rsidRPr="00FB28C1">
        <w:rPr>
          <w:rFonts w:eastAsia="Times New Roman"/>
        </w:rPr>
        <w:t xml:space="preserve"> H. Persistence of measles, mumps, and rubella antibodies in an MMR-vaccinated cohort: a 20-year follow-up. </w:t>
      </w:r>
      <w:r w:rsidRPr="00F065FF">
        <w:rPr>
          <w:rStyle w:val="Emphasis"/>
          <w:rFonts w:eastAsia="Times New Roman"/>
          <w:b w:val="0"/>
        </w:rPr>
        <w:t>J Infect Dis</w:t>
      </w:r>
      <w:r w:rsidRPr="00FB28C1">
        <w:rPr>
          <w:rFonts w:eastAsia="Times New Roman"/>
        </w:rPr>
        <w:t xml:space="preserve">. 2008;197(7):950–6. </w:t>
      </w:r>
    </w:p>
    <w:p w14:paraId="6D03E085"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Johnson CE, Kumar ML, Whitwell JK, </w:t>
      </w:r>
      <w:proofErr w:type="spellStart"/>
      <w:r w:rsidRPr="00FB28C1">
        <w:rPr>
          <w:rFonts w:eastAsia="Times New Roman"/>
        </w:rPr>
        <w:t>Staehle</w:t>
      </w:r>
      <w:proofErr w:type="spellEnd"/>
      <w:r w:rsidRPr="00FB28C1">
        <w:rPr>
          <w:rFonts w:eastAsia="Times New Roman"/>
        </w:rPr>
        <w:t xml:space="preserve"> BO, Rome LP, </w:t>
      </w:r>
      <w:proofErr w:type="spellStart"/>
      <w:r w:rsidRPr="00FB28C1">
        <w:rPr>
          <w:rFonts w:eastAsia="Times New Roman"/>
        </w:rPr>
        <w:t>Dinakar</w:t>
      </w:r>
      <w:proofErr w:type="spellEnd"/>
      <w:r w:rsidRPr="00FB28C1">
        <w:rPr>
          <w:rFonts w:eastAsia="Times New Roman"/>
        </w:rPr>
        <w:t xml:space="preserve"> C et al. Antibody persistence after primary measles-mumps-rubella vaccine and response to a second dose given at four to six vs. eleven to thirteen years. </w:t>
      </w:r>
      <w:r w:rsidRPr="00F065FF">
        <w:rPr>
          <w:rStyle w:val="Emphasis"/>
          <w:rFonts w:eastAsia="Times New Roman"/>
          <w:b w:val="0"/>
        </w:rPr>
        <w:t>Ped Infect Dis J</w:t>
      </w:r>
      <w:r w:rsidRPr="00FB28C1">
        <w:rPr>
          <w:rFonts w:eastAsia="Times New Roman"/>
        </w:rPr>
        <w:t xml:space="preserve">. 1996;15(8):687–92. </w:t>
      </w:r>
    </w:p>
    <w:p w14:paraId="48C93D6F"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Hull BP, Mahajan D, Dey A, Menzies RI, McIntyre PB. Immunisation coverage annual report, 2008. </w:t>
      </w:r>
      <w:r w:rsidRPr="00F065FF">
        <w:rPr>
          <w:rStyle w:val="Emphasis"/>
          <w:rFonts w:eastAsia="Times New Roman"/>
          <w:b w:val="0"/>
        </w:rPr>
        <w:t>Commun Dis Intell Q Rep</w:t>
      </w:r>
      <w:r w:rsidRPr="00FB28C1">
        <w:rPr>
          <w:rFonts w:eastAsia="Times New Roman"/>
        </w:rPr>
        <w:t xml:space="preserve">. 2010;34(3):241–58. </w:t>
      </w:r>
    </w:p>
    <w:p w14:paraId="6B46B38C"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Gidding HF, Wood J, </w:t>
      </w:r>
      <w:proofErr w:type="spellStart"/>
      <w:r w:rsidRPr="00FB28C1">
        <w:rPr>
          <w:rFonts w:eastAsia="Times New Roman"/>
        </w:rPr>
        <w:t>MacIntyre</w:t>
      </w:r>
      <w:proofErr w:type="spellEnd"/>
      <w:r w:rsidRPr="00FB28C1">
        <w:rPr>
          <w:rFonts w:eastAsia="Times New Roman"/>
        </w:rPr>
        <w:t xml:space="preserve"> CR, Kelly H, Lambert SB, Gilbert GL et al. Sustained measles elimination in Australia and priorities for long term maintenance. </w:t>
      </w:r>
      <w:r w:rsidRPr="00F065FF">
        <w:rPr>
          <w:rStyle w:val="Emphasis"/>
          <w:rFonts w:eastAsia="Times New Roman"/>
          <w:b w:val="0"/>
        </w:rPr>
        <w:t>Vaccine</w:t>
      </w:r>
      <w:r w:rsidRPr="00FB28C1">
        <w:rPr>
          <w:rFonts w:eastAsia="Times New Roman"/>
        </w:rPr>
        <w:t xml:space="preserve">. 2007;25(18):3574–80. </w:t>
      </w:r>
    </w:p>
    <w:p w14:paraId="1262F51A"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Kelly HA, Gidding HF, </w:t>
      </w:r>
      <w:proofErr w:type="spellStart"/>
      <w:r w:rsidRPr="00FB28C1">
        <w:rPr>
          <w:rFonts w:eastAsia="Times New Roman"/>
        </w:rPr>
        <w:t>Karapanagiotidis</w:t>
      </w:r>
      <w:proofErr w:type="spellEnd"/>
      <w:r w:rsidRPr="00FB28C1">
        <w:rPr>
          <w:rFonts w:eastAsia="Times New Roman"/>
        </w:rPr>
        <w:t xml:space="preserve"> T, </w:t>
      </w:r>
      <w:proofErr w:type="spellStart"/>
      <w:r w:rsidRPr="00FB28C1">
        <w:rPr>
          <w:rFonts w:eastAsia="Times New Roman"/>
        </w:rPr>
        <w:t>Leydon</w:t>
      </w:r>
      <w:proofErr w:type="spellEnd"/>
      <w:r w:rsidRPr="00FB28C1">
        <w:rPr>
          <w:rFonts w:eastAsia="Times New Roman"/>
        </w:rPr>
        <w:t xml:space="preserve"> JA, Riddell MA. Residual susceptibility to measles among young adults in Victoria, Australia following a national targeted measles-mumps-rubella vaccination campaign. </w:t>
      </w:r>
      <w:r w:rsidRPr="00F065FF">
        <w:rPr>
          <w:rStyle w:val="Emphasis"/>
          <w:rFonts w:eastAsia="Times New Roman"/>
          <w:b w:val="0"/>
        </w:rPr>
        <w:t>BMC Public Health</w:t>
      </w:r>
      <w:r w:rsidRPr="00FB28C1">
        <w:rPr>
          <w:rFonts w:eastAsia="Times New Roman"/>
        </w:rPr>
        <w:t xml:space="preserve">. 2007;7:99. </w:t>
      </w:r>
    </w:p>
    <w:p w14:paraId="7961A801"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Kutty PK, </w:t>
      </w:r>
      <w:proofErr w:type="spellStart"/>
      <w:r w:rsidRPr="00FB28C1">
        <w:rPr>
          <w:rFonts w:eastAsia="Times New Roman"/>
        </w:rPr>
        <w:t>Kruszon</w:t>
      </w:r>
      <w:proofErr w:type="spellEnd"/>
      <w:r w:rsidRPr="00FB28C1">
        <w:rPr>
          <w:rFonts w:eastAsia="Times New Roman"/>
        </w:rPr>
        <w:t xml:space="preserve">-Moran DM, Dayan GH, Alexander JP, Williams NJ, Garcia PE et al. Seroprevalence of antibody to mumps virus in the US population, 1999–2004. </w:t>
      </w:r>
      <w:r w:rsidRPr="00F065FF">
        <w:rPr>
          <w:rStyle w:val="Emphasis"/>
          <w:rFonts w:eastAsia="Times New Roman"/>
          <w:b w:val="0"/>
        </w:rPr>
        <w:t>J Infect Dis</w:t>
      </w:r>
      <w:r w:rsidRPr="00FB28C1">
        <w:rPr>
          <w:rFonts w:eastAsia="Times New Roman"/>
        </w:rPr>
        <w:t xml:space="preserve">. 2010;202(5):667–74. </w:t>
      </w:r>
    </w:p>
    <w:p w14:paraId="32772C18"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Lebo EJ, </w:t>
      </w:r>
      <w:proofErr w:type="spellStart"/>
      <w:r w:rsidRPr="00FB28C1">
        <w:rPr>
          <w:rFonts w:eastAsia="Times New Roman"/>
        </w:rPr>
        <w:t>Kruszon</w:t>
      </w:r>
      <w:proofErr w:type="spellEnd"/>
      <w:r w:rsidRPr="00FB28C1">
        <w:rPr>
          <w:rFonts w:eastAsia="Times New Roman"/>
        </w:rPr>
        <w:t xml:space="preserve">-Moran DM, Marin M, Bellini WJ, Schmid S, </w:t>
      </w:r>
      <w:proofErr w:type="spellStart"/>
      <w:r w:rsidRPr="00FB28C1">
        <w:rPr>
          <w:rFonts w:eastAsia="Times New Roman"/>
        </w:rPr>
        <w:t>Bialek</w:t>
      </w:r>
      <w:proofErr w:type="spellEnd"/>
      <w:r w:rsidRPr="00FB28C1">
        <w:rPr>
          <w:rFonts w:eastAsia="Times New Roman"/>
        </w:rPr>
        <w:t xml:space="preserve"> SR et al. Seroprevalence of measles, mumps, rubella and varicella antibodies in the United States population, 2009–2010. </w:t>
      </w:r>
      <w:r w:rsidRPr="00F065FF">
        <w:rPr>
          <w:rStyle w:val="Emphasis"/>
          <w:rFonts w:eastAsia="Times New Roman"/>
          <w:b w:val="0"/>
        </w:rPr>
        <w:t>Open Forum Infect Dis</w:t>
      </w:r>
      <w:r w:rsidRPr="00FB28C1">
        <w:rPr>
          <w:rFonts w:eastAsia="Times New Roman"/>
        </w:rPr>
        <w:t xml:space="preserve">. 2015;2(1):ofv006. </w:t>
      </w:r>
    </w:p>
    <w:p w14:paraId="20E366C4"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Smits G, </w:t>
      </w:r>
      <w:proofErr w:type="spellStart"/>
      <w:r w:rsidRPr="00FB28C1">
        <w:rPr>
          <w:rFonts w:eastAsia="Times New Roman"/>
        </w:rPr>
        <w:t>Mollema</w:t>
      </w:r>
      <w:proofErr w:type="spellEnd"/>
      <w:r w:rsidRPr="00FB28C1">
        <w:rPr>
          <w:rFonts w:eastAsia="Times New Roman"/>
        </w:rPr>
        <w:t xml:space="preserve"> L, </w:t>
      </w:r>
      <w:proofErr w:type="spellStart"/>
      <w:r w:rsidRPr="00FB28C1">
        <w:rPr>
          <w:rFonts w:eastAsia="Times New Roman"/>
        </w:rPr>
        <w:t>Hahné</w:t>
      </w:r>
      <w:proofErr w:type="spellEnd"/>
      <w:r w:rsidRPr="00FB28C1">
        <w:rPr>
          <w:rFonts w:eastAsia="Times New Roman"/>
        </w:rPr>
        <w:t xml:space="preserve"> S, de </w:t>
      </w:r>
      <w:proofErr w:type="spellStart"/>
      <w:r w:rsidRPr="00FB28C1">
        <w:rPr>
          <w:rFonts w:eastAsia="Times New Roman"/>
        </w:rPr>
        <w:t>Melker</w:t>
      </w:r>
      <w:proofErr w:type="spellEnd"/>
      <w:r w:rsidRPr="00FB28C1">
        <w:rPr>
          <w:rFonts w:eastAsia="Times New Roman"/>
        </w:rPr>
        <w:t xml:space="preserve"> H, </w:t>
      </w:r>
      <w:proofErr w:type="spellStart"/>
      <w:r w:rsidRPr="00FB28C1">
        <w:rPr>
          <w:rFonts w:eastAsia="Times New Roman"/>
        </w:rPr>
        <w:t>Tcherniaeva</w:t>
      </w:r>
      <w:proofErr w:type="spellEnd"/>
      <w:r w:rsidRPr="00FB28C1">
        <w:rPr>
          <w:rFonts w:eastAsia="Times New Roman"/>
        </w:rPr>
        <w:t xml:space="preserve"> I, </w:t>
      </w:r>
      <w:proofErr w:type="spellStart"/>
      <w:r w:rsidRPr="00FB28C1">
        <w:rPr>
          <w:rFonts w:eastAsia="Times New Roman"/>
        </w:rPr>
        <w:t>Waaijenborg</w:t>
      </w:r>
      <w:proofErr w:type="spellEnd"/>
      <w:r w:rsidRPr="00FB28C1">
        <w:rPr>
          <w:rFonts w:eastAsia="Times New Roman"/>
        </w:rPr>
        <w:t xml:space="preserve"> S et al. Seroprevalence of mumps in the Netherlands: dynamics over a decade with high vaccination coverage and recent outbreaks. </w:t>
      </w:r>
      <w:proofErr w:type="spellStart"/>
      <w:r w:rsidRPr="00F065FF">
        <w:rPr>
          <w:rStyle w:val="Emphasis"/>
          <w:rFonts w:eastAsia="Times New Roman"/>
          <w:b w:val="0"/>
        </w:rPr>
        <w:t>PloS</w:t>
      </w:r>
      <w:proofErr w:type="spellEnd"/>
      <w:r w:rsidRPr="00F065FF">
        <w:rPr>
          <w:rStyle w:val="Emphasis"/>
          <w:rFonts w:eastAsia="Times New Roman"/>
          <w:b w:val="0"/>
        </w:rPr>
        <w:t xml:space="preserve"> One</w:t>
      </w:r>
      <w:r w:rsidRPr="00FB28C1">
        <w:rPr>
          <w:rFonts w:eastAsia="Times New Roman"/>
        </w:rPr>
        <w:t xml:space="preserve">. 2013;8(3):e58234. </w:t>
      </w:r>
    </w:p>
    <w:p w14:paraId="4EEA4312" w14:textId="77777777" w:rsidR="00E87D5B" w:rsidRPr="00FB28C1" w:rsidRDefault="00E87D5B" w:rsidP="00FB28C1">
      <w:pPr>
        <w:pStyle w:val="ListParagraph"/>
        <w:numPr>
          <w:ilvl w:val="0"/>
          <w:numId w:val="11"/>
        </w:numPr>
        <w:rPr>
          <w:rFonts w:eastAsia="Times New Roman"/>
        </w:rPr>
      </w:pPr>
      <w:r w:rsidRPr="00FB28C1">
        <w:rPr>
          <w:rFonts w:eastAsia="Times New Roman"/>
        </w:rPr>
        <w:t>González-</w:t>
      </w:r>
      <w:proofErr w:type="spellStart"/>
      <w:r w:rsidRPr="00FB28C1">
        <w:rPr>
          <w:rFonts w:eastAsia="Times New Roman"/>
        </w:rPr>
        <w:t>Escalada</w:t>
      </w:r>
      <w:proofErr w:type="spellEnd"/>
      <w:r w:rsidRPr="00FB28C1">
        <w:rPr>
          <w:rFonts w:eastAsia="Times New Roman"/>
        </w:rPr>
        <w:t xml:space="preserve"> A, García-García L, </w:t>
      </w:r>
      <w:proofErr w:type="spellStart"/>
      <w:r w:rsidRPr="00FB28C1">
        <w:rPr>
          <w:rFonts w:eastAsia="Times New Roman"/>
        </w:rPr>
        <w:t>Viguera</w:t>
      </w:r>
      <w:proofErr w:type="spellEnd"/>
      <w:r w:rsidRPr="00FB28C1">
        <w:rPr>
          <w:rFonts w:eastAsia="Times New Roman"/>
        </w:rPr>
        <w:t xml:space="preserve">-Ester P, Marín-García P, García J, Gil-de-Miguel A et al. Seroprevalence of antibodies against measles, rubella, mumps, varicella-zoster, and </w:t>
      </w:r>
      <w:r w:rsidRPr="00F065FF">
        <w:rPr>
          <w:rStyle w:val="Emphasis"/>
          <w:rFonts w:eastAsia="Times New Roman"/>
          <w:b w:val="0"/>
        </w:rPr>
        <w:t>B. pertussis</w:t>
      </w:r>
      <w:r w:rsidRPr="00FB28C1">
        <w:rPr>
          <w:rFonts w:eastAsia="Times New Roman"/>
        </w:rPr>
        <w:t xml:space="preserve"> in young adults of Madrid, Spain. </w:t>
      </w:r>
      <w:r w:rsidRPr="00F065FF">
        <w:rPr>
          <w:rStyle w:val="Emphasis"/>
          <w:rFonts w:eastAsia="Times New Roman"/>
          <w:b w:val="0"/>
        </w:rPr>
        <w:t xml:space="preserve">Hum </w:t>
      </w:r>
      <w:proofErr w:type="spellStart"/>
      <w:r w:rsidRPr="00F065FF">
        <w:rPr>
          <w:rStyle w:val="Emphasis"/>
          <w:rFonts w:eastAsia="Times New Roman"/>
          <w:b w:val="0"/>
        </w:rPr>
        <w:t>Vaccin</w:t>
      </w:r>
      <w:proofErr w:type="spellEnd"/>
      <w:r w:rsidRPr="00F065FF">
        <w:rPr>
          <w:rStyle w:val="Emphasis"/>
          <w:rFonts w:eastAsia="Times New Roman"/>
          <w:b w:val="0"/>
        </w:rPr>
        <w:t xml:space="preserve"> </w:t>
      </w:r>
      <w:proofErr w:type="spellStart"/>
      <w:r w:rsidRPr="00F065FF">
        <w:rPr>
          <w:rStyle w:val="Emphasis"/>
          <w:rFonts w:eastAsia="Times New Roman"/>
          <w:b w:val="0"/>
        </w:rPr>
        <w:t>Immunother</w:t>
      </w:r>
      <w:proofErr w:type="spellEnd"/>
      <w:r w:rsidRPr="00FB28C1">
        <w:rPr>
          <w:rFonts w:eastAsia="Times New Roman"/>
        </w:rPr>
        <w:t xml:space="preserve">. 2013;9(9):1918–25. </w:t>
      </w:r>
    </w:p>
    <w:p w14:paraId="0C1BE987"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Anderson RM. The concept of herd immunity and the design of community-based immunization programmes. </w:t>
      </w:r>
      <w:r w:rsidRPr="00F065FF">
        <w:rPr>
          <w:rStyle w:val="Emphasis"/>
          <w:rFonts w:eastAsia="Times New Roman"/>
          <w:b w:val="0"/>
        </w:rPr>
        <w:t>Vaccine</w:t>
      </w:r>
      <w:r w:rsidRPr="00FB28C1">
        <w:rPr>
          <w:rFonts w:eastAsia="Times New Roman"/>
        </w:rPr>
        <w:t xml:space="preserve">. 1992;10(13):928–35. </w:t>
      </w:r>
    </w:p>
    <w:p w14:paraId="25DA874F"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Ioannides S, Beard F, </w:t>
      </w:r>
      <w:proofErr w:type="spellStart"/>
      <w:r w:rsidRPr="00FB28C1">
        <w:rPr>
          <w:rFonts w:eastAsia="Times New Roman"/>
        </w:rPr>
        <w:t>Larter</w:t>
      </w:r>
      <w:proofErr w:type="spellEnd"/>
      <w:r w:rsidRPr="00FB28C1">
        <w:rPr>
          <w:rFonts w:eastAsia="Times New Roman"/>
        </w:rPr>
        <w:t xml:space="preserve"> N, Clark K, Wang H, Hendry A et al. Vaccine preventable diseases and vaccination coverage in Aboriginal and Torres Strait Islander people, Australia, 2011–2015. </w:t>
      </w:r>
      <w:r w:rsidRPr="00F065FF">
        <w:rPr>
          <w:rStyle w:val="Emphasis"/>
          <w:rFonts w:eastAsia="Times New Roman"/>
          <w:b w:val="0"/>
        </w:rPr>
        <w:t>Commun Dis Intell (2018)</w:t>
      </w:r>
      <w:r w:rsidRPr="00FB28C1">
        <w:rPr>
          <w:rFonts w:eastAsia="Times New Roman"/>
        </w:rPr>
        <w:t xml:space="preserve">. 2019;43. doi: https://doi.org/10.33321/cdi.2019.43.36. </w:t>
      </w:r>
    </w:p>
    <w:p w14:paraId="4B859C11"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Westphal D, Quinn HE, </w:t>
      </w:r>
      <w:proofErr w:type="spellStart"/>
      <w:r w:rsidRPr="00FB28C1">
        <w:rPr>
          <w:rFonts w:eastAsia="Times New Roman"/>
        </w:rPr>
        <w:t>Effler</w:t>
      </w:r>
      <w:proofErr w:type="spellEnd"/>
      <w:r w:rsidRPr="00FB28C1">
        <w:rPr>
          <w:rFonts w:eastAsia="Times New Roman"/>
        </w:rPr>
        <w:t xml:space="preserve"> P, eds. Vaccine effectiveness during a large mumps outbreak in Western Australia. </w:t>
      </w:r>
      <w:r w:rsidRPr="00F065FF">
        <w:rPr>
          <w:rStyle w:val="Emphasis"/>
          <w:rFonts w:eastAsia="Times New Roman"/>
          <w:b w:val="0"/>
        </w:rPr>
        <w:t>15th National Immunisation Conference</w:t>
      </w:r>
      <w:r w:rsidRPr="00FB28C1">
        <w:rPr>
          <w:rFonts w:eastAsia="Times New Roman"/>
        </w:rPr>
        <w:t xml:space="preserve">. 7–9 June 2016. [Conference proceedings.] Brisbane: Public Health Association of Australia; 2016. </w:t>
      </w:r>
    </w:p>
    <w:p w14:paraId="5FC1251F"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Queensland Health. Notifiable conditions reports: summary information. [Internet.] Brisbane: Queensland Government, Queensland Health; 2017. Available from: https://www.health.qld.gov.au/clinical-practice/guidelines-procedures/diseases-infection/surveillance/reports/notifiable/summary. </w:t>
      </w:r>
    </w:p>
    <w:p w14:paraId="0FB9F426"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Albertson JP, Clegg WJ, Reid HD, </w:t>
      </w:r>
      <w:proofErr w:type="spellStart"/>
      <w:r w:rsidRPr="00FB28C1">
        <w:rPr>
          <w:rFonts w:eastAsia="Times New Roman"/>
        </w:rPr>
        <w:t>Arbise</w:t>
      </w:r>
      <w:proofErr w:type="spellEnd"/>
      <w:r w:rsidRPr="00FB28C1">
        <w:rPr>
          <w:rFonts w:eastAsia="Times New Roman"/>
        </w:rPr>
        <w:t xml:space="preserve"> BS, </w:t>
      </w:r>
      <w:proofErr w:type="spellStart"/>
      <w:r w:rsidRPr="00FB28C1">
        <w:rPr>
          <w:rFonts w:eastAsia="Times New Roman"/>
        </w:rPr>
        <w:t>Pryde</w:t>
      </w:r>
      <w:proofErr w:type="spellEnd"/>
      <w:r w:rsidRPr="00FB28C1">
        <w:rPr>
          <w:rFonts w:eastAsia="Times New Roman"/>
        </w:rPr>
        <w:t xml:space="preserve"> J, Vaid A et al. Mumps outbreak at a university and recommendation for a third dose of measles-mumps-rubella vaccine – Illinois, 2015–2016. </w:t>
      </w:r>
      <w:r w:rsidRPr="00F065FF">
        <w:rPr>
          <w:rStyle w:val="Emphasis"/>
          <w:rFonts w:eastAsia="Times New Roman"/>
          <w:b w:val="0"/>
        </w:rPr>
        <w:t xml:space="preserve">MMWR </w:t>
      </w:r>
      <w:proofErr w:type="spellStart"/>
      <w:r w:rsidRPr="00F065FF">
        <w:rPr>
          <w:rStyle w:val="Emphasis"/>
          <w:rFonts w:eastAsia="Times New Roman"/>
          <w:b w:val="0"/>
        </w:rPr>
        <w:t>Morb</w:t>
      </w:r>
      <w:proofErr w:type="spellEnd"/>
      <w:r w:rsidRPr="00F065FF">
        <w:rPr>
          <w:rStyle w:val="Emphasis"/>
          <w:rFonts w:eastAsia="Times New Roman"/>
          <w:b w:val="0"/>
        </w:rPr>
        <w:t xml:space="preserve"> Mortal </w:t>
      </w:r>
      <w:proofErr w:type="spellStart"/>
      <w:r w:rsidRPr="00F065FF">
        <w:rPr>
          <w:rStyle w:val="Emphasis"/>
          <w:rFonts w:eastAsia="Times New Roman"/>
          <w:b w:val="0"/>
        </w:rPr>
        <w:t>Wkly</w:t>
      </w:r>
      <w:proofErr w:type="spellEnd"/>
      <w:r w:rsidRPr="00F065FF">
        <w:rPr>
          <w:rStyle w:val="Emphasis"/>
          <w:rFonts w:eastAsia="Times New Roman"/>
          <w:b w:val="0"/>
        </w:rPr>
        <w:t xml:space="preserve"> Rep</w:t>
      </w:r>
      <w:r w:rsidRPr="00FB28C1">
        <w:rPr>
          <w:rFonts w:eastAsia="Times New Roman"/>
        </w:rPr>
        <w:t xml:space="preserve">. 2016;65(29):731–4. </w:t>
      </w:r>
    </w:p>
    <w:p w14:paraId="6BD82022"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lastRenderedPageBreak/>
        <w:t>Vygen</w:t>
      </w:r>
      <w:proofErr w:type="spellEnd"/>
      <w:r w:rsidRPr="00FB28C1">
        <w:rPr>
          <w:rFonts w:eastAsia="Times New Roman"/>
        </w:rPr>
        <w:t xml:space="preserve"> S, Fischer A, </w:t>
      </w:r>
      <w:proofErr w:type="spellStart"/>
      <w:r w:rsidRPr="00FB28C1">
        <w:rPr>
          <w:rFonts w:eastAsia="Times New Roman"/>
        </w:rPr>
        <w:t>Meurice</w:t>
      </w:r>
      <w:proofErr w:type="spellEnd"/>
      <w:r w:rsidRPr="00FB28C1">
        <w:rPr>
          <w:rFonts w:eastAsia="Times New Roman"/>
        </w:rPr>
        <w:t xml:space="preserve"> L, </w:t>
      </w:r>
      <w:proofErr w:type="spellStart"/>
      <w:r w:rsidRPr="00FB28C1">
        <w:rPr>
          <w:rFonts w:eastAsia="Times New Roman"/>
        </w:rPr>
        <w:t>Mounchetrou</w:t>
      </w:r>
      <w:proofErr w:type="spellEnd"/>
      <w:r w:rsidRPr="00FB28C1">
        <w:rPr>
          <w:rFonts w:eastAsia="Times New Roman"/>
        </w:rPr>
        <w:t xml:space="preserve"> Njoya I, Gregoris M, Ndiaye B et al. Waning immunity against mumps in vaccinated young adults, France 2013. </w:t>
      </w:r>
      <w:r w:rsidRPr="00F065FF">
        <w:rPr>
          <w:rStyle w:val="Emphasis"/>
          <w:rFonts w:eastAsia="Times New Roman"/>
          <w:b w:val="0"/>
        </w:rPr>
        <w:t xml:space="preserve">Euro </w:t>
      </w:r>
      <w:proofErr w:type="spellStart"/>
      <w:r w:rsidRPr="00F065FF">
        <w:rPr>
          <w:rStyle w:val="Emphasis"/>
          <w:rFonts w:eastAsia="Times New Roman"/>
          <w:b w:val="0"/>
        </w:rPr>
        <w:t>Surveill</w:t>
      </w:r>
      <w:proofErr w:type="spellEnd"/>
      <w:r w:rsidRPr="00FB28C1">
        <w:rPr>
          <w:rFonts w:eastAsia="Times New Roman"/>
        </w:rPr>
        <w:t xml:space="preserve">. 2016;21(10). doi: https://doi.org/10.2807/1560-7917.ES.2016.21.10.30156. </w:t>
      </w:r>
    </w:p>
    <w:p w14:paraId="5D559962"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Fields VS, Safi H, Waters C, </w:t>
      </w:r>
      <w:proofErr w:type="spellStart"/>
      <w:r w:rsidRPr="00FB28C1">
        <w:rPr>
          <w:rFonts w:eastAsia="Times New Roman"/>
        </w:rPr>
        <w:t>Dillaha</w:t>
      </w:r>
      <w:proofErr w:type="spellEnd"/>
      <w:r w:rsidRPr="00FB28C1">
        <w:rPr>
          <w:rFonts w:eastAsia="Times New Roman"/>
        </w:rPr>
        <w:t xml:space="preserve"> J, Capelle L, </w:t>
      </w:r>
      <w:proofErr w:type="spellStart"/>
      <w:r w:rsidRPr="00FB28C1">
        <w:rPr>
          <w:rFonts w:eastAsia="Times New Roman"/>
        </w:rPr>
        <w:t>Riklon</w:t>
      </w:r>
      <w:proofErr w:type="spellEnd"/>
      <w:r w:rsidRPr="00FB28C1">
        <w:rPr>
          <w:rFonts w:eastAsia="Times New Roman"/>
        </w:rPr>
        <w:t xml:space="preserve"> S et al. Mumps in a highly vaccinated Marshallese community in Arkansas, USA: an outbreak report. </w:t>
      </w:r>
      <w:r w:rsidRPr="00F065FF">
        <w:rPr>
          <w:rStyle w:val="Emphasis"/>
          <w:rFonts w:eastAsia="Times New Roman"/>
          <w:b w:val="0"/>
        </w:rPr>
        <w:t>Lancet Infect Dis</w:t>
      </w:r>
      <w:r w:rsidRPr="00FB28C1">
        <w:rPr>
          <w:rFonts w:eastAsia="Times New Roman"/>
        </w:rPr>
        <w:t xml:space="preserve">. 2019;19(2):185–92. </w:t>
      </w:r>
    </w:p>
    <w:p w14:paraId="37EA2722"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Indenbaum</w:t>
      </w:r>
      <w:proofErr w:type="spellEnd"/>
      <w:r w:rsidRPr="00FB28C1">
        <w:rPr>
          <w:rFonts w:eastAsia="Times New Roman"/>
        </w:rPr>
        <w:t xml:space="preserve"> V, </w:t>
      </w:r>
      <w:proofErr w:type="spellStart"/>
      <w:r w:rsidRPr="00FB28C1">
        <w:rPr>
          <w:rFonts w:eastAsia="Times New Roman"/>
        </w:rPr>
        <w:t>Hübschen</w:t>
      </w:r>
      <w:proofErr w:type="spellEnd"/>
      <w:r w:rsidRPr="00FB28C1">
        <w:rPr>
          <w:rFonts w:eastAsia="Times New Roman"/>
        </w:rPr>
        <w:t xml:space="preserve"> JM, Stein-Zamir C, Mendelson E, </w:t>
      </w:r>
      <w:proofErr w:type="spellStart"/>
      <w:r w:rsidRPr="00FB28C1">
        <w:rPr>
          <w:rFonts w:eastAsia="Times New Roman"/>
        </w:rPr>
        <w:t>Sofer</w:t>
      </w:r>
      <w:proofErr w:type="spellEnd"/>
      <w:r w:rsidRPr="00FB28C1">
        <w:rPr>
          <w:rFonts w:eastAsia="Times New Roman"/>
        </w:rPr>
        <w:t xml:space="preserve"> D, </w:t>
      </w:r>
      <w:proofErr w:type="spellStart"/>
      <w:r w:rsidRPr="00FB28C1">
        <w:rPr>
          <w:rFonts w:eastAsia="Times New Roman"/>
        </w:rPr>
        <w:t>Hindiyeh</w:t>
      </w:r>
      <w:proofErr w:type="spellEnd"/>
      <w:r w:rsidRPr="00FB28C1">
        <w:rPr>
          <w:rFonts w:eastAsia="Times New Roman"/>
        </w:rPr>
        <w:t xml:space="preserve"> M et al. Ongoing mumps outbreak in Israel, January to August 2017. </w:t>
      </w:r>
      <w:r w:rsidRPr="00F065FF">
        <w:rPr>
          <w:rStyle w:val="Emphasis"/>
          <w:rFonts w:eastAsia="Times New Roman"/>
          <w:b w:val="0"/>
        </w:rPr>
        <w:t xml:space="preserve">Euro </w:t>
      </w:r>
      <w:proofErr w:type="spellStart"/>
      <w:r w:rsidRPr="00F065FF">
        <w:rPr>
          <w:rStyle w:val="Emphasis"/>
          <w:rFonts w:eastAsia="Times New Roman"/>
          <w:b w:val="0"/>
        </w:rPr>
        <w:t>Surveill</w:t>
      </w:r>
      <w:proofErr w:type="spellEnd"/>
      <w:r w:rsidRPr="00FB28C1">
        <w:rPr>
          <w:rFonts w:eastAsia="Times New Roman"/>
        </w:rPr>
        <w:t xml:space="preserve">. 2017;22(35). doi: https://doi.org/10.2807/1560-7917.ES.2017.22.35.30605. </w:t>
      </w:r>
    </w:p>
    <w:p w14:paraId="2CEC17B9"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Shah M, </w:t>
      </w:r>
      <w:proofErr w:type="spellStart"/>
      <w:r w:rsidRPr="00FB28C1">
        <w:rPr>
          <w:rFonts w:eastAsia="Times New Roman"/>
        </w:rPr>
        <w:t>Quinlisk</w:t>
      </w:r>
      <w:proofErr w:type="spellEnd"/>
      <w:r w:rsidRPr="00FB28C1">
        <w:rPr>
          <w:rFonts w:eastAsia="Times New Roman"/>
        </w:rPr>
        <w:t xml:space="preserve"> P, Weigel A, Riley J, James L, Patterson J et al. Mumps outbreak in a highly vaccinated university-affiliated setting before and after a measles-mumps-rubella vaccination campaign—Iowa, July 2015 – May 2016. </w:t>
      </w:r>
      <w:r w:rsidRPr="00F065FF">
        <w:rPr>
          <w:rStyle w:val="Emphasis"/>
          <w:rFonts w:eastAsia="Times New Roman"/>
          <w:b w:val="0"/>
        </w:rPr>
        <w:t>Clin Infect Dis</w:t>
      </w:r>
      <w:r w:rsidRPr="00FB28C1">
        <w:rPr>
          <w:rFonts w:eastAsia="Times New Roman"/>
        </w:rPr>
        <w:t xml:space="preserve">. 2018;66(1):81–8. </w:t>
      </w:r>
    </w:p>
    <w:p w14:paraId="7856DBE9"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Willocks LJ, </w:t>
      </w:r>
      <w:proofErr w:type="spellStart"/>
      <w:r w:rsidRPr="00FB28C1">
        <w:rPr>
          <w:rFonts w:eastAsia="Times New Roman"/>
        </w:rPr>
        <w:t>Guerendiain</w:t>
      </w:r>
      <w:proofErr w:type="spellEnd"/>
      <w:r w:rsidRPr="00FB28C1">
        <w:rPr>
          <w:rFonts w:eastAsia="Times New Roman"/>
        </w:rPr>
        <w:t xml:space="preserve"> D, Austin HI, Morrison KE, Cameron RL, Templeton KE et al. An outbreak of mumps with genetic strain variation in a highly vaccinated student population in Scotland. </w:t>
      </w:r>
      <w:r w:rsidRPr="00F065FF">
        <w:rPr>
          <w:rStyle w:val="Emphasis"/>
          <w:rFonts w:eastAsia="Times New Roman"/>
          <w:b w:val="0"/>
        </w:rPr>
        <w:t>Epidemiol Infect</w:t>
      </w:r>
      <w:r w:rsidRPr="00FB28C1">
        <w:rPr>
          <w:rFonts w:eastAsia="Times New Roman"/>
        </w:rPr>
        <w:t xml:space="preserve">. 2017;145(15):3219–25. </w:t>
      </w:r>
    </w:p>
    <w:p w14:paraId="373F7354"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Deeks SL, Lim GH, Simpson MA, Gagne L, Gubbay J, </w:t>
      </w:r>
      <w:proofErr w:type="spellStart"/>
      <w:r w:rsidRPr="00FB28C1">
        <w:rPr>
          <w:rFonts w:eastAsia="Times New Roman"/>
        </w:rPr>
        <w:t>Kristjanson</w:t>
      </w:r>
      <w:proofErr w:type="spellEnd"/>
      <w:r w:rsidRPr="00FB28C1">
        <w:rPr>
          <w:rFonts w:eastAsia="Times New Roman"/>
        </w:rPr>
        <w:t xml:space="preserve"> E et al. An assessment of mumps vaccine effectiveness by dose during an outbreak in Canada. </w:t>
      </w:r>
      <w:r w:rsidRPr="00F065FF">
        <w:rPr>
          <w:rStyle w:val="Emphasis"/>
          <w:rFonts w:eastAsia="Times New Roman"/>
          <w:b w:val="0"/>
        </w:rPr>
        <w:t>CMAJ</w:t>
      </w:r>
      <w:r w:rsidRPr="00FB28C1">
        <w:rPr>
          <w:rFonts w:eastAsia="Times New Roman"/>
        </w:rPr>
        <w:t xml:space="preserve">. 2011;183(9):1014–20. </w:t>
      </w:r>
    </w:p>
    <w:p w14:paraId="183836C2"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Cardemil</w:t>
      </w:r>
      <w:proofErr w:type="spellEnd"/>
      <w:r w:rsidRPr="00FB28C1">
        <w:rPr>
          <w:rFonts w:eastAsia="Times New Roman"/>
        </w:rPr>
        <w:t xml:space="preserve"> CV, Dahl RM, James L, </w:t>
      </w:r>
      <w:proofErr w:type="spellStart"/>
      <w:r w:rsidRPr="00FB28C1">
        <w:rPr>
          <w:rFonts w:eastAsia="Times New Roman"/>
        </w:rPr>
        <w:t>Wannemuehler</w:t>
      </w:r>
      <w:proofErr w:type="spellEnd"/>
      <w:r w:rsidRPr="00FB28C1">
        <w:rPr>
          <w:rFonts w:eastAsia="Times New Roman"/>
        </w:rPr>
        <w:t xml:space="preserve"> K, Gary HE, Shah M et al. Effectiveness of a third dose of MMR vaccine for mumps outbreak control. </w:t>
      </w:r>
      <w:r w:rsidRPr="00F065FF">
        <w:rPr>
          <w:rStyle w:val="Emphasis"/>
          <w:rFonts w:eastAsia="Times New Roman"/>
          <w:b w:val="0"/>
        </w:rPr>
        <w:t>N Engl J Med</w:t>
      </w:r>
      <w:r w:rsidRPr="00FB28C1">
        <w:rPr>
          <w:rFonts w:eastAsia="Times New Roman"/>
        </w:rPr>
        <w:t xml:space="preserve">. 2017;377(10):947–56. </w:t>
      </w:r>
    </w:p>
    <w:p w14:paraId="3F9970C4"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Latner</w:t>
      </w:r>
      <w:proofErr w:type="spellEnd"/>
      <w:r w:rsidRPr="00FB28C1">
        <w:rPr>
          <w:rFonts w:eastAsia="Times New Roman"/>
        </w:rPr>
        <w:t xml:space="preserve"> DR, McGrew M, Williams NJ, Sowers SB, Bellini WJ, Hickman CJ. Estimates of mumps seroprevalence may be influenced by antibody specificity and serologic method. </w:t>
      </w:r>
      <w:r w:rsidRPr="00F065FF">
        <w:rPr>
          <w:rStyle w:val="Emphasis"/>
          <w:rFonts w:eastAsia="Times New Roman"/>
          <w:b w:val="0"/>
        </w:rPr>
        <w:t>Clin Vaccine Immunol</w:t>
      </w:r>
      <w:r w:rsidRPr="00FB28C1">
        <w:rPr>
          <w:rFonts w:eastAsia="Times New Roman"/>
        </w:rPr>
        <w:t xml:space="preserve">. 2014;21(3):286–97. </w:t>
      </w:r>
    </w:p>
    <w:p w14:paraId="7C87E332"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Ravault</w:t>
      </w:r>
      <w:proofErr w:type="spellEnd"/>
      <w:r w:rsidRPr="00FB28C1">
        <w:rPr>
          <w:rFonts w:eastAsia="Times New Roman"/>
        </w:rPr>
        <w:t xml:space="preserve"> S, Friel D, Di Paolo E, </w:t>
      </w:r>
      <w:proofErr w:type="spellStart"/>
      <w:r w:rsidRPr="00FB28C1">
        <w:rPr>
          <w:rFonts w:eastAsia="Times New Roman"/>
        </w:rPr>
        <w:t>Caplanusi</w:t>
      </w:r>
      <w:proofErr w:type="spellEnd"/>
      <w:r w:rsidRPr="00FB28C1">
        <w:rPr>
          <w:rFonts w:eastAsia="Times New Roman"/>
        </w:rPr>
        <w:t xml:space="preserve"> A, Gillard P, Povey M et al. Assessment of mumps virus-specific antibodies: comparison of plaque reduction neutralization test and enzyme-linked immunosorbent assay estimates. </w:t>
      </w:r>
      <w:r w:rsidRPr="00F065FF">
        <w:rPr>
          <w:rStyle w:val="Emphasis"/>
          <w:rFonts w:eastAsia="Times New Roman"/>
          <w:b w:val="0"/>
        </w:rPr>
        <w:t>J Infect Dis</w:t>
      </w:r>
      <w:r w:rsidRPr="00FB28C1">
        <w:rPr>
          <w:rFonts w:eastAsia="Times New Roman"/>
        </w:rPr>
        <w:t xml:space="preserve">. 2019;220(9):1462–8. </w:t>
      </w:r>
    </w:p>
    <w:p w14:paraId="0423E6C2"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Nelson GE, </w:t>
      </w:r>
      <w:proofErr w:type="spellStart"/>
      <w:r w:rsidRPr="00FB28C1">
        <w:rPr>
          <w:rFonts w:eastAsia="Times New Roman"/>
        </w:rPr>
        <w:t>Aguon</w:t>
      </w:r>
      <w:proofErr w:type="spellEnd"/>
      <w:r w:rsidRPr="00FB28C1">
        <w:rPr>
          <w:rFonts w:eastAsia="Times New Roman"/>
        </w:rPr>
        <w:t xml:space="preserve"> A, Valencia E, Oliva R, Guerrero ML, Reyes R et al. Epidemiology of a mumps outbreak in a highly vaccinated island population and use of a third dose of measles-mumps-rubella vaccine for outbreak control – Guam 2009 to 2010. </w:t>
      </w:r>
      <w:r w:rsidRPr="00F065FF">
        <w:rPr>
          <w:rStyle w:val="Emphasis"/>
          <w:rFonts w:eastAsia="Times New Roman"/>
          <w:b w:val="0"/>
        </w:rPr>
        <w:t>Ped Infect Dis J</w:t>
      </w:r>
      <w:r w:rsidRPr="00FB28C1">
        <w:rPr>
          <w:rFonts w:eastAsia="Times New Roman"/>
        </w:rPr>
        <w:t xml:space="preserve">. 2013;32(4):374–80. </w:t>
      </w:r>
    </w:p>
    <w:p w14:paraId="70586209"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Ogbuanu</w:t>
      </w:r>
      <w:proofErr w:type="spellEnd"/>
      <w:r w:rsidRPr="00FB28C1">
        <w:rPr>
          <w:rFonts w:eastAsia="Times New Roman"/>
        </w:rPr>
        <w:t xml:space="preserve"> IU, Kutty PK, Hudson JM, Blog D, Abedi GR, Goodell S et al. Impact of a third dose of measles-mumps-rubella vaccine on a mumps outbreak. </w:t>
      </w:r>
      <w:proofErr w:type="spellStart"/>
      <w:r w:rsidRPr="00F065FF">
        <w:rPr>
          <w:rStyle w:val="Emphasis"/>
          <w:rFonts w:eastAsia="Times New Roman"/>
          <w:b w:val="0"/>
        </w:rPr>
        <w:t>Pediatrics</w:t>
      </w:r>
      <w:proofErr w:type="spellEnd"/>
      <w:r w:rsidRPr="00FB28C1">
        <w:rPr>
          <w:rFonts w:eastAsia="Times New Roman"/>
        </w:rPr>
        <w:t xml:space="preserve">. 2012;130(6):e1567–74. </w:t>
      </w:r>
    </w:p>
    <w:p w14:paraId="09B5F101" w14:textId="77777777" w:rsidR="00E87D5B" w:rsidRPr="00FB28C1" w:rsidRDefault="00E87D5B" w:rsidP="00FB28C1">
      <w:pPr>
        <w:pStyle w:val="ListParagraph"/>
        <w:numPr>
          <w:ilvl w:val="0"/>
          <w:numId w:val="11"/>
        </w:numPr>
        <w:rPr>
          <w:rFonts w:eastAsia="Times New Roman"/>
        </w:rPr>
      </w:pPr>
      <w:r w:rsidRPr="00FB28C1">
        <w:rPr>
          <w:rFonts w:eastAsia="Times New Roman"/>
        </w:rPr>
        <w:t xml:space="preserve">Marin M, Marlow M, Moore KL, Patel M. Recommendation of the Advisory Committee on Immunization Practices for use of a third dose of mumps virus–containing vaccine in persons at increased risk for mumps during an outbreak. </w:t>
      </w:r>
      <w:r w:rsidRPr="00F065FF">
        <w:rPr>
          <w:rStyle w:val="Emphasis"/>
          <w:rFonts w:eastAsia="Times New Roman"/>
          <w:b w:val="0"/>
        </w:rPr>
        <w:t xml:space="preserve">MMWR </w:t>
      </w:r>
      <w:proofErr w:type="spellStart"/>
      <w:r w:rsidRPr="00F065FF">
        <w:rPr>
          <w:rStyle w:val="Emphasis"/>
          <w:rFonts w:eastAsia="Times New Roman"/>
          <w:b w:val="0"/>
        </w:rPr>
        <w:t>Morb</w:t>
      </w:r>
      <w:proofErr w:type="spellEnd"/>
      <w:r w:rsidRPr="00F065FF">
        <w:rPr>
          <w:rStyle w:val="Emphasis"/>
          <w:rFonts w:eastAsia="Times New Roman"/>
          <w:b w:val="0"/>
        </w:rPr>
        <w:t xml:space="preserve"> Mortal </w:t>
      </w:r>
      <w:proofErr w:type="spellStart"/>
      <w:r w:rsidRPr="00F065FF">
        <w:rPr>
          <w:rStyle w:val="Emphasis"/>
          <w:rFonts w:eastAsia="Times New Roman"/>
          <w:b w:val="0"/>
        </w:rPr>
        <w:t>Wkly</w:t>
      </w:r>
      <w:proofErr w:type="spellEnd"/>
      <w:r w:rsidRPr="00F065FF">
        <w:rPr>
          <w:rStyle w:val="Emphasis"/>
          <w:rFonts w:eastAsia="Times New Roman"/>
          <w:b w:val="0"/>
        </w:rPr>
        <w:t xml:space="preserve"> Rep</w:t>
      </w:r>
      <w:r w:rsidRPr="00FB28C1">
        <w:rPr>
          <w:rFonts w:eastAsia="Times New Roman"/>
        </w:rPr>
        <w:t xml:space="preserve">. 2018;67(1):33–8. </w:t>
      </w:r>
    </w:p>
    <w:p w14:paraId="23EB5F0C" w14:textId="77777777" w:rsidR="00E87D5B" w:rsidRPr="00FB28C1" w:rsidRDefault="00E87D5B" w:rsidP="00FB28C1">
      <w:pPr>
        <w:pStyle w:val="ListParagraph"/>
        <w:numPr>
          <w:ilvl w:val="0"/>
          <w:numId w:val="11"/>
        </w:numPr>
        <w:rPr>
          <w:rFonts w:eastAsia="Times New Roman"/>
        </w:rPr>
      </w:pPr>
      <w:proofErr w:type="spellStart"/>
      <w:r w:rsidRPr="00FB28C1">
        <w:rPr>
          <w:rFonts w:eastAsia="Times New Roman"/>
        </w:rPr>
        <w:t>Hamami</w:t>
      </w:r>
      <w:proofErr w:type="spellEnd"/>
      <w:r w:rsidRPr="00FB28C1">
        <w:rPr>
          <w:rFonts w:eastAsia="Times New Roman"/>
        </w:rPr>
        <w:t xml:space="preserve"> D, Cameron R, Pollock KG, Shankland C. Waning immunity Is associated with periodic large outbreaks of mumps: a mathematical </w:t>
      </w:r>
      <w:proofErr w:type="spellStart"/>
      <w:r w:rsidRPr="00FB28C1">
        <w:rPr>
          <w:rFonts w:eastAsia="Times New Roman"/>
        </w:rPr>
        <w:t>modeling</w:t>
      </w:r>
      <w:proofErr w:type="spellEnd"/>
      <w:r w:rsidRPr="00FB28C1">
        <w:rPr>
          <w:rFonts w:eastAsia="Times New Roman"/>
        </w:rPr>
        <w:t xml:space="preserve"> study of Scottish data. </w:t>
      </w:r>
      <w:r w:rsidRPr="00F065FF">
        <w:rPr>
          <w:rStyle w:val="Emphasis"/>
          <w:rFonts w:eastAsia="Times New Roman"/>
          <w:b w:val="0"/>
        </w:rPr>
        <w:t>Front Physiol</w:t>
      </w:r>
      <w:r w:rsidRPr="00FB28C1">
        <w:rPr>
          <w:rFonts w:eastAsia="Times New Roman"/>
        </w:rPr>
        <w:t>. 2017;8:233.</w:t>
      </w:r>
    </w:p>
    <w:p w14:paraId="17AA253B" w14:textId="77777777" w:rsidR="0072561B" w:rsidRDefault="0072561B">
      <w:pPr>
        <w:rPr>
          <w:rFonts w:asciiTheme="majorHAnsi" w:eastAsiaTheme="majorEastAsia" w:hAnsiTheme="majorHAnsi" w:cstheme="majorBidi"/>
          <w:b/>
          <w:bCs/>
          <w:sz w:val="32"/>
          <w:szCs w:val="28"/>
        </w:rPr>
      </w:pPr>
      <w:r>
        <w:br w:type="page"/>
      </w:r>
    </w:p>
    <w:p w14:paraId="7563020D" w14:textId="77777777" w:rsidR="00E87D5B" w:rsidRPr="00FB28C1" w:rsidRDefault="00E87D5B" w:rsidP="00FB28C1">
      <w:pPr>
        <w:pStyle w:val="Heading1"/>
      </w:pPr>
      <w:r w:rsidRPr="00FB28C1">
        <w:lastRenderedPageBreak/>
        <w:t>Appendix A: Supplementary tables</w:t>
      </w:r>
    </w:p>
    <w:p w14:paraId="7252A0B5" w14:textId="77777777" w:rsidR="00E87D5B" w:rsidRDefault="00E87D5B" w:rsidP="00FB28C1">
      <w:pPr>
        <w:pStyle w:val="CDIFigures"/>
      </w:pPr>
      <w:r>
        <w:t xml:space="preserve">Table A.1: Significant changes to mumps vaccination programs and policy in </w:t>
      </w:r>
      <w:proofErr w:type="spellStart"/>
      <w:r>
        <w:t>Australia</w:t>
      </w:r>
      <w:r>
        <w:rPr>
          <w:vertAlign w:val="superscript"/>
        </w:rPr>
        <w:t>a</w:t>
      </w:r>
      <w:proofErr w:type="spellEnd"/>
    </w:p>
    <w:tbl>
      <w:tblPr>
        <w:tblStyle w:val="CDI-StandardTable"/>
        <w:tblW w:w="0" w:type="auto"/>
        <w:tblCellMar>
          <w:top w:w="142" w:type="dxa"/>
          <w:left w:w="57" w:type="dxa"/>
          <w:bottom w:w="142" w:type="dxa"/>
          <w:right w:w="57" w:type="dxa"/>
        </w:tblCellMar>
        <w:tblLook w:val="04A0" w:firstRow="1" w:lastRow="0" w:firstColumn="1" w:lastColumn="0" w:noHBand="0" w:noVBand="1"/>
        <w:tblDescription w:val="Table A.1 summarises the major changes to mumps vaccination programs and policies in Australia from 1981, when mumps vaccination was introduced, to present day. "/>
      </w:tblPr>
      <w:tblGrid>
        <w:gridCol w:w="993"/>
        <w:gridCol w:w="9473"/>
      </w:tblGrid>
      <w:tr w:rsidR="0020630A" w:rsidRPr="0012166C" w14:paraId="32A6930D" w14:textId="77777777" w:rsidTr="00972A79">
        <w:trPr>
          <w:cnfStyle w:val="100000000000" w:firstRow="1" w:lastRow="0" w:firstColumn="0" w:lastColumn="0" w:oddVBand="0" w:evenVBand="0" w:oddHBand="0" w:evenHBand="0" w:firstRowFirstColumn="0" w:firstRowLastColumn="0" w:lastRowFirstColumn="0" w:lastRowLastColumn="0"/>
          <w:tblHeader/>
        </w:trPr>
        <w:tc>
          <w:tcPr>
            <w:tcW w:w="993" w:type="dxa"/>
            <w:hideMark/>
          </w:tcPr>
          <w:p w14:paraId="66EC46D9" w14:textId="77777777" w:rsidR="00E87D5B" w:rsidRPr="0012166C" w:rsidRDefault="00E87D5B">
            <w:pPr>
              <w:pStyle w:val="NormalWeb"/>
              <w:rPr>
                <w:color w:val="FFFFFF" w:themeColor="background1"/>
                <w:sz w:val="18"/>
                <w:szCs w:val="18"/>
              </w:rPr>
            </w:pPr>
            <w:r w:rsidRPr="0012166C">
              <w:rPr>
                <w:color w:val="FFFFFF" w:themeColor="background1"/>
                <w:sz w:val="18"/>
                <w:szCs w:val="18"/>
              </w:rPr>
              <w:t>Year</w:t>
            </w:r>
          </w:p>
        </w:tc>
        <w:tc>
          <w:tcPr>
            <w:tcW w:w="9473" w:type="dxa"/>
            <w:hideMark/>
          </w:tcPr>
          <w:p w14:paraId="1166DFDB" w14:textId="77777777" w:rsidR="00E87D5B" w:rsidRPr="0012166C" w:rsidRDefault="00E87D5B">
            <w:pPr>
              <w:pStyle w:val="NormalWeb"/>
              <w:rPr>
                <w:color w:val="FFFFFF" w:themeColor="background1"/>
                <w:sz w:val="18"/>
                <w:szCs w:val="18"/>
              </w:rPr>
            </w:pPr>
            <w:r w:rsidRPr="0012166C">
              <w:rPr>
                <w:color w:val="FFFFFF" w:themeColor="background1"/>
                <w:sz w:val="18"/>
                <w:szCs w:val="18"/>
              </w:rPr>
              <w:t>Changes to mumps vaccination program and/or policy</w:t>
            </w:r>
          </w:p>
        </w:tc>
      </w:tr>
      <w:tr w:rsidR="00E87D5B" w:rsidRPr="0012166C" w14:paraId="5DF1F995" w14:textId="77777777" w:rsidTr="00972A79">
        <w:tc>
          <w:tcPr>
            <w:tcW w:w="993" w:type="dxa"/>
            <w:hideMark/>
          </w:tcPr>
          <w:p w14:paraId="3B641FEE" w14:textId="77777777" w:rsidR="00E87D5B" w:rsidRPr="0012166C" w:rsidRDefault="00E87D5B">
            <w:pPr>
              <w:pStyle w:val="NormalWeb"/>
              <w:rPr>
                <w:sz w:val="18"/>
                <w:szCs w:val="18"/>
              </w:rPr>
            </w:pPr>
            <w:r w:rsidRPr="0012166C">
              <w:rPr>
                <w:sz w:val="18"/>
                <w:szCs w:val="18"/>
              </w:rPr>
              <w:t>1981</w:t>
            </w:r>
          </w:p>
        </w:tc>
        <w:tc>
          <w:tcPr>
            <w:tcW w:w="9473" w:type="dxa"/>
            <w:hideMark/>
          </w:tcPr>
          <w:p w14:paraId="0B29CEDF" w14:textId="77777777" w:rsidR="00E87D5B" w:rsidRPr="0012166C" w:rsidRDefault="00E87D5B">
            <w:pPr>
              <w:pStyle w:val="NormalWeb"/>
              <w:rPr>
                <w:sz w:val="18"/>
                <w:szCs w:val="18"/>
              </w:rPr>
            </w:pPr>
            <w:r w:rsidRPr="0012166C">
              <w:rPr>
                <w:sz w:val="18"/>
                <w:szCs w:val="18"/>
              </w:rPr>
              <w:t>Monovalent mumps vaccine recommended for children 12 months of age, not funded</w:t>
            </w:r>
          </w:p>
        </w:tc>
      </w:tr>
      <w:tr w:rsidR="00E87D5B" w:rsidRPr="0012166C" w14:paraId="7234F7D4" w14:textId="77777777" w:rsidTr="00972A79">
        <w:trPr>
          <w:cnfStyle w:val="000000010000" w:firstRow="0" w:lastRow="0" w:firstColumn="0" w:lastColumn="0" w:oddVBand="0" w:evenVBand="0" w:oddHBand="0" w:evenHBand="1" w:firstRowFirstColumn="0" w:firstRowLastColumn="0" w:lastRowFirstColumn="0" w:lastRowLastColumn="0"/>
        </w:trPr>
        <w:tc>
          <w:tcPr>
            <w:tcW w:w="993" w:type="dxa"/>
            <w:hideMark/>
          </w:tcPr>
          <w:p w14:paraId="2700A84A" w14:textId="77777777" w:rsidR="00E87D5B" w:rsidRPr="0012166C" w:rsidRDefault="00E87D5B">
            <w:pPr>
              <w:pStyle w:val="NormalWeb"/>
              <w:rPr>
                <w:sz w:val="18"/>
                <w:szCs w:val="18"/>
              </w:rPr>
            </w:pPr>
            <w:r w:rsidRPr="0012166C">
              <w:rPr>
                <w:sz w:val="18"/>
                <w:szCs w:val="18"/>
              </w:rPr>
              <w:t>1983</w:t>
            </w:r>
          </w:p>
        </w:tc>
        <w:tc>
          <w:tcPr>
            <w:tcW w:w="9473" w:type="dxa"/>
            <w:hideMark/>
          </w:tcPr>
          <w:p w14:paraId="5F44EC95" w14:textId="77777777" w:rsidR="00E87D5B" w:rsidRPr="0012166C" w:rsidRDefault="00E87D5B">
            <w:pPr>
              <w:pStyle w:val="NormalWeb"/>
              <w:rPr>
                <w:sz w:val="18"/>
                <w:szCs w:val="18"/>
              </w:rPr>
            </w:pPr>
            <w:r w:rsidRPr="0012166C">
              <w:rPr>
                <w:sz w:val="18"/>
                <w:szCs w:val="18"/>
              </w:rPr>
              <w:t>Combined measles-mumps vaccine funded under NIP for children 12 months of age</w:t>
            </w:r>
          </w:p>
        </w:tc>
      </w:tr>
      <w:tr w:rsidR="00E87D5B" w:rsidRPr="0012166C" w14:paraId="419062E7" w14:textId="77777777" w:rsidTr="00972A79">
        <w:tc>
          <w:tcPr>
            <w:tcW w:w="993" w:type="dxa"/>
            <w:hideMark/>
          </w:tcPr>
          <w:p w14:paraId="751468D6" w14:textId="77777777" w:rsidR="00E87D5B" w:rsidRPr="0012166C" w:rsidRDefault="00E87D5B">
            <w:pPr>
              <w:pStyle w:val="NormalWeb"/>
              <w:rPr>
                <w:sz w:val="18"/>
                <w:szCs w:val="18"/>
              </w:rPr>
            </w:pPr>
            <w:r w:rsidRPr="0012166C">
              <w:rPr>
                <w:sz w:val="18"/>
                <w:szCs w:val="18"/>
              </w:rPr>
              <w:t>1993–94</w:t>
            </w:r>
          </w:p>
        </w:tc>
        <w:tc>
          <w:tcPr>
            <w:tcW w:w="9473" w:type="dxa"/>
            <w:hideMark/>
          </w:tcPr>
          <w:p w14:paraId="2B06DE71" w14:textId="77777777" w:rsidR="00E87D5B" w:rsidRPr="0012166C" w:rsidRDefault="00E87D5B">
            <w:pPr>
              <w:pStyle w:val="NormalWeb"/>
              <w:rPr>
                <w:sz w:val="18"/>
                <w:szCs w:val="18"/>
              </w:rPr>
            </w:pPr>
            <w:r w:rsidRPr="0012166C">
              <w:rPr>
                <w:sz w:val="18"/>
                <w:szCs w:val="18"/>
              </w:rPr>
              <w:t>School-based delivery of second dose of MMR vaccine to children 10–14 years of age (typically offered in last year of primary or first year of secondary school to children 12–13 years of age)</w:t>
            </w:r>
          </w:p>
        </w:tc>
      </w:tr>
      <w:tr w:rsidR="00E87D5B" w:rsidRPr="0012166C" w14:paraId="7ADB659B" w14:textId="77777777" w:rsidTr="00972A79">
        <w:trPr>
          <w:cnfStyle w:val="000000010000" w:firstRow="0" w:lastRow="0" w:firstColumn="0" w:lastColumn="0" w:oddVBand="0" w:evenVBand="0" w:oddHBand="0" w:evenHBand="1" w:firstRowFirstColumn="0" w:firstRowLastColumn="0" w:lastRowFirstColumn="0" w:lastRowLastColumn="0"/>
        </w:trPr>
        <w:tc>
          <w:tcPr>
            <w:tcW w:w="993" w:type="dxa"/>
            <w:hideMark/>
          </w:tcPr>
          <w:p w14:paraId="5B2F0731" w14:textId="77777777" w:rsidR="00E87D5B" w:rsidRPr="0012166C" w:rsidRDefault="00E87D5B">
            <w:pPr>
              <w:pStyle w:val="NormalWeb"/>
              <w:rPr>
                <w:sz w:val="18"/>
                <w:szCs w:val="18"/>
              </w:rPr>
            </w:pPr>
            <w:r w:rsidRPr="0012166C">
              <w:rPr>
                <w:sz w:val="18"/>
                <w:szCs w:val="18"/>
              </w:rPr>
              <w:t>1998</w:t>
            </w:r>
          </w:p>
        </w:tc>
        <w:tc>
          <w:tcPr>
            <w:tcW w:w="9473" w:type="dxa"/>
            <w:hideMark/>
          </w:tcPr>
          <w:p w14:paraId="3633C362" w14:textId="77777777" w:rsidR="00E87D5B" w:rsidRPr="0012166C" w:rsidRDefault="00E87D5B">
            <w:pPr>
              <w:pStyle w:val="NormalWeb"/>
              <w:rPr>
                <w:sz w:val="18"/>
                <w:szCs w:val="18"/>
              </w:rPr>
            </w:pPr>
            <w:r w:rsidRPr="0012166C">
              <w:rPr>
                <w:sz w:val="18"/>
                <w:szCs w:val="18"/>
              </w:rPr>
              <w:t>National Measles Control Campaign targeting children 5-12 years of age; second MMR vaccine dose moved to 4–5 years from 10–14 years</w:t>
            </w:r>
          </w:p>
        </w:tc>
      </w:tr>
      <w:tr w:rsidR="00E87D5B" w:rsidRPr="0012166C" w14:paraId="4C85E3AB" w14:textId="77777777" w:rsidTr="00972A79">
        <w:tc>
          <w:tcPr>
            <w:tcW w:w="993" w:type="dxa"/>
            <w:hideMark/>
          </w:tcPr>
          <w:p w14:paraId="4DD5F7CC" w14:textId="77777777" w:rsidR="00E87D5B" w:rsidRPr="0012166C" w:rsidRDefault="00E87D5B">
            <w:pPr>
              <w:pStyle w:val="NormalWeb"/>
              <w:rPr>
                <w:sz w:val="18"/>
                <w:szCs w:val="18"/>
              </w:rPr>
            </w:pPr>
            <w:r w:rsidRPr="0012166C">
              <w:rPr>
                <w:sz w:val="18"/>
                <w:szCs w:val="18"/>
              </w:rPr>
              <w:t>2001</w:t>
            </w:r>
          </w:p>
        </w:tc>
        <w:tc>
          <w:tcPr>
            <w:tcW w:w="9473" w:type="dxa"/>
            <w:hideMark/>
          </w:tcPr>
          <w:p w14:paraId="24903D21" w14:textId="77777777" w:rsidR="00E87D5B" w:rsidRPr="0012166C" w:rsidRDefault="00E87D5B">
            <w:pPr>
              <w:pStyle w:val="NormalWeb"/>
              <w:rPr>
                <w:sz w:val="18"/>
                <w:szCs w:val="18"/>
              </w:rPr>
            </w:pPr>
            <w:r w:rsidRPr="0012166C">
              <w:rPr>
                <w:sz w:val="18"/>
                <w:szCs w:val="18"/>
              </w:rPr>
              <w:t>Funded young adult (18–30 years) MMR vaccination campaign</w:t>
            </w:r>
          </w:p>
        </w:tc>
      </w:tr>
      <w:tr w:rsidR="00E87D5B" w:rsidRPr="0012166C" w14:paraId="4388E54F" w14:textId="77777777" w:rsidTr="00972A79">
        <w:trPr>
          <w:cnfStyle w:val="000000010000" w:firstRow="0" w:lastRow="0" w:firstColumn="0" w:lastColumn="0" w:oddVBand="0" w:evenVBand="0" w:oddHBand="0" w:evenHBand="1" w:firstRowFirstColumn="0" w:firstRowLastColumn="0" w:lastRowFirstColumn="0" w:lastRowLastColumn="0"/>
        </w:trPr>
        <w:tc>
          <w:tcPr>
            <w:tcW w:w="993" w:type="dxa"/>
            <w:hideMark/>
          </w:tcPr>
          <w:p w14:paraId="477BF84E" w14:textId="77777777" w:rsidR="00E87D5B" w:rsidRPr="0012166C" w:rsidRDefault="00E87D5B">
            <w:pPr>
              <w:pStyle w:val="NormalWeb"/>
              <w:rPr>
                <w:sz w:val="18"/>
                <w:szCs w:val="18"/>
              </w:rPr>
            </w:pPr>
            <w:r w:rsidRPr="0012166C">
              <w:rPr>
                <w:sz w:val="18"/>
                <w:szCs w:val="18"/>
              </w:rPr>
              <w:t>2013</w:t>
            </w:r>
          </w:p>
        </w:tc>
        <w:tc>
          <w:tcPr>
            <w:tcW w:w="9473" w:type="dxa"/>
            <w:hideMark/>
          </w:tcPr>
          <w:p w14:paraId="79F1925D" w14:textId="77777777" w:rsidR="00E87D5B" w:rsidRPr="0012166C" w:rsidRDefault="00E87D5B">
            <w:pPr>
              <w:pStyle w:val="NormalWeb"/>
              <w:rPr>
                <w:sz w:val="18"/>
                <w:szCs w:val="18"/>
              </w:rPr>
            </w:pPr>
            <w:r w:rsidRPr="0012166C">
              <w:rPr>
                <w:sz w:val="18"/>
                <w:szCs w:val="18"/>
              </w:rPr>
              <w:t>Second dose of mumps-containing vaccine provided (as MMRV) at 18 months of age under NIP, bringing forward age of second childhood vaccination from 4 years</w:t>
            </w:r>
          </w:p>
        </w:tc>
      </w:tr>
    </w:tbl>
    <w:p w14:paraId="75D1D459" w14:textId="77777777" w:rsidR="00E87D5B" w:rsidRDefault="00E87D5B" w:rsidP="00AB4D0A">
      <w:pPr>
        <w:pStyle w:val="CDIfootnotes"/>
      </w:pPr>
      <w:proofErr w:type="gramStart"/>
      <w:r>
        <w:t>a</w:t>
      </w:r>
      <w:proofErr w:type="gramEnd"/>
      <w:r>
        <w:tab/>
        <w:t>MMR: measles-mumps-rubella vaccine; MMRV: measles-mumps-rubella-varicella vaccine; NIP: National Immunisation Program. Summarised from ref. 11.</w:t>
      </w:r>
    </w:p>
    <w:p w14:paraId="0DCC5392" w14:textId="77777777" w:rsidR="00E87D5B" w:rsidRDefault="00E87D5B" w:rsidP="00AB4D0A">
      <w:pPr>
        <w:pStyle w:val="CDIFigures"/>
      </w:pPr>
      <w:r>
        <w:t>Table A.2: Proportion of specimens positive, equivocal or negative for mumps-specific antibodies, by state/territory, 2012–2013</w:t>
      </w:r>
    </w:p>
    <w:tbl>
      <w:tblPr>
        <w:tblStyle w:val="CDI-StandardTable"/>
        <w:tblW w:w="0" w:type="auto"/>
        <w:tblCellMar>
          <w:top w:w="142" w:type="dxa"/>
          <w:left w:w="57" w:type="dxa"/>
          <w:bottom w:w="142" w:type="dxa"/>
          <w:right w:w="57" w:type="dxa"/>
        </w:tblCellMar>
        <w:tblLook w:val="04A0" w:firstRow="1" w:lastRow="0" w:firstColumn="1" w:lastColumn="0" w:noHBand="0" w:noVBand="1"/>
        <w:tblDescription w:val="Table A.2 shows the proportion of specimens of a nationally representative sample who were positive or equivocal (combined), positive only, equivocal only or negative for mumps-specific antibodies in 2012–2013 for each Australian state and territory. The table includes the number of specimens tested and the 95% confidence interval for each proportion. "/>
      </w:tblPr>
      <w:tblGrid>
        <w:gridCol w:w="1418"/>
        <w:gridCol w:w="709"/>
        <w:gridCol w:w="1275"/>
        <w:gridCol w:w="1131"/>
        <w:gridCol w:w="854"/>
        <w:gridCol w:w="1134"/>
        <w:gridCol w:w="992"/>
        <w:gridCol w:w="992"/>
        <w:gridCol w:w="848"/>
        <w:gridCol w:w="1084"/>
      </w:tblGrid>
      <w:tr w:rsidR="0020630A" w:rsidRPr="00D73FB4" w14:paraId="5C6A129F" w14:textId="77777777" w:rsidTr="000542E4">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72AEB79E" w14:textId="77777777" w:rsidR="00E87D5B" w:rsidRPr="00D73FB4" w:rsidRDefault="00E87D5B">
            <w:pPr>
              <w:pStyle w:val="NormalWeb"/>
              <w:rPr>
                <w:color w:val="FFFFFF" w:themeColor="background1"/>
                <w:sz w:val="18"/>
                <w:szCs w:val="18"/>
              </w:rPr>
            </w:pPr>
            <w:r w:rsidRPr="00D73FB4">
              <w:rPr>
                <w:color w:val="FFFFFF" w:themeColor="background1"/>
                <w:sz w:val="18"/>
                <w:szCs w:val="18"/>
              </w:rPr>
              <w:t>State/ territory</w:t>
            </w:r>
          </w:p>
        </w:tc>
        <w:tc>
          <w:tcPr>
            <w:tcW w:w="709"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3C70F5A"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n</w:t>
            </w:r>
          </w:p>
        </w:tc>
        <w:tc>
          <w:tcPr>
            <w:tcW w:w="2406" w:type="dxa"/>
            <w:gridSpan w:val="2"/>
            <w:tcBorders>
              <w:left w:val="single" w:sz="2" w:space="0" w:color="FFFFFF" w:themeColor="background1"/>
              <w:bottom w:val="single" w:sz="2" w:space="0" w:color="FFFFFF" w:themeColor="background1"/>
              <w:right w:val="single" w:sz="2" w:space="0" w:color="FFFFFF" w:themeColor="background1"/>
            </w:tcBorders>
            <w:hideMark/>
          </w:tcPr>
          <w:p w14:paraId="76A4B959"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Positive or equivocal</w:t>
            </w:r>
          </w:p>
        </w:tc>
        <w:tc>
          <w:tcPr>
            <w:tcW w:w="1988" w:type="dxa"/>
            <w:gridSpan w:val="2"/>
            <w:tcBorders>
              <w:left w:val="single" w:sz="2" w:space="0" w:color="FFFFFF" w:themeColor="background1"/>
              <w:bottom w:val="single" w:sz="2" w:space="0" w:color="FFFFFF" w:themeColor="background1"/>
              <w:right w:val="single" w:sz="2" w:space="0" w:color="FFFFFF" w:themeColor="background1"/>
            </w:tcBorders>
            <w:hideMark/>
          </w:tcPr>
          <w:p w14:paraId="28677A61"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Positive</w:t>
            </w:r>
          </w:p>
        </w:tc>
        <w:tc>
          <w:tcPr>
            <w:tcW w:w="1984" w:type="dxa"/>
            <w:gridSpan w:val="2"/>
            <w:tcBorders>
              <w:left w:val="single" w:sz="2" w:space="0" w:color="FFFFFF" w:themeColor="background1"/>
              <w:bottom w:val="single" w:sz="2" w:space="0" w:color="FFFFFF" w:themeColor="background1"/>
              <w:right w:val="single" w:sz="2" w:space="0" w:color="FFFFFF" w:themeColor="background1"/>
            </w:tcBorders>
            <w:hideMark/>
          </w:tcPr>
          <w:p w14:paraId="24CE9635"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Equivocal</w:t>
            </w:r>
          </w:p>
        </w:tc>
        <w:tc>
          <w:tcPr>
            <w:tcW w:w="1932" w:type="dxa"/>
            <w:gridSpan w:val="2"/>
            <w:tcBorders>
              <w:left w:val="single" w:sz="2" w:space="0" w:color="FFFFFF" w:themeColor="background1"/>
              <w:bottom w:val="single" w:sz="2" w:space="0" w:color="FFFFFF" w:themeColor="background1"/>
            </w:tcBorders>
            <w:hideMark/>
          </w:tcPr>
          <w:p w14:paraId="24654739"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Negative</w:t>
            </w:r>
          </w:p>
        </w:tc>
      </w:tr>
      <w:tr w:rsidR="00822053" w:rsidRPr="00D73FB4" w14:paraId="03021FEC" w14:textId="77777777" w:rsidTr="000542E4">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6C595173" w14:textId="77777777" w:rsidR="00E87D5B" w:rsidRPr="00D73FB4" w:rsidRDefault="00E87D5B">
            <w:pP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14:paraId="39969400" w14:textId="77777777" w:rsidR="00E87D5B" w:rsidRPr="00D73FB4" w:rsidRDefault="00E87D5B" w:rsidP="00F22AF5">
            <w:pPr>
              <w:jc w:val="center"/>
              <w:rPr>
                <w:color w:val="FFFFFF" w:themeColor="background1"/>
                <w:sz w:val="18"/>
                <w:szCs w:val="18"/>
              </w:rPr>
            </w:pP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60B89B24"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2524976F"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95% CI</w:t>
            </w:r>
          </w:p>
        </w:tc>
        <w:tc>
          <w:tcPr>
            <w:tcW w:w="854" w:type="dxa"/>
            <w:tcBorders>
              <w:top w:val="single" w:sz="2" w:space="0" w:color="FFFFFF" w:themeColor="background1"/>
              <w:left w:val="single" w:sz="2" w:space="0" w:color="FFFFFF" w:themeColor="background1"/>
              <w:right w:val="single" w:sz="2" w:space="0" w:color="FFFFFF" w:themeColor="background1"/>
            </w:tcBorders>
            <w:hideMark/>
          </w:tcPr>
          <w:p w14:paraId="07D2519F"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A920180"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95% CI</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3E5062F1"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2CF0906B"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95% CI</w:t>
            </w:r>
          </w:p>
        </w:tc>
        <w:tc>
          <w:tcPr>
            <w:tcW w:w="848" w:type="dxa"/>
            <w:tcBorders>
              <w:top w:val="single" w:sz="2" w:space="0" w:color="FFFFFF" w:themeColor="background1"/>
              <w:left w:val="single" w:sz="2" w:space="0" w:color="FFFFFF" w:themeColor="background1"/>
              <w:right w:val="single" w:sz="2" w:space="0" w:color="FFFFFF" w:themeColor="background1"/>
            </w:tcBorders>
            <w:hideMark/>
          </w:tcPr>
          <w:p w14:paraId="23E11CAF"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w:t>
            </w:r>
          </w:p>
        </w:tc>
        <w:tc>
          <w:tcPr>
            <w:tcW w:w="1084" w:type="dxa"/>
            <w:tcBorders>
              <w:top w:val="single" w:sz="2" w:space="0" w:color="FFFFFF" w:themeColor="background1"/>
              <w:left w:val="single" w:sz="2" w:space="0" w:color="FFFFFF" w:themeColor="background1"/>
            </w:tcBorders>
            <w:hideMark/>
          </w:tcPr>
          <w:p w14:paraId="0E1627D0" w14:textId="77777777" w:rsidR="00E87D5B" w:rsidRPr="00D73FB4" w:rsidRDefault="00E87D5B" w:rsidP="00F22AF5">
            <w:pPr>
              <w:pStyle w:val="NormalWeb"/>
              <w:jc w:val="center"/>
              <w:rPr>
                <w:color w:val="FFFFFF" w:themeColor="background1"/>
                <w:sz w:val="18"/>
                <w:szCs w:val="18"/>
              </w:rPr>
            </w:pPr>
            <w:r w:rsidRPr="00D73FB4">
              <w:rPr>
                <w:color w:val="FFFFFF" w:themeColor="background1"/>
                <w:sz w:val="18"/>
                <w:szCs w:val="18"/>
              </w:rPr>
              <w:t>95% CI</w:t>
            </w:r>
          </w:p>
        </w:tc>
      </w:tr>
      <w:tr w:rsidR="00822053" w:rsidRPr="00D73FB4" w14:paraId="7B7C066C" w14:textId="77777777" w:rsidTr="00E431A6">
        <w:tc>
          <w:tcPr>
            <w:tcW w:w="1418" w:type="dxa"/>
            <w:shd w:val="clear" w:color="auto" w:fill="F2F2F2" w:themeFill="background1" w:themeFillShade="F2"/>
            <w:hideMark/>
          </w:tcPr>
          <w:p w14:paraId="038F4D8C" w14:textId="77777777" w:rsidR="00E87D5B" w:rsidRPr="00E431A6" w:rsidRDefault="00E87D5B">
            <w:pPr>
              <w:pStyle w:val="NormalWeb"/>
              <w:rPr>
                <w:b/>
                <w:sz w:val="18"/>
                <w:szCs w:val="18"/>
              </w:rPr>
            </w:pPr>
            <w:r w:rsidRPr="00E431A6">
              <w:rPr>
                <w:b/>
                <w:sz w:val="18"/>
                <w:szCs w:val="18"/>
              </w:rPr>
              <w:t>ACT</w:t>
            </w:r>
          </w:p>
        </w:tc>
        <w:tc>
          <w:tcPr>
            <w:tcW w:w="709" w:type="dxa"/>
            <w:shd w:val="clear" w:color="auto" w:fill="auto"/>
            <w:hideMark/>
          </w:tcPr>
          <w:p w14:paraId="2B9E98CE" w14:textId="77777777" w:rsidR="00E87D5B" w:rsidRPr="00D73FB4" w:rsidRDefault="00E87D5B" w:rsidP="00F22AF5">
            <w:pPr>
              <w:pStyle w:val="NormalWeb"/>
              <w:jc w:val="center"/>
              <w:rPr>
                <w:sz w:val="18"/>
                <w:szCs w:val="18"/>
              </w:rPr>
            </w:pPr>
            <w:r w:rsidRPr="00D73FB4">
              <w:rPr>
                <w:sz w:val="18"/>
                <w:szCs w:val="18"/>
              </w:rPr>
              <w:t>54</w:t>
            </w:r>
          </w:p>
        </w:tc>
        <w:tc>
          <w:tcPr>
            <w:tcW w:w="1275" w:type="dxa"/>
            <w:shd w:val="clear" w:color="auto" w:fill="F2F2F2" w:themeFill="background1" w:themeFillShade="F2"/>
            <w:hideMark/>
          </w:tcPr>
          <w:p w14:paraId="7E58CFFE" w14:textId="77777777" w:rsidR="00E87D5B" w:rsidRPr="00D73FB4" w:rsidRDefault="00E87D5B" w:rsidP="00F22AF5">
            <w:pPr>
              <w:pStyle w:val="NormalWeb"/>
              <w:jc w:val="center"/>
              <w:rPr>
                <w:sz w:val="18"/>
                <w:szCs w:val="18"/>
              </w:rPr>
            </w:pPr>
            <w:r w:rsidRPr="00D73FB4">
              <w:rPr>
                <w:sz w:val="18"/>
                <w:szCs w:val="18"/>
              </w:rPr>
              <w:t>81.5%</w:t>
            </w:r>
          </w:p>
        </w:tc>
        <w:tc>
          <w:tcPr>
            <w:tcW w:w="1131" w:type="dxa"/>
            <w:shd w:val="clear" w:color="auto" w:fill="F2F2F2" w:themeFill="background1" w:themeFillShade="F2"/>
            <w:hideMark/>
          </w:tcPr>
          <w:p w14:paraId="30304AEF" w14:textId="77777777" w:rsidR="00E87D5B" w:rsidRPr="00D73FB4" w:rsidRDefault="00E87D5B" w:rsidP="00F22AF5">
            <w:pPr>
              <w:pStyle w:val="NormalWeb"/>
              <w:jc w:val="center"/>
              <w:rPr>
                <w:sz w:val="18"/>
                <w:szCs w:val="18"/>
              </w:rPr>
            </w:pPr>
            <w:r w:rsidRPr="00D73FB4">
              <w:rPr>
                <w:sz w:val="18"/>
                <w:szCs w:val="18"/>
              </w:rPr>
              <w:t>68.9–89.7%</w:t>
            </w:r>
          </w:p>
        </w:tc>
        <w:tc>
          <w:tcPr>
            <w:tcW w:w="854" w:type="dxa"/>
            <w:shd w:val="clear" w:color="auto" w:fill="auto"/>
            <w:hideMark/>
          </w:tcPr>
          <w:p w14:paraId="47B7743D" w14:textId="77777777" w:rsidR="00E87D5B" w:rsidRPr="00D73FB4" w:rsidRDefault="00E87D5B" w:rsidP="00F22AF5">
            <w:pPr>
              <w:pStyle w:val="NormalWeb"/>
              <w:jc w:val="center"/>
              <w:rPr>
                <w:sz w:val="18"/>
                <w:szCs w:val="18"/>
              </w:rPr>
            </w:pPr>
            <w:r w:rsidRPr="00D73FB4">
              <w:rPr>
                <w:sz w:val="18"/>
                <w:szCs w:val="18"/>
              </w:rPr>
              <w:t>64.8%</w:t>
            </w:r>
          </w:p>
        </w:tc>
        <w:tc>
          <w:tcPr>
            <w:tcW w:w="1134" w:type="dxa"/>
            <w:shd w:val="clear" w:color="auto" w:fill="auto"/>
            <w:hideMark/>
          </w:tcPr>
          <w:p w14:paraId="63F31197" w14:textId="77777777" w:rsidR="00E87D5B" w:rsidRPr="00D73FB4" w:rsidRDefault="00E87D5B" w:rsidP="00F22AF5">
            <w:pPr>
              <w:pStyle w:val="NormalWeb"/>
              <w:jc w:val="center"/>
              <w:rPr>
                <w:sz w:val="18"/>
                <w:szCs w:val="18"/>
              </w:rPr>
            </w:pPr>
            <w:r w:rsidRPr="00D73FB4">
              <w:rPr>
                <w:sz w:val="18"/>
                <w:szCs w:val="18"/>
              </w:rPr>
              <w:t>51.3–76.3%</w:t>
            </w:r>
          </w:p>
        </w:tc>
        <w:tc>
          <w:tcPr>
            <w:tcW w:w="992" w:type="dxa"/>
            <w:shd w:val="clear" w:color="auto" w:fill="F2F2F2" w:themeFill="background1" w:themeFillShade="F2"/>
            <w:hideMark/>
          </w:tcPr>
          <w:p w14:paraId="7EF6A7FE" w14:textId="77777777" w:rsidR="00E87D5B" w:rsidRPr="00D73FB4" w:rsidRDefault="00E87D5B" w:rsidP="00F22AF5">
            <w:pPr>
              <w:pStyle w:val="NormalWeb"/>
              <w:jc w:val="center"/>
              <w:rPr>
                <w:sz w:val="18"/>
                <w:szCs w:val="18"/>
              </w:rPr>
            </w:pPr>
            <w:r w:rsidRPr="00D73FB4">
              <w:rPr>
                <w:sz w:val="18"/>
                <w:szCs w:val="18"/>
              </w:rPr>
              <w:t>16.7%</w:t>
            </w:r>
          </w:p>
        </w:tc>
        <w:tc>
          <w:tcPr>
            <w:tcW w:w="992" w:type="dxa"/>
            <w:shd w:val="clear" w:color="auto" w:fill="F2F2F2" w:themeFill="background1" w:themeFillShade="F2"/>
            <w:hideMark/>
          </w:tcPr>
          <w:p w14:paraId="5797A8D1" w14:textId="77777777" w:rsidR="00E87D5B" w:rsidRPr="00D73FB4" w:rsidRDefault="00E87D5B" w:rsidP="00F22AF5">
            <w:pPr>
              <w:pStyle w:val="NormalWeb"/>
              <w:jc w:val="center"/>
              <w:rPr>
                <w:sz w:val="18"/>
                <w:szCs w:val="18"/>
              </w:rPr>
            </w:pPr>
            <w:r w:rsidRPr="00D73FB4">
              <w:rPr>
                <w:sz w:val="18"/>
                <w:szCs w:val="18"/>
              </w:rPr>
              <w:t>8.9–29.0%</w:t>
            </w:r>
          </w:p>
        </w:tc>
        <w:tc>
          <w:tcPr>
            <w:tcW w:w="848" w:type="dxa"/>
            <w:shd w:val="clear" w:color="auto" w:fill="auto"/>
            <w:hideMark/>
          </w:tcPr>
          <w:p w14:paraId="70344957" w14:textId="77777777" w:rsidR="00E87D5B" w:rsidRPr="00D73FB4" w:rsidRDefault="00E87D5B" w:rsidP="00F22AF5">
            <w:pPr>
              <w:pStyle w:val="NormalWeb"/>
              <w:jc w:val="center"/>
              <w:rPr>
                <w:sz w:val="18"/>
                <w:szCs w:val="18"/>
              </w:rPr>
            </w:pPr>
            <w:r w:rsidRPr="00D73FB4">
              <w:rPr>
                <w:sz w:val="18"/>
                <w:szCs w:val="18"/>
              </w:rPr>
              <w:t>18.5%</w:t>
            </w:r>
          </w:p>
        </w:tc>
        <w:tc>
          <w:tcPr>
            <w:tcW w:w="1084" w:type="dxa"/>
            <w:shd w:val="clear" w:color="auto" w:fill="auto"/>
            <w:hideMark/>
          </w:tcPr>
          <w:p w14:paraId="20EE92A2" w14:textId="77777777" w:rsidR="00E87D5B" w:rsidRPr="00D73FB4" w:rsidRDefault="00E87D5B" w:rsidP="00F22AF5">
            <w:pPr>
              <w:pStyle w:val="NormalWeb"/>
              <w:jc w:val="center"/>
              <w:rPr>
                <w:sz w:val="18"/>
                <w:szCs w:val="18"/>
              </w:rPr>
            </w:pPr>
            <w:r w:rsidRPr="00D73FB4">
              <w:rPr>
                <w:sz w:val="18"/>
                <w:szCs w:val="18"/>
              </w:rPr>
              <w:t>10.3–31.1%</w:t>
            </w:r>
          </w:p>
        </w:tc>
      </w:tr>
      <w:tr w:rsidR="00822053" w:rsidRPr="00D73FB4" w14:paraId="308F30DE" w14:textId="77777777" w:rsidTr="00E431A6">
        <w:trPr>
          <w:cnfStyle w:val="000000010000" w:firstRow="0" w:lastRow="0" w:firstColumn="0" w:lastColumn="0" w:oddVBand="0" w:evenVBand="0" w:oddHBand="0" w:evenHBand="1" w:firstRowFirstColumn="0" w:firstRowLastColumn="0" w:lastRowFirstColumn="0" w:lastRowLastColumn="0"/>
        </w:trPr>
        <w:tc>
          <w:tcPr>
            <w:tcW w:w="1418" w:type="dxa"/>
            <w:hideMark/>
          </w:tcPr>
          <w:p w14:paraId="600F5891" w14:textId="77777777" w:rsidR="00E87D5B" w:rsidRPr="00E431A6" w:rsidRDefault="00E87D5B">
            <w:pPr>
              <w:pStyle w:val="NormalWeb"/>
              <w:rPr>
                <w:b/>
                <w:sz w:val="18"/>
                <w:szCs w:val="18"/>
              </w:rPr>
            </w:pPr>
            <w:r w:rsidRPr="00E431A6">
              <w:rPr>
                <w:b/>
                <w:sz w:val="18"/>
                <w:szCs w:val="18"/>
              </w:rPr>
              <w:t>NSW</w:t>
            </w:r>
          </w:p>
        </w:tc>
        <w:tc>
          <w:tcPr>
            <w:tcW w:w="709" w:type="dxa"/>
            <w:shd w:val="clear" w:color="auto" w:fill="auto"/>
            <w:hideMark/>
          </w:tcPr>
          <w:p w14:paraId="47C58BEA" w14:textId="77777777" w:rsidR="00E87D5B" w:rsidRPr="00D73FB4" w:rsidRDefault="00E87D5B" w:rsidP="00F22AF5">
            <w:pPr>
              <w:pStyle w:val="NormalWeb"/>
              <w:jc w:val="center"/>
              <w:rPr>
                <w:sz w:val="18"/>
                <w:szCs w:val="18"/>
              </w:rPr>
            </w:pPr>
            <w:r w:rsidRPr="00D73FB4">
              <w:rPr>
                <w:sz w:val="18"/>
                <w:szCs w:val="18"/>
              </w:rPr>
              <w:t>872</w:t>
            </w:r>
          </w:p>
        </w:tc>
        <w:tc>
          <w:tcPr>
            <w:tcW w:w="1275" w:type="dxa"/>
            <w:hideMark/>
          </w:tcPr>
          <w:p w14:paraId="009576AA" w14:textId="77777777" w:rsidR="00E87D5B" w:rsidRPr="00D73FB4" w:rsidRDefault="00E87D5B" w:rsidP="00F22AF5">
            <w:pPr>
              <w:pStyle w:val="NormalWeb"/>
              <w:jc w:val="center"/>
              <w:rPr>
                <w:sz w:val="18"/>
                <w:szCs w:val="18"/>
              </w:rPr>
            </w:pPr>
            <w:r w:rsidRPr="00D73FB4">
              <w:rPr>
                <w:sz w:val="18"/>
                <w:szCs w:val="18"/>
              </w:rPr>
              <w:t>80.7%</w:t>
            </w:r>
          </w:p>
        </w:tc>
        <w:tc>
          <w:tcPr>
            <w:tcW w:w="1131" w:type="dxa"/>
            <w:hideMark/>
          </w:tcPr>
          <w:p w14:paraId="00F60565" w14:textId="77777777" w:rsidR="00E87D5B" w:rsidRPr="00D73FB4" w:rsidRDefault="00E87D5B" w:rsidP="00F22AF5">
            <w:pPr>
              <w:pStyle w:val="NormalWeb"/>
              <w:jc w:val="center"/>
              <w:rPr>
                <w:sz w:val="18"/>
                <w:szCs w:val="18"/>
              </w:rPr>
            </w:pPr>
            <w:r w:rsidRPr="00D73FB4">
              <w:rPr>
                <w:sz w:val="18"/>
                <w:szCs w:val="18"/>
              </w:rPr>
              <w:t>77.9–83.2%</w:t>
            </w:r>
          </w:p>
        </w:tc>
        <w:tc>
          <w:tcPr>
            <w:tcW w:w="854" w:type="dxa"/>
            <w:shd w:val="clear" w:color="auto" w:fill="auto"/>
            <w:hideMark/>
          </w:tcPr>
          <w:p w14:paraId="7939988E" w14:textId="77777777" w:rsidR="00E87D5B" w:rsidRPr="00D73FB4" w:rsidRDefault="00E87D5B" w:rsidP="00F22AF5">
            <w:pPr>
              <w:pStyle w:val="NormalWeb"/>
              <w:jc w:val="center"/>
              <w:rPr>
                <w:sz w:val="18"/>
                <w:szCs w:val="18"/>
              </w:rPr>
            </w:pPr>
            <w:r w:rsidRPr="00D73FB4">
              <w:rPr>
                <w:sz w:val="18"/>
                <w:szCs w:val="18"/>
              </w:rPr>
              <w:t>68.6%</w:t>
            </w:r>
          </w:p>
        </w:tc>
        <w:tc>
          <w:tcPr>
            <w:tcW w:w="1134" w:type="dxa"/>
            <w:shd w:val="clear" w:color="auto" w:fill="auto"/>
            <w:hideMark/>
          </w:tcPr>
          <w:p w14:paraId="319E7303" w14:textId="77777777" w:rsidR="00E87D5B" w:rsidRPr="00D73FB4" w:rsidRDefault="00E87D5B" w:rsidP="00F22AF5">
            <w:pPr>
              <w:pStyle w:val="NormalWeb"/>
              <w:jc w:val="center"/>
              <w:rPr>
                <w:sz w:val="18"/>
                <w:szCs w:val="18"/>
              </w:rPr>
            </w:pPr>
            <w:r w:rsidRPr="00D73FB4">
              <w:rPr>
                <w:sz w:val="18"/>
                <w:szCs w:val="18"/>
              </w:rPr>
              <w:t>65.4–71.6%</w:t>
            </w:r>
          </w:p>
        </w:tc>
        <w:tc>
          <w:tcPr>
            <w:tcW w:w="992" w:type="dxa"/>
            <w:hideMark/>
          </w:tcPr>
          <w:p w14:paraId="26AF0924" w14:textId="77777777" w:rsidR="00E87D5B" w:rsidRPr="00D73FB4" w:rsidRDefault="00E87D5B" w:rsidP="00F22AF5">
            <w:pPr>
              <w:pStyle w:val="NormalWeb"/>
              <w:jc w:val="center"/>
              <w:rPr>
                <w:sz w:val="18"/>
                <w:szCs w:val="18"/>
              </w:rPr>
            </w:pPr>
            <w:r w:rsidRPr="00D73FB4">
              <w:rPr>
                <w:sz w:val="18"/>
                <w:szCs w:val="18"/>
              </w:rPr>
              <w:t>12.1%</w:t>
            </w:r>
          </w:p>
        </w:tc>
        <w:tc>
          <w:tcPr>
            <w:tcW w:w="992" w:type="dxa"/>
            <w:hideMark/>
          </w:tcPr>
          <w:p w14:paraId="23FE75C2" w14:textId="77777777" w:rsidR="00E87D5B" w:rsidRPr="00D73FB4" w:rsidRDefault="00E87D5B" w:rsidP="00F22AF5">
            <w:pPr>
              <w:pStyle w:val="NormalWeb"/>
              <w:jc w:val="center"/>
              <w:rPr>
                <w:sz w:val="18"/>
                <w:szCs w:val="18"/>
              </w:rPr>
            </w:pPr>
            <w:r w:rsidRPr="00D73FB4">
              <w:rPr>
                <w:sz w:val="18"/>
                <w:szCs w:val="18"/>
              </w:rPr>
              <w:t>10.1–14.4%</w:t>
            </w:r>
          </w:p>
        </w:tc>
        <w:tc>
          <w:tcPr>
            <w:tcW w:w="848" w:type="dxa"/>
            <w:shd w:val="clear" w:color="auto" w:fill="auto"/>
            <w:hideMark/>
          </w:tcPr>
          <w:p w14:paraId="73F8587C" w14:textId="77777777" w:rsidR="00E87D5B" w:rsidRPr="00D73FB4" w:rsidRDefault="00E87D5B" w:rsidP="00F22AF5">
            <w:pPr>
              <w:pStyle w:val="NormalWeb"/>
              <w:jc w:val="center"/>
              <w:rPr>
                <w:sz w:val="18"/>
                <w:szCs w:val="18"/>
              </w:rPr>
            </w:pPr>
            <w:r w:rsidRPr="00D73FB4">
              <w:rPr>
                <w:sz w:val="18"/>
                <w:szCs w:val="18"/>
              </w:rPr>
              <w:t>19.3%</w:t>
            </w:r>
          </w:p>
        </w:tc>
        <w:tc>
          <w:tcPr>
            <w:tcW w:w="1084" w:type="dxa"/>
            <w:shd w:val="clear" w:color="auto" w:fill="auto"/>
            <w:hideMark/>
          </w:tcPr>
          <w:p w14:paraId="1967720E" w14:textId="77777777" w:rsidR="00E87D5B" w:rsidRPr="00D73FB4" w:rsidRDefault="00E87D5B" w:rsidP="00F22AF5">
            <w:pPr>
              <w:pStyle w:val="NormalWeb"/>
              <w:jc w:val="center"/>
              <w:rPr>
                <w:sz w:val="18"/>
                <w:szCs w:val="18"/>
              </w:rPr>
            </w:pPr>
            <w:r w:rsidRPr="00D73FB4">
              <w:rPr>
                <w:sz w:val="18"/>
                <w:szCs w:val="18"/>
              </w:rPr>
              <w:t>16.8–22.1%</w:t>
            </w:r>
          </w:p>
        </w:tc>
      </w:tr>
      <w:tr w:rsidR="00822053" w:rsidRPr="00D73FB4" w14:paraId="3BF1B307" w14:textId="77777777" w:rsidTr="00E431A6">
        <w:tc>
          <w:tcPr>
            <w:tcW w:w="1418" w:type="dxa"/>
            <w:shd w:val="clear" w:color="auto" w:fill="F2F2F2" w:themeFill="background1" w:themeFillShade="F2"/>
            <w:hideMark/>
          </w:tcPr>
          <w:p w14:paraId="00528DD1" w14:textId="77777777" w:rsidR="00E87D5B" w:rsidRPr="00E431A6" w:rsidRDefault="00E87D5B">
            <w:pPr>
              <w:pStyle w:val="NormalWeb"/>
              <w:rPr>
                <w:b/>
                <w:sz w:val="18"/>
                <w:szCs w:val="18"/>
              </w:rPr>
            </w:pPr>
            <w:r w:rsidRPr="00E431A6">
              <w:rPr>
                <w:b/>
                <w:sz w:val="18"/>
                <w:szCs w:val="18"/>
              </w:rPr>
              <w:t>NT</w:t>
            </w:r>
          </w:p>
        </w:tc>
        <w:tc>
          <w:tcPr>
            <w:tcW w:w="709" w:type="dxa"/>
            <w:shd w:val="clear" w:color="auto" w:fill="auto"/>
            <w:hideMark/>
          </w:tcPr>
          <w:p w14:paraId="7A17443E" w14:textId="77777777" w:rsidR="00E87D5B" w:rsidRPr="00D73FB4" w:rsidRDefault="00E87D5B" w:rsidP="00F22AF5">
            <w:pPr>
              <w:pStyle w:val="NormalWeb"/>
              <w:jc w:val="center"/>
              <w:rPr>
                <w:sz w:val="18"/>
                <w:szCs w:val="18"/>
              </w:rPr>
            </w:pPr>
            <w:r w:rsidRPr="00D73FB4">
              <w:rPr>
                <w:sz w:val="18"/>
                <w:szCs w:val="18"/>
              </w:rPr>
              <w:t>49</w:t>
            </w:r>
          </w:p>
        </w:tc>
        <w:tc>
          <w:tcPr>
            <w:tcW w:w="1275" w:type="dxa"/>
            <w:shd w:val="clear" w:color="auto" w:fill="F2F2F2" w:themeFill="background1" w:themeFillShade="F2"/>
            <w:hideMark/>
          </w:tcPr>
          <w:p w14:paraId="69A1FD00" w14:textId="77777777" w:rsidR="00E87D5B" w:rsidRPr="00D73FB4" w:rsidRDefault="00E87D5B" w:rsidP="00F22AF5">
            <w:pPr>
              <w:pStyle w:val="NormalWeb"/>
              <w:jc w:val="center"/>
              <w:rPr>
                <w:sz w:val="18"/>
                <w:szCs w:val="18"/>
              </w:rPr>
            </w:pPr>
            <w:r w:rsidRPr="00D73FB4">
              <w:rPr>
                <w:sz w:val="18"/>
                <w:szCs w:val="18"/>
              </w:rPr>
              <w:t>80.2%</w:t>
            </w:r>
          </w:p>
        </w:tc>
        <w:tc>
          <w:tcPr>
            <w:tcW w:w="1131" w:type="dxa"/>
            <w:shd w:val="clear" w:color="auto" w:fill="F2F2F2" w:themeFill="background1" w:themeFillShade="F2"/>
            <w:hideMark/>
          </w:tcPr>
          <w:p w14:paraId="0673E89B" w14:textId="77777777" w:rsidR="00E87D5B" w:rsidRPr="00D73FB4" w:rsidRDefault="00E87D5B" w:rsidP="00F22AF5">
            <w:pPr>
              <w:pStyle w:val="NormalWeb"/>
              <w:jc w:val="center"/>
              <w:rPr>
                <w:sz w:val="18"/>
                <w:szCs w:val="18"/>
              </w:rPr>
            </w:pPr>
            <w:r w:rsidRPr="00D73FB4">
              <w:rPr>
                <w:sz w:val="18"/>
                <w:szCs w:val="18"/>
              </w:rPr>
              <w:t>65.7–89.6%</w:t>
            </w:r>
          </w:p>
        </w:tc>
        <w:tc>
          <w:tcPr>
            <w:tcW w:w="854" w:type="dxa"/>
            <w:shd w:val="clear" w:color="auto" w:fill="auto"/>
            <w:hideMark/>
          </w:tcPr>
          <w:p w14:paraId="27AF4299" w14:textId="77777777" w:rsidR="00E87D5B" w:rsidRPr="00D73FB4" w:rsidRDefault="00E87D5B" w:rsidP="00F22AF5">
            <w:pPr>
              <w:pStyle w:val="NormalWeb"/>
              <w:jc w:val="center"/>
              <w:rPr>
                <w:sz w:val="18"/>
                <w:szCs w:val="18"/>
              </w:rPr>
            </w:pPr>
            <w:r w:rsidRPr="00D73FB4">
              <w:rPr>
                <w:sz w:val="18"/>
                <w:szCs w:val="18"/>
              </w:rPr>
              <w:t>75.2%</w:t>
            </w:r>
          </w:p>
        </w:tc>
        <w:tc>
          <w:tcPr>
            <w:tcW w:w="1134" w:type="dxa"/>
            <w:shd w:val="clear" w:color="auto" w:fill="auto"/>
            <w:hideMark/>
          </w:tcPr>
          <w:p w14:paraId="099ABB95" w14:textId="77777777" w:rsidR="00E87D5B" w:rsidRPr="00D73FB4" w:rsidRDefault="00E87D5B" w:rsidP="00F22AF5">
            <w:pPr>
              <w:pStyle w:val="NormalWeb"/>
              <w:jc w:val="center"/>
              <w:rPr>
                <w:sz w:val="18"/>
                <w:szCs w:val="18"/>
              </w:rPr>
            </w:pPr>
            <w:r w:rsidRPr="00D73FB4">
              <w:rPr>
                <w:sz w:val="18"/>
                <w:szCs w:val="18"/>
              </w:rPr>
              <w:t>60.1–85.9%</w:t>
            </w:r>
          </w:p>
        </w:tc>
        <w:tc>
          <w:tcPr>
            <w:tcW w:w="992" w:type="dxa"/>
            <w:shd w:val="clear" w:color="auto" w:fill="F2F2F2" w:themeFill="background1" w:themeFillShade="F2"/>
            <w:hideMark/>
          </w:tcPr>
          <w:p w14:paraId="101AE7FF" w14:textId="77777777" w:rsidR="00E87D5B" w:rsidRPr="00D73FB4" w:rsidRDefault="00E87D5B" w:rsidP="00F22AF5">
            <w:pPr>
              <w:pStyle w:val="NormalWeb"/>
              <w:jc w:val="center"/>
              <w:rPr>
                <w:sz w:val="18"/>
                <w:szCs w:val="18"/>
              </w:rPr>
            </w:pPr>
            <w:r w:rsidRPr="00D73FB4">
              <w:rPr>
                <w:sz w:val="18"/>
                <w:szCs w:val="18"/>
              </w:rPr>
              <w:t>5.0%</w:t>
            </w:r>
          </w:p>
        </w:tc>
        <w:tc>
          <w:tcPr>
            <w:tcW w:w="992" w:type="dxa"/>
            <w:shd w:val="clear" w:color="auto" w:fill="F2F2F2" w:themeFill="background1" w:themeFillShade="F2"/>
            <w:hideMark/>
          </w:tcPr>
          <w:p w14:paraId="7342E332" w14:textId="77777777" w:rsidR="00E87D5B" w:rsidRPr="00D73FB4" w:rsidRDefault="00E87D5B" w:rsidP="00F22AF5">
            <w:pPr>
              <w:pStyle w:val="NormalWeb"/>
              <w:jc w:val="center"/>
              <w:rPr>
                <w:sz w:val="18"/>
                <w:szCs w:val="18"/>
              </w:rPr>
            </w:pPr>
            <w:r w:rsidRPr="00D73FB4">
              <w:rPr>
                <w:sz w:val="18"/>
                <w:szCs w:val="18"/>
              </w:rPr>
              <w:t>1.3–18.0%</w:t>
            </w:r>
          </w:p>
        </w:tc>
        <w:tc>
          <w:tcPr>
            <w:tcW w:w="848" w:type="dxa"/>
            <w:shd w:val="clear" w:color="auto" w:fill="auto"/>
            <w:hideMark/>
          </w:tcPr>
          <w:p w14:paraId="6812F2E4" w14:textId="77777777" w:rsidR="00E87D5B" w:rsidRPr="00D73FB4" w:rsidRDefault="00E87D5B" w:rsidP="00F22AF5">
            <w:pPr>
              <w:pStyle w:val="NormalWeb"/>
              <w:jc w:val="center"/>
              <w:rPr>
                <w:sz w:val="18"/>
                <w:szCs w:val="18"/>
              </w:rPr>
            </w:pPr>
            <w:r w:rsidRPr="00D73FB4">
              <w:rPr>
                <w:sz w:val="18"/>
                <w:szCs w:val="18"/>
              </w:rPr>
              <w:t>19.8%</w:t>
            </w:r>
          </w:p>
        </w:tc>
        <w:tc>
          <w:tcPr>
            <w:tcW w:w="1084" w:type="dxa"/>
            <w:shd w:val="clear" w:color="auto" w:fill="auto"/>
            <w:hideMark/>
          </w:tcPr>
          <w:p w14:paraId="39FD0D3D" w14:textId="77777777" w:rsidR="00E87D5B" w:rsidRPr="00D73FB4" w:rsidRDefault="00E87D5B" w:rsidP="00F22AF5">
            <w:pPr>
              <w:pStyle w:val="NormalWeb"/>
              <w:jc w:val="center"/>
              <w:rPr>
                <w:sz w:val="18"/>
                <w:szCs w:val="18"/>
              </w:rPr>
            </w:pPr>
            <w:r w:rsidRPr="00D73FB4">
              <w:rPr>
                <w:sz w:val="18"/>
                <w:szCs w:val="18"/>
              </w:rPr>
              <w:t>10.4–34.3%</w:t>
            </w:r>
          </w:p>
        </w:tc>
      </w:tr>
      <w:tr w:rsidR="00822053" w:rsidRPr="00D73FB4" w14:paraId="374AAD47" w14:textId="77777777" w:rsidTr="00E431A6">
        <w:trPr>
          <w:cnfStyle w:val="000000010000" w:firstRow="0" w:lastRow="0" w:firstColumn="0" w:lastColumn="0" w:oddVBand="0" w:evenVBand="0" w:oddHBand="0" w:evenHBand="1" w:firstRowFirstColumn="0" w:firstRowLastColumn="0" w:lastRowFirstColumn="0" w:lastRowLastColumn="0"/>
        </w:trPr>
        <w:tc>
          <w:tcPr>
            <w:tcW w:w="1418" w:type="dxa"/>
            <w:hideMark/>
          </w:tcPr>
          <w:p w14:paraId="426DF387" w14:textId="77777777" w:rsidR="00E87D5B" w:rsidRPr="00E431A6" w:rsidRDefault="00E87D5B">
            <w:pPr>
              <w:pStyle w:val="NormalWeb"/>
              <w:rPr>
                <w:b/>
                <w:sz w:val="18"/>
                <w:szCs w:val="18"/>
              </w:rPr>
            </w:pPr>
            <w:r w:rsidRPr="00E431A6">
              <w:rPr>
                <w:b/>
                <w:sz w:val="18"/>
                <w:szCs w:val="18"/>
              </w:rPr>
              <w:t>Qld</w:t>
            </w:r>
          </w:p>
        </w:tc>
        <w:tc>
          <w:tcPr>
            <w:tcW w:w="709" w:type="dxa"/>
            <w:shd w:val="clear" w:color="auto" w:fill="auto"/>
            <w:hideMark/>
          </w:tcPr>
          <w:p w14:paraId="0F244FAC" w14:textId="77777777" w:rsidR="00E87D5B" w:rsidRPr="00D73FB4" w:rsidRDefault="00E87D5B" w:rsidP="00F22AF5">
            <w:pPr>
              <w:pStyle w:val="NormalWeb"/>
              <w:jc w:val="center"/>
              <w:rPr>
                <w:sz w:val="18"/>
                <w:szCs w:val="18"/>
              </w:rPr>
            </w:pPr>
            <w:r w:rsidRPr="00D73FB4">
              <w:rPr>
                <w:sz w:val="18"/>
                <w:szCs w:val="18"/>
              </w:rPr>
              <w:t>558</w:t>
            </w:r>
          </w:p>
        </w:tc>
        <w:tc>
          <w:tcPr>
            <w:tcW w:w="1275" w:type="dxa"/>
            <w:hideMark/>
          </w:tcPr>
          <w:p w14:paraId="7F1133DA" w14:textId="77777777" w:rsidR="00E87D5B" w:rsidRPr="00D73FB4" w:rsidRDefault="00E87D5B" w:rsidP="00F22AF5">
            <w:pPr>
              <w:pStyle w:val="NormalWeb"/>
              <w:jc w:val="center"/>
              <w:rPr>
                <w:sz w:val="18"/>
                <w:szCs w:val="18"/>
              </w:rPr>
            </w:pPr>
            <w:r w:rsidRPr="00D73FB4">
              <w:rPr>
                <w:sz w:val="18"/>
                <w:szCs w:val="18"/>
              </w:rPr>
              <w:t>83.5%</w:t>
            </w:r>
          </w:p>
        </w:tc>
        <w:tc>
          <w:tcPr>
            <w:tcW w:w="1131" w:type="dxa"/>
            <w:hideMark/>
          </w:tcPr>
          <w:p w14:paraId="51FF1F24" w14:textId="77777777" w:rsidR="00E87D5B" w:rsidRPr="00D73FB4" w:rsidRDefault="00E87D5B" w:rsidP="00F22AF5">
            <w:pPr>
              <w:pStyle w:val="NormalWeb"/>
              <w:jc w:val="center"/>
              <w:rPr>
                <w:sz w:val="18"/>
                <w:szCs w:val="18"/>
              </w:rPr>
            </w:pPr>
            <w:r w:rsidRPr="00D73FB4">
              <w:rPr>
                <w:sz w:val="18"/>
                <w:szCs w:val="18"/>
              </w:rPr>
              <w:t>80.1–86.3%</w:t>
            </w:r>
          </w:p>
        </w:tc>
        <w:tc>
          <w:tcPr>
            <w:tcW w:w="854" w:type="dxa"/>
            <w:shd w:val="clear" w:color="auto" w:fill="auto"/>
            <w:hideMark/>
          </w:tcPr>
          <w:p w14:paraId="435A861D" w14:textId="77777777" w:rsidR="00E87D5B" w:rsidRPr="00D73FB4" w:rsidRDefault="00E87D5B" w:rsidP="00F22AF5">
            <w:pPr>
              <w:pStyle w:val="NormalWeb"/>
              <w:jc w:val="center"/>
              <w:rPr>
                <w:sz w:val="18"/>
                <w:szCs w:val="18"/>
              </w:rPr>
            </w:pPr>
            <w:r w:rsidRPr="00D73FB4">
              <w:rPr>
                <w:sz w:val="18"/>
                <w:szCs w:val="18"/>
              </w:rPr>
              <w:t>73.4%</w:t>
            </w:r>
          </w:p>
        </w:tc>
        <w:tc>
          <w:tcPr>
            <w:tcW w:w="1134" w:type="dxa"/>
            <w:shd w:val="clear" w:color="auto" w:fill="auto"/>
            <w:hideMark/>
          </w:tcPr>
          <w:p w14:paraId="02D7DECE" w14:textId="77777777" w:rsidR="00E87D5B" w:rsidRPr="00D73FB4" w:rsidRDefault="00E87D5B" w:rsidP="00F22AF5">
            <w:pPr>
              <w:pStyle w:val="NormalWeb"/>
              <w:jc w:val="center"/>
              <w:rPr>
                <w:sz w:val="18"/>
                <w:szCs w:val="18"/>
              </w:rPr>
            </w:pPr>
            <w:r w:rsidRPr="00D73FB4">
              <w:rPr>
                <w:sz w:val="18"/>
                <w:szCs w:val="18"/>
              </w:rPr>
              <w:t>69.6–77.0%</w:t>
            </w:r>
          </w:p>
        </w:tc>
        <w:tc>
          <w:tcPr>
            <w:tcW w:w="992" w:type="dxa"/>
            <w:hideMark/>
          </w:tcPr>
          <w:p w14:paraId="2E8B3744" w14:textId="77777777" w:rsidR="00E87D5B" w:rsidRPr="00D73FB4" w:rsidRDefault="00E87D5B" w:rsidP="00F22AF5">
            <w:pPr>
              <w:pStyle w:val="NormalWeb"/>
              <w:jc w:val="center"/>
              <w:rPr>
                <w:sz w:val="18"/>
                <w:szCs w:val="18"/>
              </w:rPr>
            </w:pPr>
            <w:r w:rsidRPr="00D73FB4">
              <w:rPr>
                <w:sz w:val="18"/>
                <w:szCs w:val="18"/>
              </w:rPr>
              <w:t>10.0%</w:t>
            </w:r>
          </w:p>
        </w:tc>
        <w:tc>
          <w:tcPr>
            <w:tcW w:w="992" w:type="dxa"/>
            <w:hideMark/>
          </w:tcPr>
          <w:p w14:paraId="2DD3E88C" w14:textId="77777777" w:rsidR="00E87D5B" w:rsidRPr="00D73FB4" w:rsidRDefault="00E87D5B" w:rsidP="00F22AF5">
            <w:pPr>
              <w:pStyle w:val="NormalWeb"/>
              <w:jc w:val="center"/>
              <w:rPr>
                <w:sz w:val="18"/>
                <w:szCs w:val="18"/>
              </w:rPr>
            </w:pPr>
            <w:r w:rsidRPr="00D73FB4">
              <w:rPr>
                <w:sz w:val="18"/>
                <w:szCs w:val="18"/>
              </w:rPr>
              <w:t>7.7–12.9%</w:t>
            </w:r>
          </w:p>
        </w:tc>
        <w:tc>
          <w:tcPr>
            <w:tcW w:w="848" w:type="dxa"/>
            <w:shd w:val="clear" w:color="auto" w:fill="auto"/>
            <w:hideMark/>
          </w:tcPr>
          <w:p w14:paraId="358D2039" w14:textId="77777777" w:rsidR="00E87D5B" w:rsidRPr="00D73FB4" w:rsidRDefault="00E87D5B" w:rsidP="00F22AF5">
            <w:pPr>
              <w:pStyle w:val="NormalWeb"/>
              <w:jc w:val="center"/>
              <w:rPr>
                <w:sz w:val="18"/>
                <w:szCs w:val="18"/>
              </w:rPr>
            </w:pPr>
            <w:r w:rsidRPr="00D73FB4">
              <w:rPr>
                <w:sz w:val="18"/>
                <w:szCs w:val="18"/>
              </w:rPr>
              <w:t>16.5%</w:t>
            </w:r>
          </w:p>
        </w:tc>
        <w:tc>
          <w:tcPr>
            <w:tcW w:w="1084" w:type="dxa"/>
            <w:shd w:val="clear" w:color="auto" w:fill="auto"/>
            <w:hideMark/>
          </w:tcPr>
          <w:p w14:paraId="0219EAA0" w14:textId="77777777" w:rsidR="00E87D5B" w:rsidRPr="00D73FB4" w:rsidRDefault="00E87D5B" w:rsidP="00F22AF5">
            <w:pPr>
              <w:pStyle w:val="NormalWeb"/>
              <w:jc w:val="center"/>
              <w:rPr>
                <w:sz w:val="18"/>
                <w:szCs w:val="18"/>
              </w:rPr>
            </w:pPr>
            <w:r w:rsidRPr="00D73FB4">
              <w:rPr>
                <w:sz w:val="18"/>
                <w:szCs w:val="18"/>
              </w:rPr>
              <w:t>13.7–19.9%</w:t>
            </w:r>
          </w:p>
        </w:tc>
      </w:tr>
      <w:tr w:rsidR="00822053" w:rsidRPr="00D73FB4" w14:paraId="24F7258A" w14:textId="77777777" w:rsidTr="00E431A6">
        <w:tc>
          <w:tcPr>
            <w:tcW w:w="1418" w:type="dxa"/>
            <w:shd w:val="clear" w:color="auto" w:fill="F2F2F2" w:themeFill="background1" w:themeFillShade="F2"/>
            <w:hideMark/>
          </w:tcPr>
          <w:p w14:paraId="46E65CA1" w14:textId="77777777" w:rsidR="00E87D5B" w:rsidRPr="00E431A6" w:rsidRDefault="00E87D5B">
            <w:pPr>
              <w:pStyle w:val="NormalWeb"/>
              <w:rPr>
                <w:b/>
                <w:sz w:val="18"/>
                <w:szCs w:val="18"/>
              </w:rPr>
            </w:pPr>
            <w:r w:rsidRPr="00E431A6">
              <w:rPr>
                <w:b/>
                <w:sz w:val="18"/>
                <w:szCs w:val="18"/>
              </w:rPr>
              <w:t>SA</w:t>
            </w:r>
          </w:p>
        </w:tc>
        <w:tc>
          <w:tcPr>
            <w:tcW w:w="709" w:type="dxa"/>
            <w:shd w:val="clear" w:color="auto" w:fill="auto"/>
            <w:hideMark/>
          </w:tcPr>
          <w:p w14:paraId="0E7C632F" w14:textId="77777777" w:rsidR="00E87D5B" w:rsidRPr="00D73FB4" w:rsidRDefault="00E87D5B" w:rsidP="00F22AF5">
            <w:pPr>
              <w:pStyle w:val="NormalWeb"/>
              <w:jc w:val="center"/>
              <w:rPr>
                <w:sz w:val="18"/>
                <w:szCs w:val="18"/>
              </w:rPr>
            </w:pPr>
            <w:r w:rsidRPr="00D73FB4">
              <w:rPr>
                <w:sz w:val="18"/>
                <w:szCs w:val="18"/>
              </w:rPr>
              <w:t>194</w:t>
            </w:r>
          </w:p>
        </w:tc>
        <w:tc>
          <w:tcPr>
            <w:tcW w:w="1275" w:type="dxa"/>
            <w:shd w:val="clear" w:color="auto" w:fill="F2F2F2" w:themeFill="background1" w:themeFillShade="F2"/>
            <w:hideMark/>
          </w:tcPr>
          <w:p w14:paraId="54F5BB9E" w14:textId="77777777" w:rsidR="00E87D5B" w:rsidRPr="00D73FB4" w:rsidRDefault="00E87D5B" w:rsidP="00F22AF5">
            <w:pPr>
              <w:pStyle w:val="NormalWeb"/>
              <w:jc w:val="center"/>
              <w:rPr>
                <w:sz w:val="18"/>
                <w:szCs w:val="18"/>
              </w:rPr>
            </w:pPr>
            <w:r w:rsidRPr="00D73FB4">
              <w:rPr>
                <w:sz w:val="18"/>
                <w:szCs w:val="18"/>
              </w:rPr>
              <w:t>81.8%</w:t>
            </w:r>
          </w:p>
        </w:tc>
        <w:tc>
          <w:tcPr>
            <w:tcW w:w="1131" w:type="dxa"/>
            <w:shd w:val="clear" w:color="auto" w:fill="F2F2F2" w:themeFill="background1" w:themeFillShade="F2"/>
            <w:hideMark/>
          </w:tcPr>
          <w:p w14:paraId="722B896B" w14:textId="77777777" w:rsidR="00E87D5B" w:rsidRPr="00D73FB4" w:rsidRDefault="00E87D5B" w:rsidP="00F22AF5">
            <w:pPr>
              <w:pStyle w:val="NormalWeb"/>
              <w:jc w:val="center"/>
              <w:rPr>
                <w:sz w:val="18"/>
                <w:szCs w:val="18"/>
              </w:rPr>
            </w:pPr>
            <w:r w:rsidRPr="00D73FB4">
              <w:rPr>
                <w:sz w:val="18"/>
                <w:szCs w:val="18"/>
              </w:rPr>
              <w:t>75.7–86.6%</w:t>
            </w:r>
          </w:p>
        </w:tc>
        <w:tc>
          <w:tcPr>
            <w:tcW w:w="854" w:type="dxa"/>
            <w:shd w:val="clear" w:color="auto" w:fill="auto"/>
            <w:hideMark/>
          </w:tcPr>
          <w:p w14:paraId="0B43B2BA" w14:textId="77777777" w:rsidR="00E87D5B" w:rsidRPr="00D73FB4" w:rsidRDefault="00E87D5B" w:rsidP="00F22AF5">
            <w:pPr>
              <w:pStyle w:val="NormalWeb"/>
              <w:jc w:val="center"/>
              <w:rPr>
                <w:sz w:val="18"/>
                <w:szCs w:val="18"/>
              </w:rPr>
            </w:pPr>
            <w:r w:rsidRPr="00D73FB4">
              <w:rPr>
                <w:sz w:val="18"/>
                <w:szCs w:val="18"/>
              </w:rPr>
              <w:t>70.7%</w:t>
            </w:r>
          </w:p>
        </w:tc>
        <w:tc>
          <w:tcPr>
            <w:tcW w:w="1134" w:type="dxa"/>
            <w:shd w:val="clear" w:color="auto" w:fill="auto"/>
            <w:hideMark/>
          </w:tcPr>
          <w:p w14:paraId="3F2C4FEE" w14:textId="77777777" w:rsidR="00E87D5B" w:rsidRPr="00D73FB4" w:rsidRDefault="00E87D5B" w:rsidP="00F22AF5">
            <w:pPr>
              <w:pStyle w:val="NormalWeb"/>
              <w:jc w:val="center"/>
              <w:rPr>
                <w:sz w:val="18"/>
                <w:szCs w:val="18"/>
              </w:rPr>
            </w:pPr>
            <w:r w:rsidRPr="00D73FB4">
              <w:rPr>
                <w:sz w:val="18"/>
                <w:szCs w:val="18"/>
              </w:rPr>
              <w:t>63.9–76.7%</w:t>
            </w:r>
          </w:p>
        </w:tc>
        <w:tc>
          <w:tcPr>
            <w:tcW w:w="992" w:type="dxa"/>
            <w:shd w:val="clear" w:color="auto" w:fill="F2F2F2" w:themeFill="background1" w:themeFillShade="F2"/>
            <w:hideMark/>
          </w:tcPr>
          <w:p w14:paraId="22032671" w14:textId="77777777" w:rsidR="00E87D5B" w:rsidRPr="00D73FB4" w:rsidRDefault="00E87D5B" w:rsidP="00F22AF5">
            <w:pPr>
              <w:pStyle w:val="NormalWeb"/>
              <w:jc w:val="center"/>
              <w:rPr>
                <w:sz w:val="18"/>
                <w:szCs w:val="18"/>
              </w:rPr>
            </w:pPr>
            <w:r w:rsidRPr="00D73FB4">
              <w:rPr>
                <w:sz w:val="18"/>
                <w:szCs w:val="18"/>
              </w:rPr>
              <w:t>11.0%</w:t>
            </w:r>
          </w:p>
        </w:tc>
        <w:tc>
          <w:tcPr>
            <w:tcW w:w="992" w:type="dxa"/>
            <w:shd w:val="clear" w:color="auto" w:fill="F2F2F2" w:themeFill="background1" w:themeFillShade="F2"/>
            <w:hideMark/>
          </w:tcPr>
          <w:p w14:paraId="6DE693BE" w14:textId="77777777" w:rsidR="00E87D5B" w:rsidRPr="00D73FB4" w:rsidRDefault="00E87D5B" w:rsidP="00F22AF5">
            <w:pPr>
              <w:pStyle w:val="NormalWeb"/>
              <w:jc w:val="center"/>
              <w:rPr>
                <w:sz w:val="18"/>
                <w:szCs w:val="18"/>
              </w:rPr>
            </w:pPr>
            <w:r w:rsidRPr="00D73FB4">
              <w:rPr>
                <w:sz w:val="18"/>
                <w:szCs w:val="18"/>
              </w:rPr>
              <w:t>7.3–16.3%</w:t>
            </w:r>
          </w:p>
        </w:tc>
        <w:tc>
          <w:tcPr>
            <w:tcW w:w="848" w:type="dxa"/>
            <w:shd w:val="clear" w:color="auto" w:fill="auto"/>
            <w:hideMark/>
          </w:tcPr>
          <w:p w14:paraId="41BEBFEF" w14:textId="77777777" w:rsidR="00E87D5B" w:rsidRPr="00D73FB4" w:rsidRDefault="00E87D5B" w:rsidP="00F22AF5">
            <w:pPr>
              <w:pStyle w:val="NormalWeb"/>
              <w:jc w:val="center"/>
              <w:rPr>
                <w:sz w:val="18"/>
                <w:szCs w:val="18"/>
              </w:rPr>
            </w:pPr>
            <w:r w:rsidRPr="00D73FB4">
              <w:rPr>
                <w:sz w:val="18"/>
                <w:szCs w:val="18"/>
              </w:rPr>
              <w:t>18.2%</w:t>
            </w:r>
          </w:p>
        </w:tc>
        <w:tc>
          <w:tcPr>
            <w:tcW w:w="1084" w:type="dxa"/>
            <w:shd w:val="clear" w:color="auto" w:fill="auto"/>
            <w:hideMark/>
          </w:tcPr>
          <w:p w14:paraId="4DD5FA7B" w14:textId="77777777" w:rsidR="00E87D5B" w:rsidRPr="00D73FB4" w:rsidRDefault="00E87D5B" w:rsidP="00F22AF5">
            <w:pPr>
              <w:pStyle w:val="NormalWeb"/>
              <w:jc w:val="center"/>
              <w:rPr>
                <w:sz w:val="18"/>
                <w:szCs w:val="18"/>
              </w:rPr>
            </w:pPr>
            <w:r w:rsidRPr="00D73FB4">
              <w:rPr>
                <w:sz w:val="18"/>
                <w:szCs w:val="18"/>
              </w:rPr>
              <w:t>13.4–24.3%</w:t>
            </w:r>
          </w:p>
        </w:tc>
      </w:tr>
      <w:tr w:rsidR="00822053" w:rsidRPr="00D73FB4" w14:paraId="41748023" w14:textId="77777777" w:rsidTr="00E431A6">
        <w:trPr>
          <w:cnfStyle w:val="000000010000" w:firstRow="0" w:lastRow="0" w:firstColumn="0" w:lastColumn="0" w:oddVBand="0" w:evenVBand="0" w:oddHBand="0" w:evenHBand="1" w:firstRowFirstColumn="0" w:firstRowLastColumn="0" w:lastRowFirstColumn="0" w:lastRowLastColumn="0"/>
        </w:trPr>
        <w:tc>
          <w:tcPr>
            <w:tcW w:w="1418" w:type="dxa"/>
            <w:hideMark/>
          </w:tcPr>
          <w:p w14:paraId="3867E557" w14:textId="77777777" w:rsidR="00E87D5B" w:rsidRPr="00E431A6" w:rsidRDefault="00E87D5B">
            <w:pPr>
              <w:pStyle w:val="NormalWeb"/>
              <w:rPr>
                <w:b/>
                <w:sz w:val="18"/>
                <w:szCs w:val="18"/>
              </w:rPr>
            </w:pPr>
            <w:r w:rsidRPr="00E431A6">
              <w:rPr>
                <w:b/>
                <w:sz w:val="18"/>
                <w:szCs w:val="18"/>
              </w:rPr>
              <w:t>Tas</w:t>
            </w:r>
          </w:p>
        </w:tc>
        <w:tc>
          <w:tcPr>
            <w:tcW w:w="709" w:type="dxa"/>
            <w:shd w:val="clear" w:color="auto" w:fill="auto"/>
            <w:hideMark/>
          </w:tcPr>
          <w:p w14:paraId="04D61C04" w14:textId="77777777" w:rsidR="00E87D5B" w:rsidRPr="00D73FB4" w:rsidRDefault="00E87D5B" w:rsidP="00F22AF5">
            <w:pPr>
              <w:pStyle w:val="NormalWeb"/>
              <w:jc w:val="center"/>
              <w:rPr>
                <w:sz w:val="18"/>
                <w:szCs w:val="18"/>
              </w:rPr>
            </w:pPr>
            <w:r w:rsidRPr="00D73FB4">
              <w:rPr>
                <w:sz w:val="18"/>
                <w:szCs w:val="18"/>
              </w:rPr>
              <w:t>56</w:t>
            </w:r>
          </w:p>
        </w:tc>
        <w:tc>
          <w:tcPr>
            <w:tcW w:w="1275" w:type="dxa"/>
            <w:hideMark/>
          </w:tcPr>
          <w:p w14:paraId="24FD7E07" w14:textId="77777777" w:rsidR="00E87D5B" w:rsidRPr="00D73FB4" w:rsidRDefault="00E87D5B" w:rsidP="00F22AF5">
            <w:pPr>
              <w:pStyle w:val="NormalWeb"/>
              <w:jc w:val="center"/>
              <w:rPr>
                <w:sz w:val="18"/>
                <w:szCs w:val="18"/>
              </w:rPr>
            </w:pPr>
            <w:r w:rsidRPr="00D73FB4">
              <w:rPr>
                <w:sz w:val="18"/>
                <w:szCs w:val="18"/>
              </w:rPr>
              <w:t>73.2%</w:t>
            </w:r>
          </w:p>
        </w:tc>
        <w:tc>
          <w:tcPr>
            <w:tcW w:w="1131" w:type="dxa"/>
            <w:hideMark/>
          </w:tcPr>
          <w:p w14:paraId="2BD88B57" w14:textId="77777777" w:rsidR="00E87D5B" w:rsidRPr="00D73FB4" w:rsidRDefault="00E87D5B" w:rsidP="00F22AF5">
            <w:pPr>
              <w:pStyle w:val="NormalWeb"/>
              <w:jc w:val="center"/>
              <w:rPr>
                <w:sz w:val="18"/>
                <w:szCs w:val="18"/>
              </w:rPr>
            </w:pPr>
            <w:r w:rsidRPr="00D73FB4">
              <w:rPr>
                <w:sz w:val="18"/>
                <w:szCs w:val="18"/>
              </w:rPr>
              <w:t>60.2–83.2%</w:t>
            </w:r>
          </w:p>
        </w:tc>
        <w:tc>
          <w:tcPr>
            <w:tcW w:w="854" w:type="dxa"/>
            <w:shd w:val="clear" w:color="auto" w:fill="auto"/>
            <w:hideMark/>
          </w:tcPr>
          <w:p w14:paraId="2D66564F" w14:textId="77777777" w:rsidR="00E87D5B" w:rsidRPr="00D73FB4" w:rsidRDefault="00E87D5B" w:rsidP="00F22AF5">
            <w:pPr>
              <w:pStyle w:val="NormalWeb"/>
              <w:jc w:val="center"/>
              <w:rPr>
                <w:sz w:val="18"/>
                <w:szCs w:val="18"/>
              </w:rPr>
            </w:pPr>
            <w:r w:rsidRPr="00D73FB4">
              <w:rPr>
                <w:sz w:val="18"/>
                <w:szCs w:val="18"/>
              </w:rPr>
              <w:t>57.1%</w:t>
            </w:r>
          </w:p>
        </w:tc>
        <w:tc>
          <w:tcPr>
            <w:tcW w:w="1134" w:type="dxa"/>
            <w:shd w:val="clear" w:color="auto" w:fill="auto"/>
            <w:hideMark/>
          </w:tcPr>
          <w:p w14:paraId="4A09D609" w14:textId="77777777" w:rsidR="00E87D5B" w:rsidRPr="00D73FB4" w:rsidRDefault="00E87D5B" w:rsidP="00F22AF5">
            <w:pPr>
              <w:pStyle w:val="NormalWeb"/>
              <w:jc w:val="center"/>
              <w:rPr>
                <w:sz w:val="18"/>
                <w:szCs w:val="18"/>
              </w:rPr>
            </w:pPr>
            <w:r w:rsidRPr="00D73FB4">
              <w:rPr>
                <w:sz w:val="18"/>
                <w:szCs w:val="18"/>
              </w:rPr>
              <w:t>44.0–69.4%</w:t>
            </w:r>
          </w:p>
        </w:tc>
        <w:tc>
          <w:tcPr>
            <w:tcW w:w="992" w:type="dxa"/>
            <w:hideMark/>
          </w:tcPr>
          <w:p w14:paraId="76650017" w14:textId="77777777" w:rsidR="00E87D5B" w:rsidRPr="00D73FB4" w:rsidRDefault="00E87D5B" w:rsidP="00F22AF5">
            <w:pPr>
              <w:pStyle w:val="NormalWeb"/>
              <w:jc w:val="center"/>
              <w:rPr>
                <w:sz w:val="18"/>
                <w:szCs w:val="18"/>
              </w:rPr>
            </w:pPr>
            <w:r w:rsidRPr="00D73FB4">
              <w:rPr>
                <w:sz w:val="18"/>
                <w:szCs w:val="18"/>
              </w:rPr>
              <w:t>16.1%</w:t>
            </w:r>
          </w:p>
        </w:tc>
        <w:tc>
          <w:tcPr>
            <w:tcW w:w="992" w:type="dxa"/>
            <w:hideMark/>
          </w:tcPr>
          <w:p w14:paraId="1BC176FB" w14:textId="77777777" w:rsidR="00E87D5B" w:rsidRPr="00D73FB4" w:rsidRDefault="00E87D5B" w:rsidP="00F22AF5">
            <w:pPr>
              <w:pStyle w:val="NormalWeb"/>
              <w:jc w:val="center"/>
              <w:rPr>
                <w:sz w:val="18"/>
                <w:szCs w:val="18"/>
              </w:rPr>
            </w:pPr>
            <w:r w:rsidRPr="00D73FB4">
              <w:rPr>
                <w:sz w:val="18"/>
                <w:szCs w:val="18"/>
              </w:rPr>
              <w:t>8.6–28.1%</w:t>
            </w:r>
          </w:p>
        </w:tc>
        <w:tc>
          <w:tcPr>
            <w:tcW w:w="848" w:type="dxa"/>
            <w:shd w:val="clear" w:color="auto" w:fill="auto"/>
            <w:hideMark/>
          </w:tcPr>
          <w:p w14:paraId="67FE4223" w14:textId="77777777" w:rsidR="00E87D5B" w:rsidRPr="00D73FB4" w:rsidRDefault="00E87D5B" w:rsidP="00F22AF5">
            <w:pPr>
              <w:pStyle w:val="NormalWeb"/>
              <w:jc w:val="center"/>
              <w:rPr>
                <w:sz w:val="18"/>
                <w:szCs w:val="18"/>
              </w:rPr>
            </w:pPr>
            <w:r w:rsidRPr="00D73FB4">
              <w:rPr>
                <w:sz w:val="18"/>
                <w:szCs w:val="18"/>
              </w:rPr>
              <w:t>26.8%</w:t>
            </w:r>
          </w:p>
        </w:tc>
        <w:tc>
          <w:tcPr>
            <w:tcW w:w="1084" w:type="dxa"/>
            <w:shd w:val="clear" w:color="auto" w:fill="auto"/>
            <w:hideMark/>
          </w:tcPr>
          <w:p w14:paraId="203C3972" w14:textId="77777777" w:rsidR="00E87D5B" w:rsidRPr="00D73FB4" w:rsidRDefault="00E87D5B" w:rsidP="00F22AF5">
            <w:pPr>
              <w:pStyle w:val="NormalWeb"/>
              <w:jc w:val="center"/>
              <w:rPr>
                <w:sz w:val="18"/>
                <w:szCs w:val="18"/>
              </w:rPr>
            </w:pPr>
            <w:r w:rsidRPr="00D73FB4">
              <w:rPr>
                <w:sz w:val="18"/>
                <w:szCs w:val="18"/>
              </w:rPr>
              <w:t>16.8–39.8%</w:t>
            </w:r>
          </w:p>
        </w:tc>
      </w:tr>
      <w:tr w:rsidR="00822053" w:rsidRPr="00D73FB4" w14:paraId="105E78FB" w14:textId="77777777" w:rsidTr="00E431A6">
        <w:tc>
          <w:tcPr>
            <w:tcW w:w="1418" w:type="dxa"/>
            <w:shd w:val="clear" w:color="auto" w:fill="F2F2F2" w:themeFill="background1" w:themeFillShade="F2"/>
            <w:hideMark/>
          </w:tcPr>
          <w:p w14:paraId="2D64A19F" w14:textId="77777777" w:rsidR="00E87D5B" w:rsidRPr="00E431A6" w:rsidRDefault="00E87D5B">
            <w:pPr>
              <w:pStyle w:val="NormalWeb"/>
              <w:rPr>
                <w:b/>
                <w:sz w:val="18"/>
                <w:szCs w:val="18"/>
              </w:rPr>
            </w:pPr>
            <w:r w:rsidRPr="00E431A6">
              <w:rPr>
                <w:b/>
                <w:sz w:val="18"/>
                <w:szCs w:val="18"/>
              </w:rPr>
              <w:t>Vic</w:t>
            </w:r>
          </w:p>
        </w:tc>
        <w:tc>
          <w:tcPr>
            <w:tcW w:w="709" w:type="dxa"/>
            <w:shd w:val="clear" w:color="auto" w:fill="auto"/>
            <w:hideMark/>
          </w:tcPr>
          <w:p w14:paraId="0899219D" w14:textId="77777777" w:rsidR="00E87D5B" w:rsidRPr="00D73FB4" w:rsidRDefault="00E87D5B" w:rsidP="00F22AF5">
            <w:pPr>
              <w:pStyle w:val="NormalWeb"/>
              <w:jc w:val="center"/>
              <w:rPr>
                <w:sz w:val="18"/>
                <w:szCs w:val="18"/>
              </w:rPr>
            </w:pPr>
            <w:r w:rsidRPr="00D73FB4">
              <w:rPr>
                <w:sz w:val="18"/>
                <w:szCs w:val="18"/>
              </w:rPr>
              <w:t>674</w:t>
            </w:r>
          </w:p>
        </w:tc>
        <w:tc>
          <w:tcPr>
            <w:tcW w:w="1275" w:type="dxa"/>
            <w:shd w:val="clear" w:color="auto" w:fill="F2F2F2" w:themeFill="background1" w:themeFillShade="F2"/>
            <w:hideMark/>
          </w:tcPr>
          <w:p w14:paraId="75AB3722" w14:textId="77777777" w:rsidR="00E87D5B" w:rsidRPr="00D73FB4" w:rsidRDefault="00E87D5B" w:rsidP="00F22AF5">
            <w:pPr>
              <w:pStyle w:val="NormalWeb"/>
              <w:jc w:val="center"/>
              <w:rPr>
                <w:sz w:val="18"/>
                <w:szCs w:val="18"/>
              </w:rPr>
            </w:pPr>
            <w:r w:rsidRPr="00D73FB4">
              <w:rPr>
                <w:sz w:val="18"/>
                <w:szCs w:val="18"/>
              </w:rPr>
              <w:t>83.0%</w:t>
            </w:r>
          </w:p>
        </w:tc>
        <w:tc>
          <w:tcPr>
            <w:tcW w:w="1131" w:type="dxa"/>
            <w:shd w:val="clear" w:color="auto" w:fill="F2F2F2" w:themeFill="background1" w:themeFillShade="F2"/>
            <w:hideMark/>
          </w:tcPr>
          <w:p w14:paraId="446F0EE9" w14:textId="77777777" w:rsidR="00E87D5B" w:rsidRPr="00D73FB4" w:rsidRDefault="00E87D5B" w:rsidP="00F22AF5">
            <w:pPr>
              <w:pStyle w:val="NormalWeb"/>
              <w:jc w:val="center"/>
              <w:rPr>
                <w:sz w:val="18"/>
                <w:szCs w:val="18"/>
              </w:rPr>
            </w:pPr>
            <w:r w:rsidRPr="00D73FB4">
              <w:rPr>
                <w:sz w:val="18"/>
                <w:szCs w:val="18"/>
              </w:rPr>
              <w:t>79.9–85.6%</w:t>
            </w:r>
          </w:p>
        </w:tc>
        <w:tc>
          <w:tcPr>
            <w:tcW w:w="854" w:type="dxa"/>
            <w:shd w:val="clear" w:color="auto" w:fill="auto"/>
            <w:hideMark/>
          </w:tcPr>
          <w:p w14:paraId="739BC859" w14:textId="77777777" w:rsidR="00E87D5B" w:rsidRPr="00D73FB4" w:rsidRDefault="00E87D5B" w:rsidP="00F22AF5">
            <w:pPr>
              <w:pStyle w:val="NormalWeb"/>
              <w:jc w:val="center"/>
              <w:rPr>
                <w:sz w:val="18"/>
                <w:szCs w:val="18"/>
              </w:rPr>
            </w:pPr>
            <w:r w:rsidRPr="00D73FB4">
              <w:rPr>
                <w:sz w:val="18"/>
                <w:szCs w:val="18"/>
              </w:rPr>
              <w:t>73.4%</w:t>
            </w:r>
          </w:p>
        </w:tc>
        <w:tc>
          <w:tcPr>
            <w:tcW w:w="1134" w:type="dxa"/>
            <w:shd w:val="clear" w:color="auto" w:fill="auto"/>
            <w:hideMark/>
          </w:tcPr>
          <w:p w14:paraId="3A61F804" w14:textId="77777777" w:rsidR="00E87D5B" w:rsidRPr="00D73FB4" w:rsidRDefault="00E87D5B" w:rsidP="00F22AF5">
            <w:pPr>
              <w:pStyle w:val="NormalWeb"/>
              <w:jc w:val="center"/>
              <w:rPr>
                <w:sz w:val="18"/>
                <w:szCs w:val="18"/>
              </w:rPr>
            </w:pPr>
            <w:r w:rsidRPr="00D73FB4">
              <w:rPr>
                <w:sz w:val="18"/>
                <w:szCs w:val="18"/>
              </w:rPr>
              <w:t>69.9–76.6%</w:t>
            </w:r>
          </w:p>
        </w:tc>
        <w:tc>
          <w:tcPr>
            <w:tcW w:w="992" w:type="dxa"/>
            <w:shd w:val="clear" w:color="auto" w:fill="F2F2F2" w:themeFill="background1" w:themeFillShade="F2"/>
            <w:hideMark/>
          </w:tcPr>
          <w:p w14:paraId="5B748AB1" w14:textId="77777777" w:rsidR="00E87D5B" w:rsidRPr="00D73FB4" w:rsidRDefault="00E87D5B" w:rsidP="00F22AF5">
            <w:pPr>
              <w:pStyle w:val="NormalWeb"/>
              <w:jc w:val="center"/>
              <w:rPr>
                <w:sz w:val="18"/>
                <w:szCs w:val="18"/>
              </w:rPr>
            </w:pPr>
            <w:r w:rsidRPr="00D73FB4">
              <w:rPr>
                <w:sz w:val="18"/>
                <w:szCs w:val="18"/>
              </w:rPr>
              <w:t>9.6%</w:t>
            </w:r>
          </w:p>
        </w:tc>
        <w:tc>
          <w:tcPr>
            <w:tcW w:w="992" w:type="dxa"/>
            <w:shd w:val="clear" w:color="auto" w:fill="F2F2F2" w:themeFill="background1" w:themeFillShade="F2"/>
            <w:hideMark/>
          </w:tcPr>
          <w:p w14:paraId="20F98EF4" w14:textId="77777777" w:rsidR="00E87D5B" w:rsidRPr="00D73FB4" w:rsidRDefault="00E87D5B" w:rsidP="00F22AF5">
            <w:pPr>
              <w:pStyle w:val="NormalWeb"/>
              <w:jc w:val="center"/>
              <w:rPr>
                <w:sz w:val="18"/>
                <w:szCs w:val="18"/>
              </w:rPr>
            </w:pPr>
            <w:r w:rsidRPr="00D73FB4">
              <w:rPr>
                <w:sz w:val="18"/>
                <w:szCs w:val="18"/>
              </w:rPr>
              <w:t>7.6–12.0%</w:t>
            </w:r>
          </w:p>
        </w:tc>
        <w:tc>
          <w:tcPr>
            <w:tcW w:w="848" w:type="dxa"/>
            <w:shd w:val="clear" w:color="auto" w:fill="auto"/>
            <w:hideMark/>
          </w:tcPr>
          <w:p w14:paraId="20EDFAA3" w14:textId="77777777" w:rsidR="00E87D5B" w:rsidRPr="00D73FB4" w:rsidRDefault="00E87D5B" w:rsidP="00F22AF5">
            <w:pPr>
              <w:pStyle w:val="NormalWeb"/>
              <w:jc w:val="center"/>
              <w:rPr>
                <w:sz w:val="18"/>
                <w:szCs w:val="18"/>
              </w:rPr>
            </w:pPr>
            <w:r w:rsidRPr="00D73FB4">
              <w:rPr>
                <w:sz w:val="18"/>
                <w:szCs w:val="18"/>
              </w:rPr>
              <w:t>17.0%</w:t>
            </w:r>
          </w:p>
        </w:tc>
        <w:tc>
          <w:tcPr>
            <w:tcW w:w="1084" w:type="dxa"/>
            <w:shd w:val="clear" w:color="auto" w:fill="auto"/>
            <w:hideMark/>
          </w:tcPr>
          <w:p w14:paraId="64B50A71" w14:textId="77777777" w:rsidR="00E87D5B" w:rsidRPr="00D73FB4" w:rsidRDefault="00E87D5B" w:rsidP="00F22AF5">
            <w:pPr>
              <w:pStyle w:val="NormalWeb"/>
              <w:jc w:val="center"/>
              <w:rPr>
                <w:sz w:val="18"/>
                <w:szCs w:val="18"/>
              </w:rPr>
            </w:pPr>
            <w:r w:rsidRPr="00D73FB4">
              <w:rPr>
                <w:sz w:val="18"/>
                <w:szCs w:val="18"/>
              </w:rPr>
              <w:t>14.4–20.1%</w:t>
            </w:r>
          </w:p>
        </w:tc>
      </w:tr>
      <w:tr w:rsidR="00822053" w:rsidRPr="00D73FB4" w14:paraId="559FA9F3" w14:textId="77777777" w:rsidTr="00E431A6">
        <w:trPr>
          <w:cnfStyle w:val="000000010000" w:firstRow="0" w:lastRow="0" w:firstColumn="0" w:lastColumn="0" w:oddVBand="0" w:evenVBand="0" w:oddHBand="0" w:evenHBand="1" w:firstRowFirstColumn="0" w:firstRowLastColumn="0" w:lastRowFirstColumn="0" w:lastRowLastColumn="0"/>
        </w:trPr>
        <w:tc>
          <w:tcPr>
            <w:tcW w:w="1418" w:type="dxa"/>
            <w:hideMark/>
          </w:tcPr>
          <w:p w14:paraId="1353E631" w14:textId="77777777" w:rsidR="00E87D5B" w:rsidRPr="00E431A6" w:rsidRDefault="00E87D5B">
            <w:pPr>
              <w:pStyle w:val="NormalWeb"/>
              <w:rPr>
                <w:b/>
                <w:sz w:val="18"/>
                <w:szCs w:val="18"/>
              </w:rPr>
            </w:pPr>
            <w:r w:rsidRPr="00E431A6">
              <w:rPr>
                <w:b/>
                <w:sz w:val="18"/>
                <w:szCs w:val="18"/>
              </w:rPr>
              <w:t>WA</w:t>
            </w:r>
          </w:p>
        </w:tc>
        <w:tc>
          <w:tcPr>
            <w:tcW w:w="709" w:type="dxa"/>
            <w:shd w:val="clear" w:color="auto" w:fill="auto"/>
            <w:hideMark/>
          </w:tcPr>
          <w:p w14:paraId="14B29156" w14:textId="77777777" w:rsidR="00E87D5B" w:rsidRPr="00D73FB4" w:rsidRDefault="00E87D5B" w:rsidP="00F22AF5">
            <w:pPr>
              <w:pStyle w:val="NormalWeb"/>
              <w:jc w:val="center"/>
              <w:rPr>
                <w:sz w:val="18"/>
                <w:szCs w:val="18"/>
              </w:rPr>
            </w:pPr>
            <w:r w:rsidRPr="00D73FB4">
              <w:rPr>
                <w:sz w:val="18"/>
                <w:szCs w:val="18"/>
              </w:rPr>
              <w:t>272</w:t>
            </w:r>
          </w:p>
        </w:tc>
        <w:tc>
          <w:tcPr>
            <w:tcW w:w="1275" w:type="dxa"/>
            <w:hideMark/>
          </w:tcPr>
          <w:p w14:paraId="217E582D" w14:textId="77777777" w:rsidR="00E87D5B" w:rsidRPr="00D73FB4" w:rsidRDefault="00E87D5B" w:rsidP="00F22AF5">
            <w:pPr>
              <w:pStyle w:val="NormalWeb"/>
              <w:jc w:val="center"/>
              <w:rPr>
                <w:sz w:val="18"/>
                <w:szCs w:val="18"/>
              </w:rPr>
            </w:pPr>
            <w:r w:rsidRPr="00D73FB4">
              <w:rPr>
                <w:sz w:val="18"/>
                <w:szCs w:val="18"/>
              </w:rPr>
              <w:t>83.7%</w:t>
            </w:r>
          </w:p>
        </w:tc>
        <w:tc>
          <w:tcPr>
            <w:tcW w:w="1131" w:type="dxa"/>
            <w:hideMark/>
          </w:tcPr>
          <w:p w14:paraId="07097837" w14:textId="77777777" w:rsidR="00E87D5B" w:rsidRPr="00D73FB4" w:rsidRDefault="00E87D5B" w:rsidP="00F22AF5">
            <w:pPr>
              <w:pStyle w:val="NormalWeb"/>
              <w:jc w:val="center"/>
              <w:rPr>
                <w:sz w:val="18"/>
                <w:szCs w:val="18"/>
              </w:rPr>
            </w:pPr>
            <w:r w:rsidRPr="00D73FB4">
              <w:rPr>
                <w:sz w:val="18"/>
                <w:szCs w:val="18"/>
              </w:rPr>
              <w:t>77.9–88.2%</w:t>
            </w:r>
          </w:p>
        </w:tc>
        <w:tc>
          <w:tcPr>
            <w:tcW w:w="854" w:type="dxa"/>
            <w:shd w:val="clear" w:color="auto" w:fill="auto"/>
            <w:hideMark/>
          </w:tcPr>
          <w:p w14:paraId="11557C7F" w14:textId="77777777" w:rsidR="00E87D5B" w:rsidRPr="00D73FB4" w:rsidRDefault="00E87D5B" w:rsidP="00F22AF5">
            <w:pPr>
              <w:pStyle w:val="NormalWeb"/>
              <w:jc w:val="center"/>
              <w:rPr>
                <w:sz w:val="18"/>
                <w:szCs w:val="18"/>
              </w:rPr>
            </w:pPr>
            <w:r w:rsidRPr="00D73FB4">
              <w:rPr>
                <w:sz w:val="18"/>
                <w:szCs w:val="18"/>
              </w:rPr>
              <w:t>72.8%</w:t>
            </w:r>
          </w:p>
        </w:tc>
        <w:tc>
          <w:tcPr>
            <w:tcW w:w="1134" w:type="dxa"/>
            <w:shd w:val="clear" w:color="auto" w:fill="auto"/>
            <w:hideMark/>
          </w:tcPr>
          <w:p w14:paraId="1795D58D" w14:textId="77777777" w:rsidR="00E87D5B" w:rsidRPr="00D73FB4" w:rsidRDefault="00E87D5B" w:rsidP="00F22AF5">
            <w:pPr>
              <w:pStyle w:val="NormalWeb"/>
              <w:jc w:val="center"/>
              <w:rPr>
                <w:sz w:val="18"/>
                <w:szCs w:val="18"/>
              </w:rPr>
            </w:pPr>
            <w:r w:rsidRPr="00D73FB4">
              <w:rPr>
                <w:sz w:val="18"/>
                <w:szCs w:val="18"/>
              </w:rPr>
              <w:t>66.2–78.5%</w:t>
            </w:r>
          </w:p>
        </w:tc>
        <w:tc>
          <w:tcPr>
            <w:tcW w:w="992" w:type="dxa"/>
            <w:hideMark/>
          </w:tcPr>
          <w:p w14:paraId="6A2E4BA6" w14:textId="77777777" w:rsidR="00E87D5B" w:rsidRPr="00D73FB4" w:rsidRDefault="00E87D5B" w:rsidP="00F22AF5">
            <w:pPr>
              <w:pStyle w:val="NormalWeb"/>
              <w:jc w:val="center"/>
              <w:rPr>
                <w:sz w:val="18"/>
                <w:szCs w:val="18"/>
              </w:rPr>
            </w:pPr>
            <w:r w:rsidRPr="00D73FB4">
              <w:rPr>
                <w:sz w:val="18"/>
                <w:szCs w:val="18"/>
              </w:rPr>
              <w:t>10.9%</w:t>
            </w:r>
          </w:p>
        </w:tc>
        <w:tc>
          <w:tcPr>
            <w:tcW w:w="992" w:type="dxa"/>
            <w:hideMark/>
          </w:tcPr>
          <w:p w14:paraId="0D191FCF" w14:textId="77777777" w:rsidR="00E87D5B" w:rsidRPr="00D73FB4" w:rsidRDefault="00E87D5B" w:rsidP="00F22AF5">
            <w:pPr>
              <w:pStyle w:val="NormalWeb"/>
              <w:jc w:val="center"/>
              <w:rPr>
                <w:sz w:val="18"/>
                <w:szCs w:val="18"/>
              </w:rPr>
            </w:pPr>
            <w:r w:rsidRPr="00D73FB4">
              <w:rPr>
                <w:sz w:val="18"/>
                <w:szCs w:val="18"/>
              </w:rPr>
              <w:t>7.2–16.2%</w:t>
            </w:r>
          </w:p>
        </w:tc>
        <w:tc>
          <w:tcPr>
            <w:tcW w:w="848" w:type="dxa"/>
            <w:shd w:val="clear" w:color="auto" w:fill="auto"/>
            <w:hideMark/>
          </w:tcPr>
          <w:p w14:paraId="17E60F62" w14:textId="77777777" w:rsidR="00E87D5B" w:rsidRPr="00D73FB4" w:rsidRDefault="00E87D5B" w:rsidP="00F22AF5">
            <w:pPr>
              <w:pStyle w:val="NormalWeb"/>
              <w:jc w:val="center"/>
              <w:rPr>
                <w:sz w:val="18"/>
                <w:szCs w:val="18"/>
              </w:rPr>
            </w:pPr>
            <w:r w:rsidRPr="00D73FB4">
              <w:rPr>
                <w:sz w:val="18"/>
                <w:szCs w:val="18"/>
              </w:rPr>
              <w:t>16.3%</w:t>
            </w:r>
          </w:p>
        </w:tc>
        <w:tc>
          <w:tcPr>
            <w:tcW w:w="1084" w:type="dxa"/>
            <w:shd w:val="clear" w:color="auto" w:fill="auto"/>
            <w:hideMark/>
          </w:tcPr>
          <w:p w14:paraId="6FE8EB81" w14:textId="77777777" w:rsidR="00E87D5B" w:rsidRPr="00D73FB4" w:rsidRDefault="00E87D5B" w:rsidP="00F22AF5">
            <w:pPr>
              <w:pStyle w:val="NormalWeb"/>
              <w:jc w:val="center"/>
              <w:rPr>
                <w:sz w:val="18"/>
                <w:szCs w:val="18"/>
              </w:rPr>
            </w:pPr>
            <w:r w:rsidRPr="00D73FB4">
              <w:rPr>
                <w:sz w:val="18"/>
                <w:szCs w:val="18"/>
              </w:rPr>
              <w:t>11.8–22.1%</w:t>
            </w:r>
          </w:p>
        </w:tc>
      </w:tr>
      <w:tr w:rsidR="00822053" w:rsidRPr="00D73FB4" w14:paraId="1156EF46" w14:textId="77777777" w:rsidTr="000542E4">
        <w:tc>
          <w:tcPr>
            <w:tcW w:w="1418" w:type="dxa"/>
            <w:shd w:val="clear" w:color="auto" w:fill="FDE9D9" w:themeFill="accent6" w:themeFillTint="33"/>
            <w:hideMark/>
          </w:tcPr>
          <w:p w14:paraId="6947B34E" w14:textId="77777777" w:rsidR="00E87D5B" w:rsidRPr="00D73FB4" w:rsidRDefault="00E87D5B">
            <w:pPr>
              <w:pStyle w:val="NormalWeb"/>
              <w:rPr>
                <w:b/>
                <w:sz w:val="18"/>
                <w:szCs w:val="18"/>
              </w:rPr>
            </w:pPr>
            <w:r w:rsidRPr="00D73FB4">
              <w:rPr>
                <w:b/>
                <w:sz w:val="18"/>
                <w:szCs w:val="18"/>
              </w:rPr>
              <w:t>Australia</w:t>
            </w:r>
          </w:p>
        </w:tc>
        <w:tc>
          <w:tcPr>
            <w:tcW w:w="709" w:type="dxa"/>
            <w:shd w:val="clear" w:color="auto" w:fill="FDE9D9" w:themeFill="accent6" w:themeFillTint="33"/>
            <w:hideMark/>
          </w:tcPr>
          <w:p w14:paraId="7EB6A3FA" w14:textId="77777777" w:rsidR="00E87D5B" w:rsidRPr="00D73FB4" w:rsidRDefault="00E87D5B" w:rsidP="00F22AF5">
            <w:pPr>
              <w:pStyle w:val="NormalWeb"/>
              <w:jc w:val="center"/>
              <w:rPr>
                <w:b/>
                <w:sz w:val="18"/>
                <w:szCs w:val="18"/>
              </w:rPr>
            </w:pPr>
            <w:r w:rsidRPr="00D73FB4">
              <w:rPr>
                <w:b/>
                <w:sz w:val="18"/>
                <w:szCs w:val="18"/>
              </w:rPr>
              <w:t>2,729</w:t>
            </w:r>
          </w:p>
        </w:tc>
        <w:tc>
          <w:tcPr>
            <w:tcW w:w="1275" w:type="dxa"/>
            <w:shd w:val="clear" w:color="auto" w:fill="FDE9D9" w:themeFill="accent6" w:themeFillTint="33"/>
            <w:hideMark/>
          </w:tcPr>
          <w:p w14:paraId="3FBDBC8F" w14:textId="77777777" w:rsidR="00E87D5B" w:rsidRPr="00D73FB4" w:rsidRDefault="00E87D5B" w:rsidP="00F22AF5">
            <w:pPr>
              <w:pStyle w:val="NormalWeb"/>
              <w:jc w:val="center"/>
              <w:rPr>
                <w:b/>
                <w:sz w:val="18"/>
                <w:szCs w:val="18"/>
              </w:rPr>
            </w:pPr>
            <w:r w:rsidRPr="00D73FB4">
              <w:rPr>
                <w:b/>
                <w:sz w:val="18"/>
                <w:szCs w:val="18"/>
              </w:rPr>
              <w:t>82.1%</w:t>
            </w:r>
          </w:p>
        </w:tc>
        <w:tc>
          <w:tcPr>
            <w:tcW w:w="1131" w:type="dxa"/>
            <w:shd w:val="clear" w:color="auto" w:fill="FDE9D9" w:themeFill="accent6" w:themeFillTint="33"/>
            <w:hideMark/>
          </w:tcPr>
          <w:p w14:paraId="6CF794D6" w14:textId="77777777" w:rsidR="00E87D5B" w:rsidRPr="00D73FB4" w:rsidRDefault="00E87D5B" w:rsidP="00F22AF5">
            <w:pPr>
              <w:pStyle w:val="NormalWeb"/>
              <w:jc w:val="center"/>
              <w:rPr>
                <w:b/>
                <w:sz w:val="18"/>
                <w:szCs w:val="18"/>
              </w:rPr>
            </w:pPr>
            <w:r w:rsidRPr="00D73FB4">
              <w:rPr>
                <w:b/>
                <w:sz w:val="18"/>
                <w:szCs w:val="18"/>
              </w:rPr>
              <w:t>80.6–83.5%</w:t>
            </w:r>
          </w:p>
        </w:tc>
        <w:tc>
          <w:tcPr>
            <w:tcW w:w="854" w:type="dxa"/>
            <w:shd w:val="clear" w:color="auto" w:fill="FDE9D9" w:themeFill="accent6" w:themeFillTint="33"/>
            <w:hideMark/>
          </w:tcPr>
          <w:p w14:paraId="7115BC3E" w14:textId="77777777" w:rsidR="00E87D5B" w:rsidRPr="00D73FB4" w:rsidRDefault="00E87D5B" w:rsidP="00F22AF5">
            <w:pPr>
              <w:pStyle w:val="NormalWeb"/>
              <w:jc w:val="center"/>
              <w:rPr>
                <w:b/>
                <w:sz w:val="18"/>
                <w:szCs w:val="18"/>
              </w:rPr>
            </w:pPr>
            <w:r w:rsidRPr="00D73FB4">
              <w:rPr>
                <w:b/>
                <w:sz w:val="18"/>
                <w:szCs w:val="18"/>
              </w:rPr>
              <w:t>71.1%</w:t>
            </w:r>
          </w:p>
        </w:tc>
        <w:tc>
          <w:tcPr>
            <w:tcW w:w="1134" w:type="dxa"/>
            <w:shd w:val="clear" w:color="auto" w:fill="FDE9D9" w:themeFill="accent6" w:themeFillTint="33"/>
            <w:hideMark/>
          </w:tcPr>
          <w:p w14:paraId="69E382F1" w14:textId="77777777" w:rsidR="00E87D5B" w:rsidRPr="00D73FB4" w:rsidRDefault="00E87D5B" w:rsidP="00F22AF5">
            <w:pPr>
              <w:pStyle w:val="NormalWeb"/>
              <w:jc w:val="center"/>
              <w:rPr>
                <w:b/>
                <w:sz w:val="18"/>
                <w:szCs w:val="18"/>
              </w:rPr>
            </w:pPr>
            <w:r w:rsidRPr="00D73FB4">
              <w:rPr>
                <w:b/>
                <w:sz w:val="18"/>
                <w:szCs w:val="18"/>
              </w:rPr>
              <w:t>69.4–72.9%</w:t>
            </w:r>
          </w:p>
        </w:tc>
        <w:tc>
          <w:tcPr>
            <w:tcW w:w="992" w:type="dxa"/>
            <w:shd w:val="clear" w:color="auto" w:fill="FDE9D9" w:themeFill="accent6" w:themeFillTint="33"/>
            <w:hideMark/>
          </w:tcPr>
          <w:p w14:paraId="58235175" w14:textId="77777777" w:rsidR="00E87D5B" w:rsidRPr="00D73FB4" w:rsidRDefault="00E87D5B" w:rsidP="00F22AF5">
            <w:pPr>
              <w:pStyle w:val="NormalWeb"/>
              <w:jc w:val="center"/>
              <w:rPr>
                <w:b/>
                <w:sz w:val="18"/>
                <w:szCs w:val="18"/>
              </w:rPr>
            </w:pPr>
            <w:r w:rsidRPr="00D73FB4">
              <w:rPr>
                <w:b/>
                <w:sz w:val="18"/>
                <w:szCs w:val="18"/>
              </w:rPr>
              <w:t>10.9%</w:t>
            </w:r>
          </w:p>
        </w:tc>
        <w:tc>
          <w:tcPr>
            <w:tcW w:w="992" w:type="dxa"/>
            <w:shd w:val="clear" w:color="auto" w:fill="FDE9D9" w:themeFill="accent6" w:themeFillTint="33"/>
            <w:hideMark/>
          </w:tcPr>
          <w:p w14:paraId="5DF8E3A6" w14:textId="77777777" w:rsidR="00E87D5B" w:rsidRPr="00D73FB4" w:rsidRDefault="00E87D5B" w:rsidP="00F22AF5">
            <w:pPr>
              <w:pStyle w:val="NormalWeb"/>
              <w:jc w:val="center"/>
              <w:rPr>
                <w:b/>
                <w:sz w:val="18"/>
                <w:szCs w:val="18"/>
              </w:rPr>
            </w:pPr>
            <w:r w:rsidRPr="00D73FB4">
              <w:rPr>
                <w:b/>
                <w:sz w:val="18"/>
                <w:szCs w:val="18"/>
              </w:rPr>
              <w:t>9.8–12.2%</w:t>
            </w:r>
          </w:p>
        </w:tc>
        <w:tc>
          <w:tcPr>
            <w:tcW w:w="848" w:type="dxa"/>
            <w:shd w:val="clear" w:color="auto" w:fill="FDE9D9" w:themeFill="accent6" w:themeFillTint="33"/>
            <w:hideMark/>
          </w:tcPr>
          <w:p w14:paraId="30423198" w14:textId="77777777" w:rsidR="00E87D5B" w:rsidRPr="00D73FB4" w:rsidRDefault="00E87D5B" w:rsidP="00F22AF5">
            <w:pPr>
              <w:pStyle w:val="NormalWeb"/>
              <w:jc w:val="center"/>
              <w:rPr>
                <w:b/>
                <w:sz w:val="18"/>
                <w:szCs w:val="18"/>
              </w:rPr>
            </w:pPr>
            <w:r w:rsidRPr="00D73FB4">
              <w:rPr>
                <w:b/>
                <w:sz w:val="18"/>
                <w:szCs w:val="18"/>
              </w:rPr>
              <w:t>17.9%</w:t>
            </w:r>
          </w:p>
        </w:tc>
        <w:tc>
          <w:tcPr>
            <w:tcW w:w="1084" w:type="dxa"/>
            <w:shd w:val="clear" w:color="auto" w:fill="FDE9D9" w:themeFill="accent6" w:themeFillTint="33"/>
            <w:hideMark/>
          </w:tcPr>
          <w:p w14:paraId="76756956" w14:textId="77777777" w:rsidR="00E87D5B" w:rsidRPr="00D73FB4" w:rsidRDefault="00E87D5B" w:rsidP="00F22AF5">
            <w:pPr>
              <w:pStyle w:val="NormalWeb"/>
              <w:jc w:val="center"/>
              <w:rPr>
                <w:b/>
                <w:sz w:val="18"/>
                <w:szCs w:val="18"/>
              </w:rPr>
            </w:pPr>
            <w:r w:rsidRPr="00D73FB4">
              <w:rPr>
                <w:b/>
                <w:sz w:val="18"/>
                <w:szCs w:val="18"/>
              </w:rPr>
              <w:t>16.5–19.4%</w:t>
            </w:r>
          </w:p>
        </w:tc>
      </w:tr>
    </w:tbl>
    <w:p w14:paraId="4F25FA9D" w14:textId="77777777" w:rsidR="00913477" w:rsidRDefault="00913477" w:rsidP="00913477">
      <w:pPr>
        <w:pStyle w:val="CDIFigures"/>
        <w:sectPr w:rsidR="00913477" w:rsidSect="00A30C37">
          <w:pgSz w:w="11906" w:h="16838"/>
          <w:pgMar w:top="720" w:right="720" w:bottom="1134" w:left="720" w:header="709" w:footer="284" w:gutter="0"/>
          <w:cols w:space="708"/>
          <w:titlePg/>
          <w:docGrid w:linePitch="360"/>
        </w:sectPr>
      </w:pPr>
    </w:p>
    <w:p w14:paraId="7F0C3CFC" w14:textId="77777777" w:rsidR="00E87D5B" w:rsidRDefault="00E87D5B" w:rsidP="00913477">
      <w:pPr>
        <w:pStyle w:val="CDIFigures"/>
      </w:pPr>
      <w:r>
        <w:lastRenderedPageBreak/>
        <w:t>Table A.3: Proportion of specimens positive, equivocal (or both) or negative for mumps-specific antibodies, by age group and year of serosurvey</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A.3 shows the number and proportion of specimens of a nationally representative sample who were positive or equivocal (combined), positive only, equivocal only or negative for mumps-specific antibodies in each of the three serosurveys conducted in 1997–1998, 2007–2008 and 2012–2013. The results are shown by age group. The table includes the 95% confidence interval for each proportion. Significant differences (p &lt; 0.05) compared with the corresponding age group in 2012–2013 are indicated."/>
      </w:tblPr>
      <w:tblGrid>
        <w:gridCol w:w="1433"/>
        <w:gridCol w:w="1402"/>
        <w:gridCol w:w="1134"/>
        <w:gridCol w:w="1131"/>
        <w:gridCol w:w="1413"/>
        <w:gridCol w:w="1992"/>
        <w:gridCol w:w="1362"/>
        <w:gridCol w:w="1483"/>
        <w:gridCol w:w="1770"/>
        <w:gridCol w:w="1818"/>
      </w:tblGrid>
      <w:tr w:rsidR="0020630A" w:rsidRPr="009E084A" w14:paraId="167D26F4" w14:textId="77777777" w:rsidTr="009E084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38C9B97" w14:textId="77777777" w:rsidR="00E87D5B" w:rsidRPr="009E084A" w:rsidRDefault="00E87D5B">
            <w:pPr>
              <w:pStyle w:val="NormalWeb"/>
              <w:rPr>
                <w:color w:val="FFFFFF" w:themeColor="background1"/>
                <w:sz w:val="18"/>
                <w:szCs w:val="18"/>
              </w:rPr>
            </w:pPr>
            <w:r w:rsidRPr="009E084A">
              <w:rPr>
                <w:color w:val="FFFFFF" w:themeColor="background1"/>
                <w:sz w:val="18"/>
                <w:szCs w:val="18"/>
              </w:rPr>
              <w:t>Age group (years)</w:t>
            </w:r>
          </w:p>
        </w:tc>
        <w:tc>
          <w:tcPr>
            <w:tcW w:w="3667" w:type="dxa"/>
            <w:gridSpan w:val="3"/>
            <w:tcBorders>
              <w:left w:val="single" w:sz="2" w:space="0" w:color="FFFFFF" w:themeColor="background1"/>
              <w:bottom w:val="single" w:sz="2" w:space="0" w:color="FFFFFF" w:themeColor="background1"/>
              <w:right w:val="single" w:sz="2" w:space="0" w:color="FFFFFF" w:themeColor="background1"/>
            </w:tcBorders>
            <w:hideMark/>
          </w:tcPr>
          <w:p w14:paraId="1439B611"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1997–1998 (N = 1,915)</w:t>
            </w:r>
          </w:p>
        </w:tc>
        <w:tc>
          <w:tcPr>
            <w:tcW w:w="4767" w:type="dxa"/>
            <w:gridSpan w:val="3"/>
            <w:tcBorders>
              <w:left w:val="single" w:sz="2" w:space="0" w:color="FFFFFF" w:themeColor="background1"/>
              <w:bottom w:val="single" w:sz="2" w:space="0" w:color="FFFFFF" w:themeColor="background1"/>
              <w:right w:val="single" w:sz="2" w:space="0" w:color="FFFFFF" w:themeColor="background1"/>
            </w:tcBorders>
            <w:hideMark/>
          </w:tcPr>
          <w:p w14:paraId="050A6539"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2007–2008 (N = 3,396)</w:t>
            </w:r>
          </w:p>
        </w:tc>
        <w:tc>
          <w:tcPr>
            <w:tcW w:w="5071" w:type="dxa"/>
            <w:gridSpan w:val="3"/>
            <w:tcBorders>
              <w:left w:val="single" w:sz="2" w:space="0" w:color="FFFFFF" w:themeColor="background1"/>
              <w:bottom w:val="single" w:sz="2" w:space="0" w:color="FFFFFF" w:themeColor="background1"/>
            </w:tcBorders>
            <w:hideMark/>
          </w:tcPr>
          <w:p w14:paraId="7AD9F446"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2012–2013 (N = 2,729)</w:t>
            </w:r>
          </w:p>
        </w:tc>
      </w:tr>
      <w:tr w:rsidR="000A5606" w:rsidRPr="009E084A" w14:paraId="3573954E" w14:textId="77777777" w:rsidTr="009E084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A4C2C7D" w14:textId="77777777" w:rsidR="00E87D5B" w:rsidRPr="009E084A" w:rsidRDefault="00E87D5B">
            <w:pPr>
              <w:rPr>
                <w:color w:val="FFFFFF" w:themeColor="background1"/>
                <w:sz w:val="18"/>
                <w:szCs w:val="18"/>
              </w:rPr>
            </w:pPr>
          </w:p>
        </w:tc>
        <w:tc>
          <w:tcPr>
            <w:tcW w:w="1402" w:type="dxa"/>
            <w:tcBorders>
              <w:top w:val="single" w:sz="2" w:space="0" w:color="FFFFFF" w:themeColor="background1"/>
              <w:left w:val="single" w:sz="2" w:space="0" w:color="FFFFFF" w:themeColor="background1"/>
              <w:right w:val="single" w:sz="2" w:space="0" w:color="FFFFFF" w:themeColor="background1"/>
            </w:tcBorders>
            <w:hideMark/>
          </w:tcPr>
          <w:p w14:paraId="3753AD0C"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Number tested</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02285F2"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67794D8F"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95% CI</w:t>
            </w:r>
          </w:p>
        </w:tc>
        <w:tc>
          <w:tcPr>
            <w:tcW w:w="1413" w:type="dxa"/>
            <w:tcBorders>
              <w:top w:val="single" w:sz="2" w:space="0" w:color="FFFFFF" w:themeColor="background1"/>
              <w:left w:val="single" w:sz="2" w:space="0" w:color="FFFFFF" w:themeColor="background1"/>
              <w:right w:val="single" w:sz="2" w:space="0" w:color="FFFFFF" w:themeColor="background1"/>
            </w:tcBorders>
            <w:hideMark/>
          </w:tcPr>
          <w:p w14:paraId="33A14D14"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Number tested</w:t>
            </w:r>
          </w:p>
        </w:tc>
        <w:tc>
          <w:tcPr>
            <w:tcW w:w="1992" w:type="dxa"/>
            <w:tcBorders>
              <w:top w:val="single" w:sz="2" w:space="0" w:color="FFFFFF" w:themeColor="background1"/>
              <w:left w:val="single" w:sz="2" w:space="0" w:color="FFFFFF" w:themeColor="background1"/>
              <w:right w:val="single" w:sz="2" w:space="0" w:color="FFFFFF" w:themeColor="background1"/>
            </w:tcBorders>
            <w:hideMark/>
          </w:tcPr>
          <w:p w14:paraId="4E16C1D8"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w:t>
            </w:r>
          </w:p>
        </w:tc>
        <w:tc>
          <w:tcPr>
            <w:tcW w:w="1362" w:type="dxa"/>
            <w:tcBorders>
              <w:top w:val="single" w:sz="2" w:space="0" w:color="FFFFFF" w:themeColor="background1"/>
              <w:left w:val="single" w:sz="2" w:space="0" w:color="FFFFFF" w:themeColor="background1"/>
              <w:right w:val="single" w:sz="2" w:space="0" w:color="FFFFFF" w:themeColor="background1"/>
            </w:tcBorders>
            <w:hideMark/>
          </w:tcPr>
          <w:p w14:paraId="5A17638B"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95% CI</w:t>
            </w:r>
          </w:p>
        </w:tc>
        <w:tc>
          <w:tcPr>
            <w:tcW w:w="1483" w:type="dxa"/>
            <w:tcBorders>
              <w:top w:val="single" w:sz="2" w:space="0" w:color="FFFFFF" w:themeColor="background1"/>
              <w:left w:val="single" w:sz="2" w:space="0" w:color="FFFFFF" w:themeColor="background1"/>
              <w:right w:val="single" w:sz="2" w:space="0" w:color="FFFFFF" w:themeColor="background1"/>
            </w:tcBorders>
            <w:hideMark/>
          </w:tcPr>
          <w:p w14:paraId="4E52B0CC"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Number tested</w:t>
            </w:r>
          </w:p>
        </w:tc>
        <w:tc>
          <w:tcPr>
            <w:tcW w:w="1770" w:type="dxa"/>
            <w:tcBorders>
              <w:top w:val="single" w:sz="2" w:space="0" w:color="FFFFFF" w:themeColor="background1"/>
              <w:left w:val="single" w:sz="2" w:space="0" w:color="FFFFFF" w:themeColor="background1"/>
              <w:right w:val="single" w:sz="2" w:space="0" w:color="FFFFFF" w:themeColor="background1"/>
            </w:tcBorders>
            <w:hideMark/>
          </w:tcPr>
          <w:p w14:paraId="55557220"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w:t>
            </w:r>
          </w:p>
        </w:tc>
        <w:tc>
          <w:tcPr>
            <w:tcW w:w="1818" w:type="dxa"/>
            <w:tcBorders>
              <w:top w:val="single" w:sz="2" w:space="0" w:color="FFFFFF" w:themeColor="background1"/>
              <w:left w:val="single" w:sz="2" w:space="0" w:color="FFFFFF" w:themeColor="background1"/>
            </w:tcBorders>
            <w:hideMark/>
          </w:tcPr>
          <w:p w14:paraId="4A0824AB" w14:textId="77777777" w:rsidR="00E87D5B" w:rsidRPr="009E084A" w:rsidRDefault="00E87D5B" w:rsidP="00F8742F">
            <w:pPr>
              <w:pStyle w:val="NormalWeb"/>
              <w:jc w:val="center"/>
              <w:rPr>
                <w:color w:val="FFFFFF" w:themeColor="background1"/>
                <w:sz w:val="18"/>
                <w:szCs w:val="18"/>
              </w:rPr>
            </w:pPr>
            <w:r w:rsidRPr="009E084A">
              <w:rPr>
                <w:color w:val="FFFFFF" w:themeColor="background1"/>
                <w:sz w:val="18"/>
                <w:szCs w:val="18"/>
              </w:rPr>
              <w:t>95% CI</w:t>
            </w:r>
          </w:p>
        </w:tc>
      </w:tr>
      <w:tr w:rsidR="004F2B64" w:rsidRPr="009E084A" w14:paraId="0CDC2A50" w14:textId="77777777" w:rsidTr="009E084A">
        <w:tc>
          <w:tcPr>
            <w:tcW w:w="14938" w:type="dxa"/>
            <w:gridSpan w:val="10"/>
            <w:shd w:val="clear" w:color="auto" w:fill="808080" w:themeFill="background1" w:themeFillShade="80"/>
            <w:hideMark/>
          </w:tcPr>
          <w:p w14:paraId="2E339B5E" w14:textId="77777777" w:rsidR="00E87D5B" w:rsidRPr="009E084A" w:rsidRDefault="00E87D5B" w:rsidP="00A13725">
            <w:pPr>
              <w:pStyle w:val="NormalWeb"/>
              <w:rPr>
                <w:b/>
                <w:color w:val="FFFFFF" w:themeColor="background1"/>
                <w:sz w:val="18"/>
                <w:szCs w:val="18"/>
              </w:rPr>
            </w:pPr>
            <w:r w:rsidRPr="009E084A">
              <w:rPr>
                <w:b/>
                <w:color w:val="FFFFFF" w:themeColor="background1"/>
                <w:sz w:val="18"/>
                <w:szCs w:val="18"/>
              </w:rPr>
              <w:t>Positive or equivocal</w:t>
            </w:r>
          </w:p>
        </w:tc>
      </w:tr>
      <w:tr w:rsidR="000A5606" w:rsidRPr="009E084A" w14:paraId="6D41A1AA"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754FE546" w14:textId="77777777" w:rsidR="00E87D5B" w:rsidRPr="009E084A" w:rsidRDefault="00E87D5B">
            <w:pPr>
              <w:pStyle w:val="NormalWeb"/>
              <w:rPr>
                <w:sz w:val="18"/>
                <w:szCs w:val="18"/>
              </w:rPr>
            </w:pPr>
            <w:r w:rsidRPr="009E084A">
              <w:rPr>
                <w:sz w:val="18"/>
                <w:szCs w:val="18"/>
              </w:rPr>
              <w:t>1</w:t>
            </w:r>
          </w:p>
        </w:tc>
        <w:tc>
          <w:tcPr>
            <w:tcW w:w="1402" w:type="dxa"/>
            <w:hideMark/>
          </w:tcPr>
          <w:p w14:paraId="151BA0B3" w14:textId="77777777" w:rsidR="00E87D5B" w:rsidRPr="009E084A" w:rsidRDefault="00E87D5B" w:rsidP="00F8742F">
            <w:pPr>
              <w:pStyle w:val="NormalWeb"/>
              <w:jc w:val="center"/>
              <w:rPr>
                <w:sz w:val="18"/>
                <w:szCs w:val="18"/>
              </w:rPr>
            </w:pPr>
            <w:r w:rsidRPr="009E084A">
              <w:rPr>
                <w:sz w:val="18"/>
                <w:szCs w:val="18"/>
              </w:rPr>
              <w:t>333</w:t>
            </w:r>
          </w:p>
        </w:tc>
        <w:tc>
          <w:tcPr>
            <w:tcW w:w="1134" w:type="dxa"/>
            <w:hideMark/>
          </w:tcPr>
          <w:p w14:paraId="5FF0A6A7" w14:textId="77777777" w:rsidR="00E87D5B" w:rsidRPr="009E084A" w:rsidRDefault="00E87D5B" w:rsidP="00F8742F">
            <w:pPr>
              <w:pStyle w:val="NormalWeb"/>
              <w:jc w:val="center"/>
              <w:rPr>
                <w:sz w:val="18"/>
                <w:szCs w:val="18"/>
              </w:rPr>
            </w:pPr>
            <w:r w:rsidRPr="009E084A">
              <w:rPr>
                <w:sz w:val="18"/>
                <w:szCs w:val="18"/>
              </w:rPr>
              <w:t>57.7%</w:t>
            </w:r>
          </w:p>
        </w:tc>
        <w:tc>
          <w:tcPr>
            <w:tcW w:w="1131" w:type="dxa"/>
            <w:hideMark/>
          </w:tcPr>
          <w:p w14:paraId="2E363447" w14:textId="77777777" w:rsidR="00E87D5B" w:rsidRPr="009E084A" w:rsidRDefault="00E87D5B" w:rsidP="00F8742F">
            <w:pPr>
              <w:pStyle w:val="NormalWeb"/>
              <w:jc w:val="center"/>
              <w:rPr>
                <w:sz w:val="18"/>
                <w:szCs w:val="18"/>
              </w:rPr>
            </w:pPr>
            <w:r w:rsidRPr="009E084A">
              <w:rPr>
                <w:sz w:val="18"/>
                <w:szCs w:val="18"/>
              </w:rPr>
              <w:t>52.3–62.9%</w:t>
            </w:r>
          </w:p>
        </w:tc>
        <w:tc>
          <w:tcPr>
            <w:tcW w:w="1413" w:type="dxa"/>
            <w:hideMark/>
          </w:tcPr>
          <w:p w14:paraId="708058F0" w14:textId="77777777" w:rsidR="00E87D5B" w:rsidRPr="009E084A" w:rsidRDefault="00E87D5B" w:rsidP="00F8742F">
            <w:pPr>
              <w:pStyle w:val="NormalWeb"/>
              <w:jc w:val="center"/>
              <w:rPr>
                <w:sz w:val="18"/>
                <w:szCs w:val="18"/>
              </w:rPr>
            </w:pPr>
            <w:r w:rsidRPr="009E084A">
              <w:rPr>
                <w:sz w:val="18"/>
                <w:szCs w:val="18"/>
              </w:rPr>
              <w:t>208</w:t>
            </w:r>
          </w:p>
        </w:tc>
        <w:tc>
          <w:tcPr>
            <w:tcW w:w="1992" w:type="dxa"/>
            <w:hideMark/>
          </w:tcPr>
          <w:p w14:paraId="06E0E487" w14:textId="77777777" w:rsidR="00E87D5B" w:rsidRPr="009E084A" w:rsidRDefault="00E87D5B" w:rsidP="00F8742F">
            <w:pPr>
              <w:pStyle w:val="NormalWeb"/>
              <w:jc w:val="center"/>
              <w:rPr>
                <w:sz w:val="18"/>
                <w:szCs w:val="18"/>
              </w:rPr>
            </w:pPr>
            <w:r w:rsidRPr="009E084A">
              <w:rPr>
                <w:sz w:val="18"/>
                <w:szCs w:val="18"/>
              </w:rPr>
              <w:t xml:space="preserve">48.4% </w:t>
            </w:r>
            <w:r w:rsidRPr="009E084A">
              <w:rPr>
                <w:sz w:val="18"/>
                <w:szCs w:val="18"/>
                <w:vertAlign w:val="superscript"/>
              </w:rPr>
              <w:t>a</w:t>
            </w:r>
          </w:p>
        </w:tc>
        <w:tc>
          <w:tcPr>
            <w:tcW w:w="1362" w:type="dxa"/>
            <w:hideMark/>
          </w:tcPr>
          <w:p w14:paraId="7CABD3E6" w14:textId="77777777" w:rsidR="00E87D5B" w:rsidRPr="009E084A" w:rsidRDefault="00E87D5B" w:rsidP="00F8742F">
            <w:pPr>
              <w:pStyle w:val="NormalWeb"/>
              <w:jc w:val="center"/>
              <w:rPr>
                <w:sz w:val="18"/>
                <w:szCs w:val="18"/>
              </w:rPr>
            </w:pPr>
            <w:r w:rsidRPr="009E084A">
              <w:rPr>
                <w:sz w:val="18"/>
                <w:szCs w:val="18"/>
              </w:rPr>
              <w:t>41.3–55.6%</w:t>
            </w:r>
          </w:p>
        </w:tc>
        <w:tc>
          <w:tcPr>
            <w:tcW w:w="1483" w:type="dxa"/>
            <w:hideMark/>
          </w:tcPr>
          <w:p w14:paraId="66ED1BFC" w14:textId="77777777" w:rsidR="00E87D5B" w:rsidRPr="009E084A" w:rsidRDefault="00E87D5B" w:rsidP="00F8742F">
            <w:pPr>
              <w:pStyle w:val="NormalWeb"/>
              <w:jc w:val="center"/>
              <w:rPr>
                <w:sz w:val="18"/>
                <w:szCs w:val="18"/>
              </w:rPr>
            </w:pPr>
            <w:r w:rsidRPr="009E084A">
              <w:rPr>
                <w:sz w:val="18"/>
                <w:szCs w:val="18"/>
              </w:rPr>
              <w:t>183</w:t>
            </w:r>
          </w:p>
        </w:tc>
        <w:tc>
          <w:tcPr>
            <w:tcW w:w="1770" w:type="dxa"/>
            <w:hideMark/>
          </w:tcPr>
          <w:p w14:paraId="31576F16" w14:textId="77777777" w:rsidR="00E87D5B" w:rsidRPr="009E084A" w:rsidRDefault="00E87D5B" w:rsidP="00F8742F">
            <w:pPr>
              <w:pStyle w:val="NormalWeb"/>
              <w:jc w:val="center"/>
              <w:rPr>
                <w:sz w:val="18"/>
                <w:szCs w:val="18"/>
              </w:rPr>
            </w:pPr>
            <w:r w:rsidRPr="009E084A">
              <w:rPr>
                <w:sz w:val="18"/>
                <w:szCs w:val="18"/>
              </w:rPr>
              <w:t>66.1%</w:t>
            </w:r>
          </w:p>
        </w:tc>
        <w:tc>
          <w:tcPr>
            <w:tcW w:w="1818" w:type="dxa"/>
            <w:hideMark/>
          </w:tcPr>
          <w:p w14:paraId="024D5EFC" w14:textId="77777777" w:rsidR="00E87D5B" w:rsidRPr="009E084A" w:rsidRDefault="00E87D5B" w:rsidP="00F8742F">
            <w:pPr>
              <w:pStyle w:val="NormalWeb"/>
              <w:jc w:val="center"/>
              <w:rPr>
                <w:sz w:val="18"/>
                <w:szCs w:val="18"/>
              </w:rPr>
            </w:pPr>
            <w:r w:rsidRPr="009E084A">
              <w:rPr>
                <w:sz w:val="18"/>
                <w:szCs w:val="18"/>
              </w:rPr>
              <w:t>58.4–73.1%</w:t>
            </w:r>
          </w:p>
        </w:tc>
      </w:tr>
      <w:tr w:rsidR="000A5606" w:rsidRPr="009E084A" w14:paraId="49B5A2AF" w14:textId="77777777" w:rsidTr="009E084A">
        <w:tc>
          <w:tcPr>
            <w:tcW w:w="0" w:type="auto"/>
            <w:hideMark/>
          </w:tcPr>
          <w:p w14:paraId="09E3F8D7" w14:textId="77777777" w:rsidR="00E87D5B" w:rsidRPr="009E084A" w:rsidRDefault="00E87D5B">
            <w:pPr>
              <w:pStyle w:val="NormalWeb"/>
              <w:rPr>
                <w:sz w:val="18"/>
                <w:szCs w:val="18"/>
              </w:rPr>
            </w:pPr>
            <w:r w:rsidRPr="009E084A">
              <w:rPr>
                <w:sz w:val="18"/>
                <w:szCs w:val="18"/>
              </w:rPr>
              <w:t>2–4</w:t>
            </w:r>
          </w:p>
        </w:tc>
        <w:tc>
          <w:tcPr>
            <w:tcW w:w="1402" w:type="dxa"/>
            <w:hideMark/>
          </w:tcPr>
          <w:p w14:paraId="09CE00E3" w14:textId="77777777" w:rsidR="00E87D5B" w:rsidRPr="009E084A" w:rsidRDefault="00E87D5B" w:rsidP="00F8742F">
            <w:pPr>
              <w:pStyle w:val="NormalWeb"/>
              <w:jc w:val="center"/>
              <w:rPr>
                <w:sz w:val="18"/>
                <w:szCs w:val="18"/>
              </w:rPr>
            </w:pPr>
            <w:r w:rsidRPr="009E084A">
              <w:rPr>
                <w:sz w:val="18"/>
                <w:szCs w:val="18"/>
              </w:rPr>
              <w:t>439</w:t>
            </w:r>
          </w:p>
        </w:tc>
        <w:tc>
          <w:tcPr>
            <w:tcW w:w="1134" w:type="dxa"/>
            <w:hideMark/>
          </w:tcPr>
          <w:p w14:paraId="3F04C175" w14:textId="77777777" w:rsidR="00E87D5B" w:rsidRPr="009E084A" w:rsidRDefault="00E87D5B" w:rsidP="00F8742F">
            <w:pPr>
              <w:pStyle w:val="NormalWeb"/>
              <w:jc w:val="center"/>
              <w:rPr>
                <w:sz w:val="18"/>
                <w:szCs w:val="18"/>
              </w:rPr>
            </w:pPr>
            <w:r w:rsidRPr="009E084A">
              <w:rPr>
                <w:sz w:val="18"/>
                <w:szCs w:val="18"/>
              </w:rPr>
              <w:t xml:space="preserve">71.1% </w:t>
            </w:r>
            <w:r w:rsidRPr="009E084A">
              <w:rPr>
                <w:sz w:val="18"/>
                <w:szCs w:val="18"/>
                <w:vertAlign w:val="superscript"/>
              </w:rPr>
              <w:t>a</w:t>
            </w:r>
          </w:p>
        </w:tc>
        <w:tc>
          <w:tcPr>
            <w:tcW w:w="1131" w:type="dxa"/>
            <w:hideMark/>
          </w:tcPr>
          <w:p w14:paraId="347E79CD" w14:textId="77777777" w:rsidR="00E87D5B" w:rsidRPr="009E084A" w:rsidRDefault="00E87D5B" w:rsidP="00F8742F">
            <w:pPr>
              <w:pStyle w:val="NormalWeb"/>
              <w:jc w:val="center"/>
              <w:rPr>
                <w:sz w:val="18"/>
                <w:szCs w:val="18"/>
              </w:rPr>
            </w:pPr>
            <w:r w:rsidRPr="009E084A">
              <w:rPr>
                <w:sz w:val="18"/>
                <w:szCs w:val="18"/>
              </w:rPr>
              <w:t>66.6–75.1%</w:t>
            </w:r>
          </w:p>
        </w:tc>
        <w:tc>
          <w:tcPr>
            <w:tcW w:w="1413" w:type="dxa"/>
            <w:hideMark/>
          </w:tcPr>
          <w:p w14:paraId="73136E35" w14:textId="77777777" w:rsidR="00E87D5B" w:rsidRPr="009E084A" w:rsidRDefault="00E87D5B" w:rsidP="00F8742F">
            <w:pPr>
              <w:pStyle w:val="NormalWeb"/>
              <w:jc w:val="center"/>
              <w:rPr>
                <w:sz w:val="18"/>
                <w:szCs w:val="18"/>
              </w:rPr>
            </w:pPr>
            <w:r w:rsidRPr="009E084A">
              <w:rPr>
                <w:sz w:val="18"/>
                <w:szCs w:val="18"/>
              </w:rPr>
              <w:t>601</w:t>
            </w:r>
          </w:p>
        </w:tc>
        <w:tc>
          <w:tcPr>
            <w:tcW w:w="1992" w:type="dxa"/>
            <w:hideMark/>
          </w:tcPr>
          <w:p w14:paraId="4B77E50F" w14:textId="77777777" w:rsidR="00E87D5B" w:rsidRPr="009E084A" w:rsidRDefault="00E87D5B" w:rsidP="00F8742F">
            <w:pPr>
              <w:pStyle w:val="NormalWeb"/>
              <w:jc w:val="center"/>
              <w:rPr>
                <w:sz w:val="18"/>
                <w:szCs w:val="18"/>
              </w:rPr>
            </w:pPr>
            <w:r w:rsidRPr="009E084A">
              <w:rPr>
                <w:sz w:val="18"/>
                <w:szCs w:val="18"/>
              </w:rPr>
              <w:t>74.9%</w:t>
            </w:r>
          </w:p>
        </w:tc>
        <w:tc>
          <w:tcPr>
            <w:tcW w:w="1362" w:type="dxa"/>
            <w:hideMark/>
          </w:tcPr>
          <w:p w14:paraId="519B4963" w14:textId="77777777" w:rsidR="00E87D5B" w:rsidRPr="009E084A" w:rsidRDefault="00E87D5B" w:rsidP="00F8742F">
            <w:pPr>
              <w:pStyle w:val="NormalWeb"/>
              <w:jc w:val="center"/>
              <w:rPr>
                <w:sz w:val="18"/>
                <w:szCs w:val="18"/>
              </w:rPr>
            </w:pPr>
            <w:r w:rsidRPr="009E084A">
              <w:rPr>
                <w:sz w:val="18"/>
                <w:szCs w:val="18"/>
              </w:rPr>
              <w:t>71.0–78.5%</w:t>
            </w:r>
          </w:p>
        </w:tc>
        <w:tc>
          <w:tcPr>
            <w:tcW w:w="1483" w:type="dxa"/>
            <w:hideMark/>
          </w:tcPr>
          <w:p w14:paraId="4D5B4C1B" w14:textId="77777777" w:rsidR="00E87D5B" w:rsidRPr="009E084A" w:rsidRDefault="00E87D5B" w:rsidP="00F8742F">
            <w:pPr>
              <w:pStyle w:val="NormalWeb"/>
              <w:jc w:val="center"/>
              <w:rPr>
                <w:sz w:val="18"/>
                <w:szCs w:val="18"/>
              </w:rPr>
            </w:pPr>
            <w:r w:rsidRPr="009E084A">
              <w:rPr>
                <w:sz w:val="18"/>
                <w:szCs w:val="18"/>
              </w:rPr>
              <w:t>287</w:t>
            </w:r>
          </w:p>
        </w:tc>
        <w:tc>
          <w:tcPr>
            <w:tcW w:w="1770" w:type="dxa"/>
            <w:hideMark/>
          </w:tcPr>
          <w:p w14:paraId="42838C4A" w14:textId="77777777" w:rsidR="00E87D5B" w:rsidRPr="009E084A" w:rsidRDefault="00E87D5B" w:rsidP="00F8742F">
            <w:pPr>
              <w:pStyle w:val="NormalWeb"/>
              <w:jc w:val="center"/>
              <w:rPr>
                <w:sz w:val="18"/>
                <w:szCs w:val="18"/>
              </w:rPr>
            </w:pPr>
            <w:r w:rsidRPr="009E084A">
              <w:rPr>
                <w:sz w:val="18"/>
                <w:szCs w:val="18"/>
              </w:rPr>
              <w:t>80.8%</w:t>
            </w:r>
          </w:p>
        </w:tc>
        <w:tc>
          <w:tcPr>
            <w:tcW w:w="1818" w:type="dxa"/>
            <w:hideMark/>
          </w:tcPr>
          <w:p w14:paraId="4BA9BC9D" w14:textId="77777777" w:rsidR="00E87D5B" w:rsidRPr="009E084A" w:rsidRDefault="00E87D5B" w:rsidP="00F8742F">
            <w:pPr>
              <w:pStyle w:val="NormalWeb"/>
              <w:jc w:val="center"/>
              <w:rPr>
                <w:sz w:val="18"/>
                <w:szCs w:val="18"/>
              </w:rPr>
            </w:pPr>
            <w:r w:rsidRPr="009E084A">
              <w:rPr>
                <w:sz w:val="18"/>
                <w:szCs w:val="18"/>
              </w:rPr>
              <w:t>75.8–84.9%</w:t>
            </w:r>
          </w:p>
        </w:tc>
      </w:tr>
      <w:tr w:rsidR="000A5606" w:rsidRPr="009E084A" w14:paraId="2FEA1702"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582EF0A2" w14:textId="77777777" w:rsidR="00E87D5B" w:rsidRPr="009E084A" w:rsidRDefault="00E87D5B">
            <w:pPr>
              <w:pStyle w:val="NormalWeb"/>
              <w:rPr>
                <w:sz w:val="18"/>
                <w:szCs w:val="18"/>
              </w:rPr>
            </w:pPr>
            <w:r w:rsidRPr="009E084A">
              <w:rPr>
                <w:sz w:val="18"/>
                <w:szCs w:val="18"/>
              </w:rPr>
              <w:t>5–9</w:t>
            </w:r>
          </w:p>
        </w:tc>
        <w:tc>
          <w:tcPr>
            <w:tcW w:w="1402" w:type="dxa"/>
            <w:hideMark/>
          </w:tcPr>
          <w:p w14:paraId="1BD2679F" w14:textId="77777777" w:rsidR="00E87D5B" w:rsidRPr="009E084A" w:rsidRDefault="00E87D5B" w:rsidP="00F8742F">
            <w:pPr>
              <w:pStyle w:val="NormalWeb"/>
              <w:jc w:val="center"/>
              <w:rPr>
                <w:sz w:val="18"/>
                <w:szCs w:val="18"/>
              </w:rPr>
            </w:pPr>
            <w:r w:rsidRPr="009E084A">
              <w:rPr>
                <w:sz w:val="18"/>
                <w:szCs w:val="18"/>
              </w:rPr>
              <w:t>315</w:t>
            </w:r>
          </w:p>
        </w:tc>
        <w:tc>
          <w:tcPr>
            <w:tcW w:w="1134" w:type="dxa"/>
            <w:hideMark/>
          </w:tcPr>
          <w:p w14:paraId="71DE0065" w14:textId="77777777" w:rsidR="00E87D5B" w:rsidRPr="009E084A" w:rsidRDefault="00E87D5B" w:rsidP="00F8742F">
            <w:pPr>
              <w:pStyle w:val="NormalWeb"/>
              <w:jc w:val="center"/>
              <w:rPr>
                <w:sz w:val="18"/>
                <w:szCs w:val="18"/>
              </w:rPr>
            </w:pPr>
            <w:r w:rsidRPr="009E084A">
              <w:rPr>
                <w:sz w:val="18"/>
                <w:szCs w:val="18"/>
              </w:rPr>
              <w:t xml:space="preserve">79.4% </w:t>
            </w:r>
            <w:r w:rsidRPr="009E084A">
              <w:rPr>
                <w:sz w:val="18"/>
                <w:szCs w:val="18"/>
                <w:vertAlign w:val="superscript"/>
              </w:rPr>
              <w:t>a</w:t>
            </w:r>
          </w:p>
        </w:tc>
        <w:tc>
          <w:tcPr>
            <w:tcW w:w="1131" w:type="dxa"/>
            <w:hideMark/>
          </w:tcPr>
          <w:p w14:paraId="6CC22763" w14:textId="77777777" w:rsidR="00E87D5B" w:rsidRPr="009E084A" w:rsidRDefault="00E87D5B" w:rsidP="00F8742F">
            <w:pPr>
              <w:pStyle w:val="NormalWeb"/>
              <w:jc w:val="center"/>
              <w:rPr>
                <w:sz w:val="18"/>
                <w:szCs w:val="18"/>
              </w:rPr>
            </w:pPr>
            <w:r w:rsidRPr="009E084A">
              <w:rPr>
                <w:sz w:val="18"/>
                <w:szCs w:val="18"/>
              </w:rPr>
              <w:t>74.5–83.5%</w:t>
            </w:r>
          </w:p>
        </w:tc>
        <w:tc>
          <w:tcPr>
            <w:tcW w:w="1413" w:type="dxa"/>
            <w:hideMark/>
          </w:tcPr>
          <w:p w14:paraId="6F6DF52D" w14:textId="77777777" w:rsidR="00E87D5B" w:rsidRPr="009E084A" w:rsidRDefault="00E87D5B" w:rsidP="00F8742F">
            <w:pPr>
              <w:pStyle w:val="NormalWeb"/>
              <w:jc w:val="center"/>
              <w:rPr>
                <w:sz w:val="18"/>
                <w:szCs w:val="18"/>
              </w:rPr>
            </w:pPr>
            <w:r w:rsidRPr="009E084A">
              <w:rPr>
                <w:sz w:val="18"/>
                <w:szCs w:val="18"/>
              </w:rPr>
              <w:t>464</w:t>
            </w:r>
          </w:p>
        </w:tc>
        <w:tc>
          <w:tcPr>
            <w:tcW w:w="1992" w:type="dxa"/>
            <w:hideMark/>
          </w:tcPr>
          <w:p w14:paraId="6863B50F" w14:textId="77777777" w:rsidR="00E87D5B" w:rsidRPr="009E084A" w:rsidRDefault="00E87D5B" w:rsidP="00F8742F">
            <w:pPr>
              <w:pStyle w:val="NormalWeb"/>
              <w:jc w:val="center"/>
              <w:rPr>
                <w:sz w:val="18"/>
                <w:szCs w:val="18"/>
              </w:rPr>
            </w:pPr>
            <w:r w:rsidRPr="009E084A">
              <w:rPr>
                <w:sz w:val="18"/>
                <w:szCs w:val="18"/>
              </w:rPr>
              <w:t>84.2%</w:t>
            </w:r>
          </w:p>
        </w:tc>
        <w:tc>
          <w:tcPr>
            <w:tcW w:w="1362" w:type="dxa"/>
            <w:hideMark/>
          </w:tcPr>
          <w:p w14:paraId="5425E813" w14:textId="77777777" w:rsidR="00E87D5B" w:rsidRPr="009E084A" w:rsidRDefault="00E87D5B" w:rsidP="00F8742F">
            <w:pPr>
              <w:pStyle w:val="NormalWeb"/>
              <w:jc w:val="center"/>
              <w:rPr>
                <w:sz w:val="18"/>
                <w:szCs w:val="18"/>
              </w:rPr>
            </w:pPr>
            <w:r w:rsidRPr="009E084A">
              <w:rPr>
                <w:sz w:val="18"/>
                <w:szCs w:val="18"/>
              </w:rPr>
              <w:t>80.6–87.2%</w:t>
            </w:r>
          </w:p>
        </w:tc>
        <w:tc>
          <w:tcPr>
            <w:tcW w:w="1483" w:type="dxa"/>
            <w:hideMark/>
          </w:tcPr>
          <w:p w14:paraId="4D4502C2" w14:textId="77777777" w:rsidR="00E87D5B" w:rsidRPr="009E084A" w:rsidRDefault="00E87D5B" w:rsidP="00F8742F">
            <w:pPr>
              <w:pStyle w:val="NormalWeb"/>
              <w:jc w:val="center"/>
              <w:rPr>
                <w:sz w:val="18"/>
                <w:szCs w:val="18"/>
              </w:rPr>
            </w:pPr>
            <w:r w:rsidRPr="009E084A">
              <w:rPr>
                <w:sz w:val="18"/>
                <w:szCs w:val="18"/>
              </w:rPr>
              <w:t>199</w:t>
            </w:r>
          </w:p>
        </w:tc>
        <w:tc>
          <w:tcPr>
            <w:tcW w:w="1770" w:type="dxa"/>
            <w:hideMark/>
          </w:tcPr>
          <w:p w14:paraId="6B87AEDB" w14:textId="77777777" w:rsidR="00E87D5B" w:rsidRPr="009E084A" w:rsidRDefault="00E87D5B" w:rsidP="00F8742F">
            <w:pPr>
              <w:pStyle w:val="NormalWeb"/>
              <w:jc w:val="center"/>
              <w:rPr>
                <w:sz w:val="18"/>
                <w:szCs w:val="18"/>
              </w:rPr>
            </w:pPr>
            <w:r w:rsidRPr="009E084A">
              <w:rPr>
                <w:sz w:val="18"/>
                <w:szCs w:val="18"/>
              </w:rPr>
              <w:t>88.3%</w:t>
            </w:r>
          </w:p>
        </w:tc>
        <w:tc>
          <w:tcPr>
            <w:tcW w:w="1818" w:type="dxa"/>
            <w:hideMark/>
          </w:tcPr>
          <w:p w14:paraId="4F4BF45B" w14:textId="77777777" w:rsidR="00E87D5B" w:rsidRPr="009E084A" w:rsidRDefault="00E87D5B" w:rsidP="00F8742F">
            <w:pPr>
              <w:pStyle w:val="NormalWeb"/>
              <w:jc w:val="center"/>
              <w:rPr>
                <w:sz w:val="18"/>
                <w:szCs w:val="18"/>
              </w:rPr>
            </w:pPr>
            <w:r w:rsidRPr="009E084A">
              <w:rPr>
                <w:sz w:val="18"/>
                <w:szCs w:val="18"/>
              </w:rPr>
              <w:t>83.1–92.1%</w:t>
            </w:r>
          </w:p>
        </w:tc>
      </w:tr>
      <w:tr w:rsidR="000A5606" w:rsidRPr="009E084A" w14:paraId="4C6158B7" w14:textId="77777777" w:rsidTr="009E084A">
        <w:tc>
          <w:tcPr>
            <w:tcW w:w="0" w:type="auto"/>
            <w:hideMark/>
          </w:tcPr>
          <w:p w14:paraId="42817A4C" w14:textId="77777777" w:rsidR="00E87D5B" w:rsidRPr="009E084A" w:rsidRDefault="00E87D5B">
            <w:pPr>
              <w:pStyle w:val="NormalWeb"/>
              <w:rPr>
                <w:sz w:val="18"/>
                <w:szCs w:val="18"/>
              </w:rPr>
            </w:pPr>
            <w:r w:rsidRPr="009E084A">
              <w:rPr>
                <w:sz w:val="18"/>
                <w:szCs w:val="18"/>
              </w:rPr>
              <w:t>10–14</w:t>
            </w:r>
          </w:p>
        </w:tc>
        <w:tc>
          <w:tcPr>
            <w:tcW w:w="1402" w:type="dxa"/>
            <w:hideMark/>
          </w:tcPr>
          <w:p w14:paraId="7C3D95E4" w14:textId="77777777" w:rsidR="00E87D5B" w:rsidRPr="009E084A" w:rsidRDefault="00E87D5B" w:rsidP="00F8742F">
            <w:pPr>
              <w:pStyle w:val="NormalWeb"/>
              <w:jc w:val="center"/>
              <w:rPr>
                <w:sz w:val="18"/>
                <w:szCs w:val="18"/>
              </w:rPr>
            </w:pPr>
            <w:r w:rsidRPr="009E084A">
              <w:rPr>
                <w:sz w:val="18"/>
                <w:szCs w:val="18"/>
              </w:rPr>
              <w:t>197</w:t>
            </w:r>
          </w:p>
        </w:tc>
        <w:tc>
          <w:tcPr>
            <w:tcW w:w="1134" w:type="dxa"/>
            <w:hideMark/>
          </w:tcPr>
          <w:p w14:paraId="61AC3553" w14:textId="77777777" w:rsidR="00E87D5B" w:rsidRPr="009E084A" w:rsidRDefault="00E87D5B" w:rsidP="00F8742F">
            <w:pPr>
              <w:pStyle w:val="NormalWeb"/>
              <w:jc w:val="center"/>
              <w:rPr>
                <w:sz w:val="18"/>
                <w:szCs w:val="18"/>
              </w:rPr>
            </w:pPr>
            <w:r w:rsidRPr="009E084A">
              <w:rPr>
                <w:sz w:val="18"/>
                <w:szCs w:val="18"/>
              </w:rPr>
              <w:t>79.7%</w:t>
            </w:r>
          </w:p>
        </w:tc>
        <w:tc>
          <w:tcPr>
            <w:tcW w:w="1131" w:type="dxa"/>
            <w:hideMark/>
          </w:tcPr>
          <w:p w14:paraId="2686A7C4" w14:textId="77777777" w:rsidR="00E87D5B" w:rsidRPr="009E084A" w:rsidRDefault="00E87D5B" w:rsidP="00F8742F">
            <w:pPr>
              <w:pStyle w:val="NormalWeb"/>
              <w:jc w:val="center"/>
              <w:rPr>
                <w:sz w:val="18"/>
                <w:szCs w:val="18"/>
              </w:rPr>
            </w:pPr>
            <w:r w:rsidRPr="009E084A">
              <w:rPr>
                <w:sz w:val="18"/>
                <w:szCs w:val="18"/>
              </w:rPr>
              <w:t>73.5–84.7%</w:t>
            </w:r>
          </w:p>
        </w:tc>
        <w:tc>
          <w:tcPr>
            <w:tcW w:w="1413" w:type="dxa"/>
            <w:hideMark/>
          </w:tcPr>
          <w:p w14:paraId="16DED249" w14:textId="77777777" w:rsidR="00E87D5B" w:rsidRPr="009E084A" w:rsidRDefault="00E87D5B" w:rsidP="00F8742F">
            <w:pPr>
              <w:pStyle w:val="NormalWeb"/>
              <w:jc w:val="center"/>
              <w:rPr>
                <w:sz w:val="18"/>
                <w:szCs w:val="18"/>
              </w:rPr>
            </w:pPr>
            <w:r w:rsidRPr="009E084A">
              <w:rPr>
                <w:sz w:val="18"/>
                <w:szCs w:val="18"/>
              </w:rPr>
              <w:t>239</w:t>
            </w:r>
          </w:p>
        </w:tc>
        <w:tc>
          <w:tcPr>
            <w:tcW w:w="1992" w:type="dxa"/>
            <w:hideMark/>
          </w:tcPr>
          <w:p w14:paraId="7D360A51" w14:textId="77777777" w:rsidR="00E87D5B" w:rsidRPr="009E084A" w:rsidRDefault="00E87D5B" w:rsidP="00F8742F">
            <w:pPr>
              <w:pStyle w:val="NormalWeb"/>
              <w:jc w:val="center"/>
              <w:rPr>
                <w:sz w:val="18"/>
                <w:szCs w:val="18"/>
              </w:rPr>
            </w:pPr>
            <w:r w:rsidRPr="009E084A">
              <w:rPr>
                <w:sz w:val="18"/>
                <w:szCs w:val="18"/>
              </w:rPr>
              <w:t>76.6%</w:t>
            </w:r>
          </w:p>
        </w:tc>
        <w:tc>
          <w:tcPr>
            <w:tcW w:w="1362" w:type="dxa"/>
            <w:hideMark/>
          </w:tcPr>
          <w:p w14:paraId="1D36B06D" w14:textId="77777777" w:rsidR="00E87D5B" w:rsidRPr="009E084A" w:rsidRDefault="00E87D5B" w:rsidP="00F8742F">
            <w:pPr>
              <w:pStyle w:val="NormalWeb"/>
              <w:jc w:val="center"/>
              <w:rPr>
                <w:sz w:val="18"/>
                <w:szCs w:val="18"/>
              </w:rPr>
            </w:pPr>
            <w:r w:rsidRPr="009E084A">
              <w:rPr>
                <w:sz w:val="18"/>
                <w:szCs w:val="18"/>
              </w:rPr>
              <w:t>70.8–81.5%</w:t>
            </w:r>
          </w:p>
        </w:tc>
        <w:tc>
          <w:tcPr>
            <w:tcW w:w="1483" w:type="dxa"/>
            <w:hideMark/>
          </w:tcPr>
          <w:p w14:paraId="561B07C2"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66058639" w14:textId="77777777" w:rsidR="00E87D5B" w:rsidRPr="009E084A" w:rsidRDefault="00E87D5B" w:rsidP="00F8742F">
            <w:pPr>
              <w:pStyle w:val="NormalWeb"/>
              <w:jc w:val="center"/>
              <w:rPr>
                <w:sz w:val="18"/>
                <w:szCs w:val="18"/>
              </w:rPr>
            </w:pPr>
            <w:r w:rsidRPr="009E084A">
              <w:rPr>
                <w:sz w:val="18"/>
                <w:szCs w:val="18"/>
              </w:rPr>
              <w:t>81.2%</w:t>
            </w:r>
          </w:p>
        </w:tc>
        <w:tc>
          <w:tcPr>
            <w:tcW w:w="1818" w:type="dxa"/>
            <w:hideMark/>
          </w:tcPr>
          <w:p w14:paraId="7CFB365C" w14:textId="77777777" w:rsidR="00E87D5B" w:rsidRPr="009E084A" w:rsidRDefault="00E87D5B" w:rsidP="00F8742F">
            <w:pPr>
              <w:pStyle w:val="NormalWeb"/>
              <w:jc w:val="center"/>
              <w:rPr>
                <w:sz w:val="18"/>
                <w:szCs w:val="18"/>
              </w:rPr>
            </w:pPr>
            <w:r w:rsidRPr="009E084A">
              <w:rPr>
                <w:sz w:val="18"/>
                <w:szCs w:val="18"/>
              </w:rPr>
              <w:t>76.1–85.4%</w:t>
            </w:r>
          </w:p>
        </w:tc>
      </w:tr>
      <w:tr w:rsidR="000A5606" w:rsidRPr="009E084A" w14:paraId="15D96444"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4D953088" w14:textId="77777777" w:rsidR="00E87D5B" w:rsidRPr="009E084A" w:rsidRDefault="00E87D5B">
            <w:pPr>
              <w:pStyle w:val="NormalWeb"/>
              <w:rPr>
                <w:sz w:val="18"/>
                <w:szCs w:val="18"/>
              </w:rPr>
            </w:pPr>
            <w:r w:rsidRPr="009E084A">
              <w:rPr>
                <w:sz w:val="18"/>
                <w:szCs w:val="18"/>
              </w:rPr>
              <w:t>15–19</w:t>
            </w:r>
          </w:p>
        </w:tc>
        <w:tc>
          <w:tcPr>
            <w:tcW w:w="1402" w:type="dxa"/>
            <w:hideMark/>
          </w:tcPr>
          <w:p w14:paraId="6F73B941" w14:textId="77777777" w:rsidR="00E87D5B" w:rsidRPr="009E084A" w:rsidRDefault="00E87D5B" w:rsidP="00F8742F">
            <w:pPr>
              <w:pStyle w:val="NormalWeb"/>
              <w:jc w:val="center"/>
              <w:rPr>
                <w:sz w:val="18"/>
                <w:szCs w:val="18"/>
              </w:rPr>
            </w:pPr>
            <w:r w:rsidRPr="009E084A">
              <w:rPr>
                <w:sz w:val="18"/>
                <w:szCs w:val="18"/>
              </w:rPr>
              <w:t>266</w:t>
            </w:r>
          </w:p>
        </w:tc>
        <w:tc>
          <w:tcPr>
            <w:tcW w:w="1134" w:type="dxa"/>
            <w:hideMark/>
          </w:tcPr>
          <w:p w14:paraId="4596E960" w14:textId="77777777" w:rsidR="00E87D5B" w:rsidRPr="009E084A" w:rsidRDefault="00E87D5B" w:rsidP="00F8742F">
            <w:pPr>
              <w:pStyle w:val="NormalWeb"/>
              <w:jc w:val="center"/>
              <w:rPr>
                <w:sz w:val="18"/>
                <w:szCs w:val="18"/>
              </w:rPr>
            </w:pPr>
            <w:r w:rsidRPr="009E084A">
              <w:rPr>
                <w:sz w:val="18"/>
                <w:szCs w:val="18"/>
              </w:rPr>
              <w:t xml:space="preserve">68.0% </w:t>
            </w:r>
            <w:r w:rsidRPr="009E084A">
              <w:rPr>
                <w:sz w:val="18"/>
                <w:szCs w:val="18"/>
                <w:vertAlign w:val="superscript"/>
              </w:rPr>
              <w:t>a</w:t>
            </w:r>
          </w:p>
        </w:tc>
        <w:tc>
          <w:tcPr>
            <w:tcW w:w="1131" w:type="dxa"/>
            <w:hideMark/>
          </w:tcPr>
          <w:p w14:paraId="4983DDF8" w14:textId="77777777" w:rsidR="00E87D5B" w:rsidRPr="009E084A" w:rsidRDefault="00E87D5B" w:rsidP="00F8742F">
            <w:pPr>
              <w:pStyle w:val="NormalWeb"/>
              <w:jc w:val="center"/>
              <w:rPr>
                <w:sz w:val="18"/>
                <w:szCs w:val="18"/>
              </w:rPr>
            </w:pPr>
            <w:r w:rsidRPr="009E084A">
              <w:rPr>
                <w:sz w:val="18"/>
                <w:szCs w:val="18"/>
              </w:rPr>
              <w:t>62.2–73.4%</w:t>
            </w:r>
          </w:p>
        </w:tc>
        <w:tc>
          <w:tcPr>
            <w:tcW w:w="1413" w:type="dxa"/>
            <w:hideMark/>
          </w:tcPr>
          <w:p w14:paraId="62E7419E" w14:textId="77777777" w:rsidR="00E87D5B" w:rsidRPr="009E084A" w:rsidRDefault="00E87D5B" w:rsidP="00F8742F">
            <w:pPr>
              <w:pStyle w:val="NormalWeb"/>
              <w:jc w:val="center"/>
              <w:rPr>
                <w:sz w:val="18"/>
                <w:szCs w:val="18"/>
              </w:rPr>
            </w:pPr>
            <w:r w:rsidRPr="009E084A">
              <w:rPr>
                <w:sz w:val="18"/>
                <w:szCs w:val="18"/>
              </w:rPr>
              <w:t>196</w:t>
            </w:r>
          </w:p>
        </w:tc>
        <w:tc>
          <w:tcPr>
            <w:tcW w:w="1992" w:type="dxa"/>
            <w:hideMark/>
          </w:tcPr>
          <w:p w14:paraId="5CCD3206" w14:textId="77777777" w:rsidR="00E87D5B" w:rsidRPr="009E084A" w:rsidRDefault="00E87D5B" w:rsidP="00F8742F">
            <w:pPr>
              <w:pStyle w:val="NormalWeb"/>
              <w:jc w:val="center"/>
              <w:rPr>
                <w:sz w:val="18"/>
                <w:szCs w:val="18"/>
              </w:rPr>
            </w:pPr>
            <w:r w:rsidRPr="009E084A">
              <w:rPr>
                <w:sz w:val="18"/>
                <w:szCs w:val="18"/>
              </w:rPr>
              <w:t>75.0%</w:t>
            </w:r>
          </w:p>
        </w:tc>
        <w:tc>
          <w:tcPr>
            <w:tcW w:w="1362" w:type="dxa"/>
            <w:hideMark/>
          </w:tcPr>
          <w:p w14:paraId="4704F209" w14:textId="77777777" w:rsidR="00E87D5B" w:rsidRPr="009E084A" w:rsidRDefault="00E87D5B" w:rsidP="00F8742F">
            <w:pPr>
              <w:pStyle w:val="NormalWeb"/>
              <w:jc w:val="center"/>
              <w:rPr>
                <w:sz w:val="18"/>
                <w:szCs w:val="18"/>
              </w:rPr>
            </w:pPr>
            <w:r w:rsidRPr="009E084A">
              <w:rPr>
                <w:sz w:val="18"/>
                <w:szCs w:val="18"/>
              </w:rPr>
              <w:t>68.5–80.6%</w:t>
            </w:r>
          </w:p>
        </w:tc>
        <w:tc>
          <w:tcPr>
            <w:tcW w:w="1483" w:type="dxa"/>
            <w:hideMark/>
          </w:tcPr>
          <w:p w14:paraId="23C625A7"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039F3E1B" w14:textId="77777777" w:rsidR="00E87D5B" w:rsidRPr="009E084A" w:rsidRDefault="00E87D5B" w:rsidP="00F8742F">
            <w:pPr>
              <w:pStyle w:val="NormalWeb"/>
              <w:jc w:val="center"/>
              <w:rPr>
                <w:sz w:val="18"/>
                <w:szCs w:val="18"/>
              </w:rPr>
            </w:pPr>
            <w:r w:rsidRPr="009E084A">
              <w:rPr>
                <w:sz w:val="18"/>
                <w:szCs w:val="18"/>
              </w:rPr>
              <w:t>82.6%</w:t>
            </w:r>
          </w:p>
        </w:tc>
        <w:tc>
          <w:tcPr>
            <w:tcW w:w="1818" w:type="dxa"/>
            <w:hideMark/>
          </w:tcPr>
          <w:p w14:paraId="0F1E3B66" w14:textId="77777777" w:rsidR="00E87D5B" w:rsidRPr="009E084A" w:rsidRDefault="00E87D5B" w:rsidP="00F8742F">
            <w:pPr>
              <w:pStyle w:val="NormalWeb"/>
              <w:jc w:val="center"/>
              <w:rPr>
                <w:sz w:val="18"/>
                <w:szCs w:val="18"/>
              </w:rPr>
            </w:pPr>
            <w:r w:rsidRPr="009E084A">
              <w:rPr>
                <w:sz w:val="18"/>
                <w:szCs w:val="18"/>
              </w:rPr>
              <w:t>77.6–86.7%</w:t>
            </w:r>
          </w:p>
        </w:tc>
      </w:tr>
      <w:tr w:rsidR="000A5606" w:rsidRPr="009E084A" w14:paraId="78C5E63B" w14:textId="77777777" w:rsidTr="009E084A">
        <w:tc>
          <w:tcPr>
            <w:tcW w:w="0" w:type="auto"/>
            <w:hideMark/>
          </w:tcPr>
          <w:p w14:paraId="4FE83E9F" w14:textId="77777777" w:rsidR="00E87D5B" w:rsidRPr="009E084A" w:rsidRDefault="00E87D5B">
            <w:pPr>
              <w:pStyle w:val="NormalWeb"/>
              <w:rPr>
                <w:sz w:val="18"/>
                <w:szCs w:val="18"/>
              </w:rPr>
            </w:pPr>
            <w:r w:rsidRPr="009E084A">
              <w:rPr>
                <w:sz w:val="18"/>
                <w:szCs w:val="18"/>
              </w:rPr>
              <w:t>20–24</w:t>
            </w:r>
          </w:p>
        </w:tc>
        <w:tc>
          <w:tcPr>
            <w:tcW w:w="1402" w:type="dxa"/>
            <w:hideMark/>
          </w:tcPr>
          <w:p w14:paraId="1BB74343" w14:textId="77777777" w:rsidR="00E87D5B" w:rsidRPr="009E084A" w:rsidRDefault="00E87D5B" w:rsidP="00F8742F">
            <w:pPr>
              <w:pStyle w:val="NormalWeb"/>
              <w:jc w:val="center"/>
              <w:rPr>
                <w:sz w:val="18"/>
                <w:szCs w:val="18"/>
              </w:rPr>
            </w:pPr>
            <w:r w:rsidRPr="009E084A">
              <w:rPr>
                <w:sz w:val="18"/>
                <w:szCs w:val="18"/>
              </w:rPr>
              <w:t>96</w:t>
            </w:r>
          </w:p>
        </w:tc>
        <w:tc>
          <w:tcPr>
            <w:tcW w:w="1134" w:type="dxa"/>
            <w:hideMark/>
          </w:tcPr>
          <w:p w14:paraId="609C3196" w14:textId="77777777" w:rsidR="00E87D5B" w:rsidRPr="009E084A" w:rsidRDefault="00E87D5B" w:rsidP="00F8742F">
            <w:pPr>
              <w:pStyle w:val="NormalWeb"/>
              <w:jc w:val="center"/>
              <w:rPr>
                <w:sz w:val="18"/>
                <w:szCs w:val="18"/>
              </w:rPr>
            </w:pPr>
            <w:r w:rsidRPr="009E084A">
              <w:rPr>
                <w:sz w:val="18"/>
                <w:szCs w:val="18"/>
              </w:rPr>
              <w:t>79.2%</w:t>
            </w:r>
          </w:p>
        </w:tc>
        <w:tc>
          <w:tcPr>
            <w:tcW w:w="1131" w:type="dxa"/>
            <w:hideMark/>
          </w:tcPr>
          <w:p w14:paraId="632735EF" w14:textId="77777777" w:rsidR="00E87D5B" w:rsidRPr="009E084A" w:rsidRDefault="00E87D5B" w:rsidP="00F8742F">
            <w:pPr>
              <w:pStyle w:val="NormalWeb"/>
              <w:jc w:val="center"/>
              <w:rPr>
                <w:sz w:val="18"/>
                <w:szCs w:val="18"/>
              </w:rPr>
            </w:pPr>
            <w:r w:rsidRPr="009E084A">
              <w:rPr>
                <w:sz w:val="18"/>
                <w:szCs w:val="18"/>
              </w:rPr>
              <w:t>69.9–86.2%</w:t>
            </w:r>
          </w:p>
        </w:tc>
        <w:tc>
          <w:tcPr>
            <w:tcW w:w="1413" w:type="dxa"/>
            <w:hideMark/>
          </w:tcPr>
          <w:p w14:paraId="724D07FC" w14:textId="77777777" w:rsidR="00E87D5B" w:rsidRPr="009E084A" w:rsidRDefault="00E87D5B" w:rsidP="00F8742F">
            <w:pPr>
              <w:pStyle w:val="NormalWeb"/>
              <w:jc w:val="center"/>
              <w:rPr>
                <w:sz w:val="18"/>
                <w:szCs w:val="18"/>
              </w:rPr>
            </w:pPr>
            <w:r w:rsidRPr="009E084A">
              <w:rPr>
                <w:sz w:val="18"/>
                <w:szCs w:val="18"/>
              </w:rPr>
              <w:t>210</w:t>
            </w:r>
          </w:p>
        </w:tc>
        <w:tc>
          <w:tcPr>
            <w:tcW w:w="1992" w:type="dxa"/>
            <w:hideMark/>
          </w:tcPr>
          <w:p w14:paraId="1038398C" w14:textId="77777777" w:rsidR="00E87D5B" w:rsidRPr="009E084A" w:rsidRDefault="00E87D5B" w:rsidP="00F8742F">
            <w:pPr>
              <w:pStyle w:val="NormalWeb"/>
              <w:jc w:val="center"/>
              <w:rPr>
                <w:sz w:val="18"/>
                <w:szCs w:val="18"/>
              </w:rPr>
            </w:pPr>
            <w:r w:rsidRPr="009E084A">
              <w:rPr>
                <w:sz w:val="18"/>
                <w:szCs w:val="18"/>
              </w:rPr>
              <w:t>78.1%</w:t>
            </w:r>
          </w:p>
        </w:tc>
        <w:tc>
          <w:tcPr>
            <w:tcW w:w="1362" w:type="dxa"/>
            <w:hideMark/>
          </w:tcPr>
          <w:p w14:paraId="58047205" w14:textId="77777777" w:rsidR="00E87D5B" w:rsidRPr="009E084A" w:rsidRDefault="00E87D5B" w:rsidP="00F8742F">
            <w:pPr>
              <w:pStyle w:val="NormalWeb"/>
              <w:jc w:val="center"/>
              <w:rPr>
                <w:sz w:val="18"/>
                <w:szCs w:val="18"/>
              </w:rPr>
            </w:pPr>
            <w:r w:rsidRPr="009E084A">
              <w:rPr>
                <w:sz w:val="18"/>
                <w:szCs w:val="18"/>
              </w:rPr>
              <w:t>72.0–83.2%</w:t>
            </w:r>
          </w:p>
        </w:tc>
        <w:tc>
          <w:tcPr>
            <w:tcW w:w="1483" w:type="dxa"/>
            <w:hideMark/>
          </w:tcPr>
          <w:p w14:paraId="3D971291" w14:textId="77777777" w:rsidR="00E87D5B" w:rsidRPr="009E084A" w:rsidRDefault="00E87D5B" w:rsidP="00F8742F">
            <w:pPr>
              <w:pStyle w:val="NormalWeb"/>
              <w:jc w:val="center"/>
              <w:rPr>
                <w:sz w:val="18"/>
                <w:szCs w:val="18"/>
              </w:rPr>
            </w:pPr>
            <w:r w:rsidRPr="009E084A">
              <w:rPr>
                <w:sz w:val="18"/>
                <w:szCs w:val="18"/>
              </w:rPr>
              <w:t>250</w:t>
            </w:r>
          </w:p>
        </w:tc>
        <w:tc>
          <w:tcPr>
            <w:tcW w:w="1770" w:type="dxa"/>
            <w:hideMark/>
          </w:tcPr>
          <w:p w14:paraId="67B01BF7" w14:textId="77777777" w:rsidR="00E87D5B" w:rsidRPr="009E084A" w:rsidRDefault="00E87D5B" w:rsidP="00F8742F">
            <w:pPr>
              <w:pStyle w:val="NormalWeb"/>
              <w:jc w:val="center"/>
              <w:rPr>
                <w:sz w:val="18"/>
                <w:szCs w:val="18"/>
              </w:rPr>
            </w:pPr>
            <w:r w:rsidRPr="009E084A">
              <w:rPr>
                <w:sz w:val="18"/>
                <w:szCs w:val="18"/>
              </w:rPr>
              <w:t>80.6%</w:t>
            </w:r>
          </w:p>
        </w:tc>
        <w:tc>
          <w:tcPr>
            <w:tcW w:w="1818" w:type="dxa"/>
            <w:hideMark/>
          </w:tcPr>
          <w:p w14:paraId="6A2DC405" w14:textId="77777777" w:rsidR="00E87D5B" w:rsidRPr="009E084A" w:rsidRDefault="00E87D5B" w:rsidP="00F8742F">
            <w:pPr>
              <w:pStyle w:val="NormalWeb"/>
              <w:jc w:val="center"/>
              <w:rPr>
                <w:sz w:val="18"/>
                <w:szCs w:val="18"/>
              </w:rPr>
            </w:pPr>
            <w:r w:rsidRPr="009E084A">
              <w:rPr>
                <w:sz w:val="18"/>
                <w:szCs w:val="18"/>
              </w:rPr>
              <w:t>75.0–85.1%</w:t>
            </w:r>
          </w:p>
        </w:tc>
      </w:tr>
      <w:tr w:rsidR="000A5606" w:rsidRPr="009E084A" w14:paraId="77E44DA5"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5B1E4D48" w14:textId="77777777" w:rsidR="00E87D5B" w:rsidRPr="009E084A" w:rsidRDefault="00E87D5B">
            <w:pPr>
              <w:pStyle w:val="NormalWeb"/>
              <w:rPr>
                <w:sz w:val="18"/>
                <w:szCs w:val="18"/>
              </w:rPr>
            </w:pPr>
            <w:r w:rsidRPr="009E084A">
              <w:rPr>
                <w:sz w:val="18"/>
                <w:szCs w:val="18"/>
              </w:rPr>
              <w:t>25–29</w:t>
            </w:r>
          </w:p>
        </w:tc>
        <w:tc>
          <w:tcPr>
            <w:tcW w:w="1402" w:type="dxa"/>
            <w:hideMark/>
          </w:tcPr>
          <w:p w14:paraId="3487BA12" w14:textId="77777777" w:rsidR="00E87D5B" w:rsidRPr="009E084A" w:rsidRDefault="00E87D5B" w:rsidP="00F8742F">
            <w:pPr>
              <w:pStyle w:val="NormalWeb"/>
              <w:jc w:val="center"/>
              <w:rPr>
                <w:sz w:val="18"/>
                <w:szCs w:val="18"/>
              </w:rPr>
            </w:pPr>
            <w:r w:rsidRPr="009E084A">
              <w:rPr>
                <w:sz w:val="18"/>
                <w:szCs w:val="18"/>
              </w:rPr>
              <w:t>138</w:t>
            </w:r>
          </w:p>
        </w:tc>
        <w:tc>
          <w:tcPr>
            <w:tcW w:w="1134" w:type="dxa"/>
            <w:hideMark/>
          </w:tcPr>
          <w:p w14:paraId="55FA0221" w14:textId="77777777" w:rsidR="00E87D5B" w:rsidRPr="009E084A" w:rsidRDefault="00E87D5B" w:rsidP="00F8742F">
            <w:pPr>
              <w:pStyle w:val="NormalWeb"/>
              <w:jc w:val="center"/>
              <w:rPr>
                <w:sz w:val="18"/>
                <w:szCs w:val="18"/>
              </w:rPr>
            </w:pPr>
            <w:r w:rsidRPr="009E084A">
              <w:rPr>
                <w:sz w:val="18"/>
                <w:szCs w:val="18"/>
              </w:rPr>
              <w:t>84.8%</w:t>
            </w:r>
          </w:p>
        </w:tc>
        <w:tc>
          <w:tcPr>
            <w:tcW w:w="1131" w:type="dxa"/>
            <w:hideMark/>
          </w:tcPr>
          <w:p w14:paraId="733091AA" w14:textId="77777777" w:rsidR="00E87D5B" w:rsidRPr="009E084A" w:rsidRDefault="00E87D5B" w:rsidP="00F8742F">
            <w:pPr>
              <w:pStyle w:val="NormalWeb"/>
              <w:jc w:val="center"/>
              <w:rPr>
                <w:sz w:val="18"/>
                <w:szCs w:val="18"/>
              </w:rPr>
            </w:pPr>
            <w:r w:rsidRPr="009E084A">
              <w:rPr>
                <w:sz w:val="18"/>
                <w:szCs w:val="18"/>
              </w:rPr>
              <w:t>77.8–89.9%</w:t>
            </w:r>
          </w:p>
        </w:tc>
        <w:tc>
          <w:tcPr>
            <w:tcW w:w="1413" w:type="dxa"/>
            <w:hideMark/>
          </w:tcPr>
          <w:p w14:paraId="29511341" w14:textId="77777777" w:rsidR="00E87D5B" w:rsidRPr="009E084A" w:rsidRDefault="00E87D5B" w:rsidP="00F8742F">
            <w:pPr>
              <w:pStyle w:val="NormalWeb"/>
              <w:jc w:val="center"/>
              <w:rPr>
                <w:sz w:val="18"/>
                <w:szCs w:val="18"/>
              </w:rPr>
            </w:pPr>
            <w:r w:rsidRPr="009E084A">
              <w:rPr>
                <w:sz w:val="18"/>
                <w:szCs w:val="18"/>
              </w:rPr>
              <w:t>640</w:t>
            </w:r>
          </w:p>
        </w:tc>
        <w:tc>
          <w:tcPr>
            <w:tcW w:w="1992" w:type="dxa"/>
            <w:hideMark/>
          </w:tcPr>
          <w:p w14:paraId="265C7F0E" w14:textId="77777777" w:rsidR="00E87D5B" w:rsidRPr="009E084A" w:rsidRDefault="00E87D5B" w:rsidP="00F8742F">
            <w:pPr>
              <w:pStyle w:val="NormalWeb"/>
              <w:jc w:val="center"/>
              <w:rPr>
                <w:sz w:val="18"/>
                <w:szCs w:val="18"/>
              </w:rPr>
            </w:pPr>
            <w:r w:rsidRPr="009E084A">
              <w:rPr>
                <w:sz w:val="18"/>
                <w:szCs w:val="18"/>
              </w:rPr>
              <w:t xml:space="preserve">69.2% </w:t>
            </w:r>
            <w:r w:rsidRPr="009E084A">
              <w:rPr>
                <w:sz w:val="18"/>
                <w:szCs w:val="18"/>
                <w:vertAlign w:val="superscript"/>
              </w:rPr>
              <w:t>a</w:t>
            </w:r>
          </w:p>
        </w:tc>
        <w:tc>
          <w:tcPr>
            <w:tcW w:w="1362" w:type="dxa"/>
            <w:hideMark/>
          </w:tcPr>
          <w:p w14:paraId="4582F8C7" w14:textId="77777777" w:rsidR="00E87D5B" w:rsidRPr="009E084A" w:rsidRDefault="00E87D5B" w:rsidP="00F8742F">
            <w:pPr>
              <w:pStyle w:val="NormalWeb"/>
              <w:jc w:val="center"/>
              <w:rPr>
                <w:sz w:val="18"/>
                <w:szCs w:val="18"/>
              </w:rPr>
            </w:pPr>
            <w:r w:rsidRPr="009E084A">
              <w:rPr>
                <w:sz w:val="18"/>
                <w:szCs w:val="18"/>
              </w:rPr>
              <w:t>65.5–72.7%</w:t>
            </w:r>
          </w:p>
        </w:tc>
        <w:tc>
          <w:tcPr>
            <w:tcW w:w="1483" w:type="dxa"/>
            <w:hideMark/>
          </w:tcPr>
          <w:p w14:paraId="4C8EC914" w14:textId="77777777" w:rsidR="00E87D5B" w:rsidRPr="009E084A" w:rsidRDefault="00E87D5B" w:rsidP="00F8742F">
            <w:pPr>
              <w:pStyle w:val="NormalWeb"/>
              <w:jc w:val="center"/>
              <w:rPr>
                <w:sz w:val="18"/>
                <w:szCs w:val="18"/>
              </w:rPr>
            </w:pPr>
            <w:r w:rsidRPr="009E084A">
              <w:rPr>
                <w:sz w:val="18"/>
                <w:szCs w:val="18"/>
              </w:rPr>
              <w:t>320</w:t>
            </w:r>
          </w:p>
        </w:tc>
        <w:tc>
          <w:tcPr>
            <w:tcW w:w="1770" w:type="dxa"/>
            <w:hideMark/>
          </w:tcPr>
          <w:p w14:paraId="1CC4D57E" w14:textId="77777777" w:rsidR="00E87D5B" w:rsidRPr="009E084A" w:rsidRDefault="00E87D5B" w:rsidP="00F8742F">
            <w:pPr>
              <w:pStyle w:val="NormalWeb"/>
              <w:jc w:val="center"/>
              <w:rPr>
                <w:sz w:val="18"/>
                <w:szCs w:val="18"/>
              </w:rPr>
            </w:pPr>
            <w:r w:rsidRPr="009E084A">
              <w:rPr>
                <w:sz w:val="18"/>
                <w:szCs w:val="18"/>
              </w:rPr>
              <w:t>86.4%</w:t>
            </w:r>
          </w:p>
        </w:tc>
        <w:tc>
          <w:tcPr>
            <w:tcW w:w="1818" w:type="dxa"/>
            <w:hideMark/>
          </w:tcPr>
          <w:p w14:paraId="463EF25A" w14:textId="77777777" w:rsidR="00E87D5B" w:rsidRPr="009E084A" w:rsidRDefault="00E87D5B" w:rsidP="00F8742F">
            <w:pPr>
              <w:pStyle w:val="NormalWeb"/>
              <w:jc w:val="center"/>
              <w:rPr>
                <w:sz w:val="18"/>
                <w:szCs w:val="18"/>
              </w:rPr>
            </w:pPr>
            <w:r w:rsidRPr="009E084A">
              <w:rPr>
                <w:sz w:val="18"/>
                <w:szCs w:val="18"/>
              </w:rPr>
              <w:t>82.2–89.8%</w:t>
            </w:r>
          </w:p>
        </w:tc>
      </w:tr>
      <w:tr w:rsidR="000A5606" w:rsidRPr="009E084A" w14:paraId="13E3B4BA" w14:textId="77777777" w:rsidTr="009E084A">
        <w:tc>
          <w:tcPr>
            <w:tcW w:w="0" w:type="auto"/>
            <w:hideMark/>
          </w:tcPr>
          <w:p w14:paraId="0C83A2D0" w14:textId="77777777" w:rsidR="00E87D5B" w:rsidRPr="009E084A" w:rsidRDefault="00E87D5B">
            <w:pPr>
              <w:pStyle w:val="NormalWeb"/>
              <w:rPr>
                <w:sz w:val="18"/>
                <w:szCs w:val="18"/>
              </w:rPr>
            </w:pPr>
            <w:r w:rsidRPr="009E084A">
              <w:rPr>
                <w:sz w:val="18"/>
                <w:szCs w:val="18"/>
              </w:rPr>
              <w:t>30–34</w:t>
            </w:r>
          </w:p>
        </w:tc>
        <w:tc>
          <w:tcPr>
            <w:tcW w:w="1402" w:type="dxa"/>
            <w:hideMark/>
          </w:tcPr>
          <w:p w14:paraId="3109C062" w14:textId="77777777" w:rsidR="00E87D5B" w:rsidRPr="009E084A" w:rsidRDefault="00E87D5B" w:rsidP="00F8742F">
            <w:pPr>
              <w:pStyle w:val="NormalWeb"/>
              <w:jc w:val="center"/>
              <w:rPr>
                <w:sz w:val="18"/>
                <w:szCs w:val="18"/>
              </w:rPr>
            </w:pPr>
            <w:r w:rsidRPr="009E084A">
              <w:rPr>
                <w:sz w:val="18"/>
                <w:szCs w:val="18"/>
              </w:rPr>
              <w:t>41</w:t>
            </w:r>
          </w:p>
        </w:tc>
        <w:tc>
          <w:tcPr>
            <w:tcW w:w="1134" w:type="dxa"/>
            <w:hideMark/>
          </w:tcPr>
          <w:p w14:paraId="5E2639A1" w14:textId="77777777" w:rsidR="00E87D5B" w:rsidRPr="009E084A" w:rsidRDefault="00E87D5B" w:rsidP="00F8742F">
            <w:pPr>
              <w:pStyle w:val="NormalWeb"/>
              <w:jc w:val="center"/>
              <w:rPr>
                <w:sz w:val="18"/>
                <w:szCs w:val="18"/>
              </w:rPr>
            </w:pPr>
            <w:r w:rsidRPr="009E084A">
              <w:rPr>
                <w:sz w:val="18"/>
                <w:szCs w:val="18"/>
              </w:rPr>
              <w:t>73.2%</w:t>
            </w:r>
          </w:p>
        </w:tc>
        <w:tc>
          <w:tcPr>
            <w:tcW w:w="1131" w:type="dxa"/>
            <w:hideMark/>
          </w:tcPr>
          <w:p w14:paraId="7B7DC102" w14:textId="77777777" w:rsidR="00E87D5B" w:rsidRPr="009E084A" w:rsidRDefault="00E87D5B" w:rsidP="00F8742F">
            <w:pPr>
              <w:pStyle w:val="NormalWeb"/>
              <w:jc w:val="center"/>
              <w:rPr>
                <w:sz w:val="18"/>
                <w:szCs w:val="18"/>
              </w:rPr>
            </w:pPr>
            <w:r w:rsidRPr="009E084A">
              <w:rPr>
                <w:sz w:val="18"/>
                <w:szCs w:val="18"/>
              </w:rPr>
              <w:t>57.7–84.5%</w:t>
            </w:r>
          </w:p>
        </w:tc>
        <w:tc>
          <w:tcPr>
            <w:tcW w:w="1413" w:type="dxa"/>
            <w:hideMark/>
          </w:tcPr>
          <w:p w14:paraId="22625CAB" w14:textId="77777777" w:rsidR="00E87D5B" w:rsidRPr="009E084A" w:rsidRDefault="00E87D5B" w:rsidP="00F8742F">
            <w:pPr>
              <w:pStyle w:val="NormalWeb"/>
              <w:jc w:val="center"/>
              <w:rPr>
                <w:sz w:val="18"/>
                <w:szCs w:val="18"/>
              </w:rPr>
            </w:pPr>
            <w:r w:rsidRPr="009E084A">
              <w:rPr>
                <w:sz w:val="18"/>
                <w:szCs w:val="18"/>
              </w:rPr>
              <w:t>591</w:t>
            </w:r>
          </w:p>
        </w:tc>
        <w:tc>
          <w:tcPr>
            <w:tcW w:w="1992" w:type="dxa"/>
            <w:hideMark/>
          </w:tcPr>
          <w:p w14:paraId="3289D82D" w14:textId="77777777" w:rsidR="00E87D5B" w:rsidRPr="009E084A" w:rsidRDefault="00E87D5B" w:rsidP="00F8742F">
            <w:pPr>
              <w:pStyle w:val="NormalWeb"/>
              <w:jc w:val="center"/>
              <w:rPr>
                <w:sz w:val="18"/>
                <w:szCs w:val="18"/>
              </w:rPr>
            </w:pPr>
            <w:r w:rsidRPr="009E084A">
              <w:rPr>
                <w:sz w:val="18"/>
                <w:szCs w:val="18"/>
              </w:rPr>
              <w:t xml:space="preserve">83.4% </w:t>
            </w:r>
            <w:r w:rsidRPr="009E084A">
              <w:rPr>
                <w:sz w:val="18"/>
                <w:szCs w:val="18"/>
                <w:vertAlign w:val="superscript"/>
              </w:rPr>
              <w:t>a</w:t>
            </w:r>
          </w:p>
        </w:tc>
        <w:tc>
          <w:tcPr>
            <w:tcW w:w="1362" w:type="dxa"/>
            <w:hideMark/>
          </w:tcPr>
          <w:p w14:paraId="6D36F7D5" w14:textId="77777777" w:rsidR="00E87D5B" w:rsidRPr="009E084A" w:rsidRDefault="00E87D5B" w:rsidP="00F8742F">
            <w:pPr>
              <w:pStyle w:val="NormalWeb"/>
              <w:jc w:val="center"/>
              <w:rPr>
                <w:sz w:val="18"/>
                <w:szCs w:val="18"/>
              </w:rPr>
            </w:pPr>
            <w:r w:rsidRPr="009E084A">
              <w:rPr>
                <w:sz w:val="18"/>
                <w:szCs w:val="18"/>
              </w:rPr>
              <w:t>80.2–86.2%</w:t>
            </w:r>
          </w:p>
        </w:tc>
        <w:tc>
          <w:tcPr>
            <w:tcW w:w="1483" w:type="dxa"/>
            <w:hideMark/>
          </w:tcPr>
          <w:p w14:paraId="70CE9D23"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416F442C" w14:textId="77777777" w:rsidR="00E87D5B" w:rsidRPr="009E084A" w:rsidRDefault="00E87D5B" w:rsidP="00F8742F">
            <w:pPr>
              <w:pStyle w:val="NormalWeb"/>
              <w:jc w:val="center"/>
              <w:rPr>
                <w:sz w:val="18"/>
                <w:szCs w:val="18"/>
              </w:rPr>
            </w:pPr>
            <w:r w:rsidRPr="009E084A">
              <w:rPr>
                <w:sz w:val="18"/>
                <w:szCs w:val="18"/>
              </w:rPr>
              <w:t>75.6%</w:t>
            </w:r>
          </w:p>
        </w:tc>
        <w:tc>
          <w:tcPr>
            <w:tcW w:w="1818" w:type="dxa"/>
            <w:hideMark/>
          </w:tcPr>
          <w:p w14:paraId="64971A95" w14:textId="77777777" w:rsidR="00E87D5B" w:rsidRPr="009E084A" w:rsidRDefault="00E87D5B" w:rsidP="00F8742F">
            <w:pPr>
              <w:pStyle w:val="NormalWeb"/>
              <w:jc w:val="center"/>
              <w:rPr>
                <w:sz w:val="18"/>
                <w:szCs w:val="18"/>
              </w:rPr>
            </w:pPr>
            <w:r w:rsidRPr="009E084A">
              <w:rPr>
                <w:sz w:val="18"/>
                <w:szCs w:val="18"/>
              </w:rPr>
              <w:t>69.1–81.1%</w:t>
            </w:r>
          </w:p>
        </w:tc>
      </w:tr>
      <w:tr w:rsidR="000A5606" w:rsidRPr="009E084A" w14:paraId="20FD217C"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2198FAF2" w14:textId="77777777" w:rsidR="00E87D5B" w:rsidRPr="009E084A" w:rsidRDefault="00E87D5B">
            <w:pPr>
              <w:pStyle w:val="NormalWeb"/>
              <w:rPr>
                <w:sz w:val="18"/>
                <w:szCs w:val="18"/>
              </w:rPr>
            </w:pPr>
            <w:r w:rsidRPr="009E084A">
              <w:rPr>
                <w:sz w:val="18"/>
                <w:szCs w:val="18"/>
              </w:rPr>
              <w:t>35–39</w:t>
            </w:r>
          </w:p>
        </w:tc>
        <w:tc>
          <w:tcPr>
            <w:tcW w:w="1402" w:type="dxa"/>
            <w:hideMark/>
          </w:tcPr>
          <w:p w14:paraId="04DFD24F" w14:textId="77777777" w:rsidR="00E87D5B" w:rsidRPr="009E084A" w:rsidRDefault="00E87D5B" w:rsidP="00F8742F">
            <w:pPr>
              <w:pStyle w:val="NormalWeb"/>
              <w:jc w:val="center"/>
              <w:rPr>
                <w:sz w:val="18"/>
                <w:szCs w:val="18"/>
              </w:rPr>
            </w:pPr>
            <w:r w:rsidRPr="009E084A">
              <w:rPr>
                <w:sz w:val="18"/>
                <w:szCs w:val="18"/>
              </w:rPr>
              <w:t>45</w:t>
            </w:r>
          </w:p>
        </w:tc>
        <w:tc>
          <w:tcPr>
            <w:tcW w:w="1134" w:type="dxa"/>
            <w:hideMark/>
          </w:tcPr>
          <w:p w14:paraId="1993E39D" w14:textId="77777777" w:rsidR="00E87D5B" w:rsidRPr="009E084A" w:rsidRDefault="00E87D5B" w:rsidP="00F8742F">
            <w:pPr>
              <w:pStyle w:val="NormalWeb"/>
              <w:jc w:val="center"/>
              <w:rPr>
                <w:sz w:val="18"/>
                <w:szCs w:val="18"/>
              </w:rPr>
            </w:pPr>
            <w:r w:rsidRPr="009E084A">
              <w:rPr>
                <w:sz w:val="18"/>
                <w:szCs w:val="18"/>
              </w:rPr>
              <w:t>75.6%</w:t>
            </w:r>
          </w:p>
        </w:tc>
        <w:tc>
          <w:tcPr>
            <w:tcW w:w="1131" w:type="dxa"/>
            <w:hideMark/>
          </w:tcPr>
          <w:p w14:paraId="598FB961" w14:textId="77777777" w:rsidR="00E87D5B" w:rsidRPr="009E084A" w:rsidRDefault="00E87D5B" w:rsidP="00F8742F">
            <w:pPr>
              <w:pStyle w:val="NormalWeb"/>
              <w:jc w:val="center"/>
              <w:rPr>
                <w:sz w:val="18"/>
                <w:szCs w:val="18"/>
              </w:rPr>
            </w:pPr>
            <w:r w:rsidRPr="009E084A">
              <w:rPr>
                <w:sz w:val="18"/>
                <w:szCs w:val="18"/>
              </w:rPr>
              <w:t>61.0–85.9%</w:t>
            </w:r>
          </w:p>
        </w:tc>
        <w:tc>
          <w:tcPr>
            <w:tcW w:w="1413" w:type="dxa"/>
            <w:hideMark/>
          </w:tcPr>
          <w:p w14:paraId="79C792AE" w14:textId="77777777" w:rsidR="00E87D5B" w:rsidRPr="009E084A" w:rsidRDefault="00E87D5B" w:rsidP="00F8742F">
            <w:pPr>
              <w:pStyle w:val="NormalWeb"/>
              <w:jc w:val="center"/>
              <w:rPr>
                <w:sz w:val="18"/>
                <w:szCs w:val="18"/>
              </w:rPr>
            </w:pPr>
            <w:r w:rsidRPr="009E084A">
              <w:rPr>
                <w:sz w:val="18"/>
                <w:szCs w:val="18"/>
              </w:rPr>
              <w:t>93</w:t>
            </w:r>
          </w:p>
        </w:tc>
        <w:tc>
          <w:tcPr>
            <w:tcW w:w="1992" w:type="dxa"/>
            <w:hideMark/>
          </w:tcPr>
          <w:p w14:paraId="7853123F" w14:textId="77777777" w:rsidR="00E87D5B" w:rsidRPr="009E084A" w:rsidRDefault="00E87D5B" w:rsidP="00F8742F">
            <w:pPr>
              <w:pStyle w:val="NormalWeb"/>
              <w:jc w:val="center"/>
              <w:rPr>
                <w:sz w:val="18"/>
                <w:szCs w:val="18"/>
              </w:rPr>
            </w:pPr>
            <w:r w:rsidRPr="009E084A">
              <w:rPr>
                <w:sz w:val="18"/>
                <w:szCs w:val="18"/>
              </w:rPr>
              <w:t xml:space="preserve">75.4% </w:t>
            </w:r>
            <w:r w:rsidRPr="009E084A">
              <w:rPr>
                <w:sz w:val="18"/>
                <w:szCs w:val="18"/>
                <w:vertAlign w:val="superscript"/>
              </w:rPr>
              <w:t>a</w:t>
            </w:r>
          </w:p>
        </w:tc>
        <w:tc>
          <w:tcPr>
            <w:tcW w:w="1362" w:type="dxa"/>
            <w:hideMark/>
          </w:tcPr>
          <w:p w14:paraId="25EFF09A" w14:textId="77777777" w:rsidR="00E87D5B" w:rsidRPr="009E084A" w:rsidRDefault="00E87D5B" w:rsidP="00F8742F">
            <w:pPr>
              <w:pStyle w:val="NormalWeb"/>
              <w:jc w:val="center"/>
              <w:rPr>
                <w:sz w:val="18"/>
                <w:szCs w:val="18"/>
              </w:rPr>
            </w:pPr>
            <w:r w:rsidRPr="009E084A">
              <w:rPr>
                <w:sz w:val="18"/>
                <w:szCs w:val="18"/>
              </w:rPr>
              <w:t>65.7–83.1%</w:t>
            </w:r>
          </w:p>
        </w:tc>
        <w:tc>
          <w:tcPr>
            <w:tcW w:w="1483" w:type="dxa"/>
            <w:hideMark/>
          </w:tcPr>
          <w:p w14:paraId="00EE0536" w14:textId="77777777" w:rsidR="00E87D5B" w:rsidRPr="009E084A" w:rsidRDefault="00E87D5B" w:rsidP="00F8742F">
            <w:pPr>
              <w:pStyle w:val="NormalWeb"/>
              <w:jc w:val="center"/>
              <w:rPr>
                <w:sz w:val="18"/>
                <w:szCs w:val="18"/>
              </w:rPr>
            </w:pPr>
            <w:r w:rsidRPr="009E084A">
              <w:rPr>
                <w:sz w:val="18"/>
                <w:szCs w:val="18"/>
              </w:rPr>
              <w:t>285</w:t>
            </w:r>
          </w:p>
        </w:tc>
        <w:tc>
          <w:tcPr>
            <w:tcW w:w="1770" w:type="dxa"/>
            <w:hideMark/>
          </w:tcPr>
          <w:p w14:paraId="464AA41C" w14:textId="77777777" w:rsidR="00E87D5B" w:rsidRPr="009E084A" w:rsidRDefault="00E87D5B" w:rsidP="00F8742F">
            <w:pPr>
              <w:pStyle w:val="NormalWeb"/>
              <w:jc w:val="center"/>
              <w:rPr>
                <w:sz w:val="18"/>
                <w:szCs w:val="18"/>
              </w:rPr>
            </w:pPr>
            <w:r w:rsidRPr="009E084A">
              <w:rPr>
                <w:sz w:val="18"/>
                <w:szCs w:val="18"/>
              </w:rPr>
              <w:t>85.1%</w:t>
            </w:r>
          </w:p>
        </w:tc>
        <w:tc>
          <w:tcPr>
            <w:tcW w:w="1818" w:type="dxa"/>
            <w:hideMark/>
          </w:tcPr>
          <w:p w14:paraId="3886A88E" w14:textId="77777777" w:rsidR="00E87D5B" w:rsidRPr="009E084A" w:rsidRDefault="00E87D5B" w:rsidP="00F8742F">
            <w:pPr>
              <w:pStyle w:val="NormalWeb"/>
              <w:jc w:val="center"/>
              <w:rPr>
                <w:sz w:val="18"/>
                <w:szCs w:val="18"/>
              </w:rPr>
            </w:pPr>
            <w:r w:rsidRPr="009E084A">
              <w:rPr>
                <w:sz w:val="18"/>
                <w:szCs w:val="18"/>
              </w:rPr>
              <w:t>80.3–88.9%</w:t>
            </w:r>
          </w:p>
        </w:tc>
      </w:tr>
      <w:tr w:rsidR="000A5606" w:rsidRPr="009E084A" w14:paraId="6BAF34BE" w14:textId="77777777" w:rsidTr="009E084A">
        <w:tc>
          <w:tcPr>
            <w:tcW w:w="0" w:type="auto"/>
            <w:hideMark/>
          </w:tcPr>
          <w:p w14:paraId="29FA59FB" w14:textId="77777777" w:rsidR="00E87D5B" w:rsidRPr="009E084A" w:rsidRDefault="00E87D5B">
            <w:pPr>
              <w:pStyle w:val="NormalWeb"/>
              <w:rPr>
                <w:sz w:val="18"/>
                <w:szCs w:val="18"/>
              </w:rPr>
            </w:pPr>
            <w:r w:rsidRPr="009E084A">
              <w:rPr>
                <w:sz w:val="18"/>
                <w:szCs w:val="18"/>
              </w:rPr>
              <w:t>40–44</w:t>
            </w:r>
          </w:p>
        </w:tc>
        <w:tc>
          <w:tcPr>
            <w:tcW w:w="1402" w:type="dxa"/>
            <w:hideMark/>
          </w:tcPr>
          <w:p w14:paraId="045AB40D" w14:textId="77777777" w:rsidR="00E87D5B" w:rsidRPr="009E084A" w:rsidRDefault="00E87D5B" w:rsidP="00F8742F">
            <w:pPr>
              <w:pStyle w:val="NormalWeb"/>
              <w:jc w:val="center"/>
              <w:rPr>
                <w:sz w:val="18"/>
                <w:szCs w:val="18"/>
              </w:rPr>
            </w:pPr>
            <w:r w:rsidRPr="009E084A">
              <w:rPr>
                <w:sz w:val="18"/>
                <w:szCs w:val="18"/>
              </w:rPr>
              <w:t>19</w:t>
            </w:r>
          </w:p>
        </w:tc>
        <w:tc>
          <w:tcPr>
            <w:tcW w:w="1134" w:type="dxa"/>
            <w:hideMark/>
          </w:tcPr>
          <w:p w14:paraId="26B9FD3D" w14:textId="77777777" w:rsidR="00E87D5B" w:rsidRPr="009E084A" w:rsidRDefault="00E87D5B" w:rsidP="00F8742F">
            <w:pPr>
              <w:pStyle w:val="NormalWeb"/>
              <w:jc w:val="center"/>
              <w:rPr>
                <w:sz w:val="18"/>
                <w:szCs w:val="18"/>
              </w:rPr>
            </w:pPr>
            <w:r w:rsidRPr="009E084A">
              <w:rPr>
                <w:sz w:val="18"/>
                <w:szCs w:val="18"/>
              </w:rPr>
              <w:t>89.5%</w:t>
            </w:r>
          </w:p>
        </w:tc>
        <w:tc>
          <w:tcPr>
            <w:tcW w:w="1131" w:type="dxa"/>
            <w:hideMark/>
          </w:tcPr>
          <w:p w14:paraId="4834CE93" w14:textId="77777777" w:rsidR="00E87D5B" w:rsidRPr="009E084A" w:rsidRDefault="00E87D5B" w:rsidP="00F8742F">
            <w:pPr>
              <w:pStyle w:val="NormalWeb"/>
              <w:jc w:val="center"/>
              <w:rPr>
                <w:sz w:val="18"/>
                <w:szCs w:val="18"/>
              </w:rPr>
            </w:pPr>
            <w:r w:rsidRPr="009E084A">
              <w:rPr>
                <w:sz w:val="18"/>
                <w:szCs w:val="18"/>
              </w:rPr>
              <w:t>66.2–97.4%</w:t>
            </w:r>
          </w:p>
        </w:tc>
        <w:tc>
          <w:tcPr>
            <w:tcW w:w="1413" w:type="dxa"/>
            <w:hideMark/>
          </w:tcPr>
          <w:p w14:paraId="2CE5A6D5" w14:textId="77777777" w:rsidR="00E87D5B" w:rsidRPr="009E084A" w:rsidRDefault="00E87D5B" w:rsidP="00F8742F">
            <w:pPr>
              <w:pStyle w:val="NormalWeb"/>
              <w:jc w:val="center"/>
              <w:rPr>
                <w:sz w:val="18"/>
                <w:szCs w:val="18"/>
              </w:rPr>
            </w:pPr>
            <w:r w:rsidRPr="009E084A">
              <w:rPr>
                <w:sz w:val="18"/>
                <w:szCs w:val="18"/>
              </w:rPr>
              <w:t>84</w:t>
            </w:r>
          </w:p>
        </w:tc>
        <w:tc>
          <w:tcPr>
            <w:tcW w:w="1992" w:type="dxa"/>
            <w:hideMark/>
          </w:tcPr>
          <w:p w14:paraId="013E1386" w14:textId="77777777" w:rsidR="00E87D5B" w:rsidRPr="009E084A" w:rsidRDefault="00E87D5B" w:rsidP="00F8742F">
            <w:pPr>
              <w:pStyle w:val="NormalWeb"/>
              <w:jc w:val="center"/>
              <w:rPr>
                <w:sz w:val="18"/>
                <w:szCs w:val="18"/>
              </w:rPr>
            </w:pPr>
            <w:r w:rsidRPr="009E084A">
              <w:rPr>
                <w:sz w:val="18"/>
                <w:szCs w:val="18"/>
              </w:rPr>
              <w:t>77.6%</w:t>
            </w:r>
          </w:p>
        </w:tc>
        <w:tc>
          <w:tcPr>
            <w:tcW w:w="1362" w:type="dxa"/>
            <w:hideMark/>
          </w:tcPr>
          <w:p w14:paraId="457F9C80" w14:textId="77777777" w:rsidR="00E87D5B" w:rsidRPr="009E084A" w:rsidRDefault="00E87D5B" w:rsidP="00F8742F">
            <w:pPr>
              <w:pStyle w:val="NormalWeb"/>
              <w:jc w:val="center"/>
              <w:rPr>
                <w:sz w:val="18"/>
                <w:szCs w:val="18"/>
              </w:rPr>
            </w:pPr>
            <w:r w:rsidRPr="009E084A">
              <w:rPr>
                <w:sz w:val="18"/>
                <w:szCs w:val="18"/>
              </w:rPr>
              <w:t>67.6–85.1%</w:t>
            </w:r>
          </w:p>
        </w:tc>
        <w:tc>
          <w:tcPr>
            <w:tcW w:w="1483" w:type="dxa"/>
            <w:hideMark/>
          </w:tcPr>
          <w:p w14:paraId="4BA3A368" w14:textId="77777777" w:rsidR="00E87D5B" w:rsidRPr="009E084A" w:rsidRDefault="00E87D5B" w:rsidP="00F8742F">
            <w:pPr>
              <w:pStyle w:val="NormalWeb"/>
              <w:jc w:val="center"/>
              <w:rPr>
                <w:sz w:val="18"/>
                <w:szCs w:val="18"/>
              </w:rPr>
            </w:pPr>
            <w:r w:rsidRPr="009E084A">
              <w:rPr>
                <w:sz w:val="18"/>
                <w:szCs w:val="18"/>
              </w:rPr>
              <w:t>255</w:t>
            </w:r>
          </w:p>
        </w:tc>
        <w:tc>
          <w:tcPr>
            <w:tcW w:w="1770" w:type="dxa"/>
            <w:hideMark/>
          </w:tcPr>
          <w:p w14:paraId="5FC0A7F8" w14:textId="77777777" w:rsidR="00E87D5B" w:rsidRPr="009E084A" w:rsidRDefault="00E87D5B" w:rsidP="00F8742F">
            <w:pPr>
              <w:pStyle w:val="NormalWeb"/>
              <w:jc w:val="center"/>
              <w:rPr>
                <w:sz w:val="18"/>
                <w:szCs w:val="18"/>
              </w:rPr>
            </w:pPr>
            <w:r w:rsidRPr="009E084A">
              <w:rPr>
                <w:sz w:val="18"/>
                <w:szCs w:val="18"/>
              </w:rPr>
              <w:t>84.0%</w:t>
            </w:r>
          </w:p>
        </w:tc>
        <w:tc>
          <w:tcPr>
            <w:tcW w:w="1818" w:type="dxa"/>
            <w:hideMark/>
          </w:tcPr>
          <w:p w14:paraId="7CF8B11A" w14:textId="77777777" w:rsidR="00E87D5B" w:rsidRPr="009E084A" w:rsidRDefault="00E87D5B" w:rsidP="00F8742F">
            <w:pPr>
              <w:pStyle w:val="NormalWeb"/>
              <w:jc w:val="center"/>
              <w:rPr>
                <w:sz w:val="18"/>
                <w:szCs w:val="18"/>
              </w:rPr>
            </w:pPr>
            <w:r w:rsidRPr="009E084A">
              <w:rPr>
                <w:sz w:val="18"/>
                <w:szCs w:val="18"/>
              </w:rPr>
              <w:t>78.8–88.1%</w:t>
            </w:r>
          </w:p>
        </w:tc>
      </w:tr>
      <w:tr w:rsidR="000A5606" w:rsidRPr="009E084A" w14:paraId="6C1C21B5"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3B87586E" w14:textId="77777777" w:rsidR="00E87D5B" w:rsidRPr="009E084A" w:rsidRDefault="00E87D5B">
            <w:pPr>
              <w:pStyle w:val="NormalWeb"/>
              <w:rPr>
                <w:sz w:val="18"/>
                <w:szCs w:val="18"/>
              </w:rPr>
            </w:pPr>
            <w:r w:rsidRPr="009E084A">
              <w:rPr>
                <w:sz w:val="18"/>
                <w:szCs w:val="18"/>
              </w:rPr>
              <w:t>45–49</w:t>
            </w:r>
          </w:p>
        </w:tc>
        <w:tc>
          <w:tcPr>
            <w:tcW w:w="1402" w:type="dxa"/>
            <w:hideMark/>
          </w:tcPr>
          <w:p w14:paraId="52585418" w14:textId="77777777" w:rsidR="00E87D5B" w:rsidRPr="009E084A" w:rsidRDefault="00E87D5B" w:rsidP="00F8742F">
            <w:pPr>
              <w:pStyle w:val="NormalWeb"/>
              <w:jc w:val="center"/>
              <w:rPr>
                <w:sz w:val="18"/>
                <w:szCs w:val="18"/>
              </w:rPr>
            </w:pPr>
            <w:r w:rsidRPr="009E084A">
              <w:rPr>
                <w:sz w:val="18"/>
                <w:szCs w:val="18"/>
              </w:rPr>
              <w:t>26</w:t>
            </w:r>
          </w:p>
        </w:tc>
        <w:tc>
          <w:tcPr>
            <w:tcW w:w="1134" w:type="dxa"/>
            <w:hideMark/>
          </w:tcPr>
          <w:p w14:paraId="219EF849" w14:textId="77777777" w:rsidR="00E87D5B" w:rsidRPr="009E084A" w:rsidRDefault="00E87D5B" w:rsidP="00F8742F">
            <w:pPr>
              <w:pStyle w:val="NormalWeb"/>
              <w:jc w:val="center"/>
              <w:rPr>
                <w:sz w:val="18"/>
                <w:szCs w:val="18"/>
              </w:rPr>
            </w:pPr>
            <w:r w:rsidRPr="009E084A">
              <w:rPr>
                <w:sz w:val="18"/>
                <w:szCs w:val="18"/>
              </w:rPr>
              <w:t>84.6%</w:t>
            </w:r>
          </w:p>
        </w:tc>
        <w:tc>
          <w:tcPr>
            <w:tcW w:w="1131" w:type="dxa"/>
            <w:hideMark/>
          </w:tcPr>
          <w:p w14:paraId="6AA7BAA5" w14:textId="77777777" w:rsidR="00E87D5B" w:rsidRPr="009E084A" w:rsidRDefault="00E87D5B" w:rsidP="00F8742F">
            <w:pPr>
              <w:pStyle w:val="NormalWeb"/>
              <w:jc w:val="center"/>
              <w:rPr>
                <w:sz w:val="18"/>
                <w:szCs w:val="18"/>
              </w:rPr>
            </w:pPr>
            <w:r w:rsidRPr="009E084A">
              <w:rPr>
                <w:sz w:val="18"/>
                <w:szCs w:val="18"/>
              </w:rPr>
              <w:t>65.4–94.1%</w:t>
            </w:r>
          </w:p>
        </w:tc>
        <w:tc>
          <w:tcPr>
            <w:tcW w:w="1413" w:type="dxa"/>
            <w:hideMark/>
          </w:tcPr>
          <w:p w14:paraId="3FB039A3" w14:textId="77777777" w:rsidR="00E87D5B" w:rsidRPr="009E084A" w:rsidRDefault="00E87D5B" w:rsidP="00F8742F">
            <w:pPr>
              <w:pStyle w:val="NormalWeb"/>
              <w:jc w:val="center"/>
              <w:rPr>
                <w:sz w:val="18"/>
                <w:szCs w:val="18"/>
              </w:rPr>
            </w:pPr>
            <w:r w:rsidRPr="009E084A">
              <w:rPr>
                <w:sz w:val="18"/>
                <w:szCs w:val="18"/>
              </w:rPr>
              <w:t>70</w:t>
            </w:r>
          </w:p>
        </w:tc>
        <w:tc>
          <w:tcPr>
            <w:tcW w:w="1992" w:type="dxa"/>
            <w:hideMark/>
          </w:tcPr>
          <w:p w14:paraId="669FF90E" w14:textId="77777777" w:rsidR="00E87D5B" w:rsidRPr="009E084A" w:rsidRDefault="00E87D5B" w:rsidP="00F8742F">
            <w:pPr>
              <w:pStyle w:val="NormalWeb"/>
              <w:jc w:val="center"/>
              <w:rPr>
                <w:sz w:val="18"/>
                <w:szCs w:val="18"/>
              </w:rPr>
            </w:pPr>
            <w:r w:rsidRPr="009E084A">
              <w:rPr>
                <w:sz w:val="18"/>
                <w:szCs w:val="18"/>
              </w:rPr>
              <w:t>83.6%</w:t>
            </w:r>
          </w:p>
        </w:tc>
        <w:tc>
          <w:tcPr>
            <w:tcW w:w="1362" w:type="dxa"/>
            <w:hideMark/>
          </w:tcPr>
          <w:p w14:paraId="22227BEF" w14:textId="77777777" w:rsidR="00E87D5B" w:rsidRPr="009E084A" w:rsidRDefault="00E87D5B" w:rsidP="00F8742F">
            <w:pPr>
              <w:pStyle w:val="NormalWeb"/>
              <w:jc w:val="center"/>
              <w:rPr>
                <w:sz w:val="18"/>
                <w:szCs w:val="18"/>
              </w:rPr>
            </w:pPr>
            <w:r w:rsidRPr="009E084A">
              <w:rPr>
                <w:sz w:val="18"/>
                <w:szCs w:val="18"/>
              </w:rPr>
              <w:t>72.7–90.7%</w:t>
            </w:r>
          </w:p>
        </w:tc>
        <w:tc>
          <w:tcPr>
            <w:tcW w:w="1483" w:type="dxa"/>
            <w:hideMark/>
          </w:tcPr>
          <w:p w14:paraId="1FF93E3E"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37D58FC4" w14:textId="77777777" w:rsidR="00E87D5B" w:rsidRPr="009E084A" w:rsidRDefault="00E87D5B" w:rsidP="00F8742F">
            <w:pPr>
              <w:pStyle w:val="NormalWeb"/>
              <w:jc w:val="center"/>
              <w:rPr>
                <w:sz w:val="18"/>
                <w:szCs w:val="18"/>
              </w:rPr>
            </w:pPr>
            <w:r w:rsidRPr="009E084A">
              <w:rPr>
                <w:sz w:val="18"/>
                <w:szCs w:val="18"/>
              </w:rPr>
              <w:t>87.3%</w:t>
            </w:r>
          </w:p>
        </w:tc>
        <w:tc>
          <w:tcPr>
            <w:tcW w:w="1818" w:type="dxa"/>
            <w:hideMark/>
          </w:tcPr>
          <w:p w14:paraId="16F9115F" w14:textId="77777777" w:rsidR="00E87D5B" w:rsidRPr="009E084A" w:rsidRDefault="00E87D5B" w:rsidP="00F8742F">
            <w:pPr>
              <w:pStyle w:val="NormalWeb"/>
              <w:jc w:val="center"/>
              <w:rPr>
                <w:sz w:val="18"/>
                <w:szCs w:val="18"/>
              </w:rPr>
            </w:pPr>
            <w:r w:rsidRPr="009E084A">
              <w:rPr>
                <w:sz w:val="18"/>
                <w:szCs w:val="18"/>
              </w:rPr>
              <w:t>82.0–91.3%</w:t>
            </w:r>
          </w:p>
        </w:tc>
      </w:tr>
      <w:tr w:rsidR="000A5606" w:rsidRPr="009E084A" w14:paraId="63434A88" w14:textId="77777777" w:rsidTr="009E084A">
        <w:tc>
          <w:tcPr>
            <w:tcW w:w="0" w:type="auto"/>
            <w:shd w:val="clear" w:color="auto" w:fill="FDE9D9" w:themeFill="accent6" w:themeFillTint="33"/>
            <w:hideMark/>
          </w:tcPr>
          <w:p w14:paraId="0E45FF70" w14:textId="77777777" w:rsidR="00E87D5B" w:rsidRPr="009E084A" w:rsidRDefault="00E87D5B">
            <w:pPr>
              <w:pStyle w:val="NormalWeb"/>
              <w:rPr>
                <w:b/>
                <w:sz w:val="18"/>
                <w:szCs w:val="18"/>
              </w:rPr>
            </w:pPr>
            <w:r w:rsidRPr="009E084A">
              <w:rPr>
                <w:b/>
                <w:sz w:val="18"/>
                <w:szCs w:val="18"/>
              </w:rPr>
              <w:t>All ages</w:t>
            </w:r>
          </w:p>
        </w:tc>
        <w:tc>
          <w:tcPr>
            <w:tcW w:w="1402" w:type="dxa"/>
            <w:shd w:val="clear" w:color="auto" w:fill="FDE9D9" w:themeFill="accent6" w:themeFillTint="33"/>
            <w:hideMark/>
          </w:tcPr>
          <w:p w14:paraId="2E6527B5" w14:textId="77777777" w:rsidR="00E87D5B" w:rsidRPr="009E084A" w:rsidRDefault="00E87D5B" w:rsidP="00F8742F">
            <w:pPr>
              <w:pStyle w:val="NormalWeb"/>
              <w:jc w:val="center"/>
              <w:rPr>
                <w:b/>
                <w:sz w:val="18"/>
                <w:szCs w:val="18"/>
              </w:rPr>
            </w:pPr>
            <w:r w:rsidRPr="009E084A">
              <w:rPr>
                <w:b/>
                <w:sz w:val="18"/>
                <w:szCs w:val="18"/>
              </w:rPr>
              <w:t>1,915</w:t>
            </w:r>
          </w:p>
        </w:tc>
        <w:tc>
          <w:tcPr>
            <w:tcW w:w="1134" w:type="dxa"/>
            <w:shd w:val="clear" w:color="auto" w:fill="FDE9D9" w:themeFill="accent6" w:themeFillTint="33"/>
            <w:hideMark/>
          </w:tcPr>
          <w:p w14:paraId="79B1112F" w14:textId="77777777" w:rsidR="00E87D5B" w:rsidRPr="009E084A" w:rsidRDefault="00E87D5B" w:rsidP="00F8742F">
            <w:pPr>
              <w:pStyle w:val="NormalWeb"/>
              <w:jc w:val="center"/>
              <w:rPr>
                <w:b/>
                <w:sz w:val="18"/>
                <w:szCs w:val="18"/>
              </w:rPr>
            </w:pPr>
            <w:r w:rsidRPr="009E084A">
              <w:rPr>
                <w:b/>
                <w:sz w:val="18"/>
                <w:szCs w:val="18"/>
              </w:rPr>
              <w:t xml:space="preserve">72.5% </w:t>
            </w:r>
            <w:r w:rsidRPr="009E084A">
              <w:rPr>
                <w:b/>
                <w:sz w:val="18"/>
                <w:szCs w:val="18"/>
                <w:vertAlign w:val="superscript"/>
              </w:rPr>
              <w:t>a</w:t>
            </w:r>
          </w:p>
        </w:tc>
        <w:tc>
          <w:tcPr>
            <w:tcW w:w="1131" w:type="dxa"/>
            <w:shd w:val="clear" w:color="auto" w:fill="FDE9D9" w:themeFill="accent6" w:themeFillTint="33"/>
            <w:hideMark/>
          </w:tcPr>
          <w:p w14:paraId="18ED2E64" w14:textId="77777777" w:rsidR="00E87D5B" w:rsidRPr="009E084A" w:rsidRDefault="00E87D5B" w:rsidP="00F8742F">
            <w:pPr>
              <w:pStyle w:val="NormalWeb"/>
              <w:jc w:val="center"/>
              <w:rPr>
                <w:b/>
                <w:sz w:val="18"/>
                <w:szCs w:val="18"/>
              </w:rPr>
            </w:pPr>
            <w:r w:rsidRPr="009E084A">
              <w:rPr>
                <w:b/>
                <w:sz w:val="18"/>
                <w:szCs w:val="18"/>
              </w:rPr>
              <w:t>70.4–74.4%</w:t>
            </w:r>
          </w:p>
        </w:tc>
        <w:tc>
          <w:tcPr>
            <w:tcW w:w="1413" w:type="dxa"/>
            <w:shd w:val="clear" w:color="auto" w:fill="FDE9D9" w:themeFill="accent6" w:themeFillTint="33"/>
            <w:hideMark/>
          </w:tcPr>
          <w:p w14:paraId="5E195E9C" w14:textId="77777777" w:rsidR="00E87D5B" w:rsidRPr="009E084A" w:rsidRDefault="00E87D5B" w:rsidP="00F8742F">
            <w:pPr>
              <w:pStyle w:val="NormalWeb"/>
              <w:jc w:val="center"/>
              <w:rPr>
                <w:b/>
                <w:sz w:val="18"/>
                <w:szCs w:val="18"/>
              </w:rPr>
            </w:pPr>
            <w:r w:rsidRPr="009E084A">
              <w:rPr>
                <w:b/>
                <w:sz w:val="18"/>
                <w:szCs w:val="18"/>
              </w:rPr>
              <w:t>3,396</w:t>
            </w:r>
          </w:p>
        </w:tc>
        <w:tc>
          <w:tcPr>
            <w:tcW w:w="1992" w:type="dxa"/>
            <w:shd w:val="clear" w:color="auto" w:fill="FDE9D9" w:themeFill="accent6" w:themeFillTint="33"/>
            <w:hideMark/>
          </w:tcPr>
          <w:p w14:paraId="0E4F6DED" w14:textId="77777777" w:rsidR="00E87D5B" w:rsidRPr="009E084A" w:rsidRDefault="00E87D5B" w:rsidP="00F8742F">
            <w:pPr>
              <w:pStyle w:val="NormalWeb"/>
              <w:jc w:val="center"/>
              <w:rPr>
                <w:b/>
                <w:sz w:val="18"/>
                <w:szCs w:val="18"/>
              </w:rPr>
            </w:pPr>
            <w:r w:rsidRPr="009E084A">
              <w:rPr>
                <w:b/>
                <w:sz w:val="18"/>
                <w:szCs w:val="18"/>
              </w:rPr>
              <w:t xml:space="preserve">75.5% </w:t>
            </w:r>
            <w:r w:rsidRPr="009E084A">
              <w:rPr>
                <w:b/>
                <w:sz w:val="18"/>
                <w:szCs w:val="18"/>
                <w:vertAlign w:val="superscript"/>
              </w:rPr>
              <w:t>a</w:t>
            </w:r>
          </w:p>
        </w:tc>
        <w:tc>
          <w:tcPr>
            <w:tcW w:w="1362" w:type="dxa"/>
            <w:shd w:val="clear" w:color="auto" w:fill="FDE9D9" w:themeFill="accent6" w:themeFillTint="33"/>
            <w:hideMark/>
          </w:tcPr>
          <w:p w14:paraId="1838DC1D" w14:textId="77777777" w:rsidR="00E87D5B" w:rsidRPr="009E084A" w:rsidRDefault="00E87D5B" w:rsidP="00F8742F">
            <w:pPr>
              <w:pStyle w:val="NormalWeb"/>
              <w:jc w:val="center"/>
              <w:rPr>
                <w:b/>
                <w:sz w:val="18"/>
                <w:szCs w:val="18"/>
              </w:rPr>
            </w:pPr>
            <w:r w:rsidRPr="009E084A">
              <w:rPr>
                <w:b/>
                <w:sz w:val="18"/>
                <w:szCs w:val="18"/>
              </w:rPr>
              <w:t>74.0–76.9%</w:t>
            </w:r>
          </w:p>
        </w:tc>
        <w:tc>
          <w:tcPr>
            <w:tcW w:w="1483" w:type="dxa"/>
            <w:shd w:val="clear" w:color="auto" w:fill="FDE9D9" w:themeFill="accent6" w:themeFillTint="33"/>
            <w:hideMark/>
          </w:tcPr>
          <w:p w14:paraId="58611528" w14:textId="77777777" w:rsidR="00E87D5B" w:rsidRPr="009E084A" w:rsidRDefault="00E87D5B" w:rsidP="00F8742F">
            <w:pPr>
              <w:pStyle w:val="NormalWeb"/>
              <w:jc w:val="center"/>
              <w:rPr>
                <w:b/>
                <w:sz w:val="18"/>
                <w:szCs w:val="18"/>
              </w:rPr>
            </w:pPr>
            <w:r w:rsidRPr="009E084A">
              <w:rPr>
                <w:b/>
                <w:sz w:val="18"/>
                <w:szCs w:val="18"/>
              </w:rPr>
              <w:t>2,729</w:t>
            </w:r>
          </w:p>
        </w:tc>
        <w:tc>
          <w:tcPr>
            <w:tcW w:w="1770" w:type="dxa"/>
            <w:shd w:val="clear" w:color="auto" w:fill="FDE9D9" w:themeFill="accent6" w:themeFillTint="33"/>
            <w:hideMark/>
          </w:tcPr>
          <w:p w14:paraId="1F758A75" w14:textId="77777777" w:rsidR="00E87D5B" w:rsidRPr="009E084A" w:rsidRDefault="00E87D5B" w:rsidP="00F8742F">
            <w:pPr>
              <w:pStyle w:val="NormalWeb"/>
              <w:jc w:val="center"/>
              <w:rPr>
                <w:b/>
                <w:sz w:val="18"/>
                <w:szCs w:val="18"/>
              </w:rPr>
            </w:pPr>
            <w:r w:rsidRPr="009E084A">
              <w:rPr>
                <w:b/>
                <w:sz w:val="18"/>
                <w:szCs w:val="18"/>
              </w:rPr>
              <w:t>82.1%</w:t>
            </w:r>
          </w:p>
        </w:tc>
        <w:tc>
          <w:tcPr>
            <w:tcW w:w="1818" w:type="dxa"/>
            <w:shd w:val="clear" w:color="auto" w:fill="FDE9D9" w:themeFill="accent6" w:themeFillTint="33"/>
            <w:hideMark/>
          </w:tcPr>
          <w:p w14:paraId="7B4D65B2" w14:textId="77777777" w:rsidR="00E87D5B" w:rsidRPr="009E084A" w:rsidRDefault="00E87D5B" w:rsidP="00F8742F">
            <w:pPr>
              <w:pStyle w:val="NormalWeb"/>
              <w:jc w:val="center"/>
              <w:rPr>
                <w:b/>
                <w:sz w:val="18"/>
                <w:szCs w:val="18"/>
              </w:rPr>
            </w:pPr>
            <w:r w:rsidRPr="009E084A">
              <w:rPr>
                <w:b/>
                <w:sz w:val="18"/>
                <w:szCs w:val="18"/>
              </w:rPr>
              <w:t>80.6–83.5%</w:t>
            </w:r>
          </w:p>
        </w:tc>
      </w:tr>
      <w:tr w:rsidR="00182677" w:rsidRPr="009E084A" w14:paraId="3DB44E42" w14:textId="77777777" w:rsidTr="009E084A">
        <w:trPr>
          <w:cnfStyle w:val="000000010000" w:firstRow="0" w:lastRow="0" w:firstColumn="0" w:lastColumn="0" w:oddVBand="0" w:evenVBand="0" w:oddHBand="0" w:evenHBand="1" w:firstRowFirstColumn="0" w:firstRowLastColumn="0" w:lastRowFirstColumn="0" w:lastRowLastColumn="0"/>
        </w:trPr>
        <w:tc>
          <w:tcPr>
            <w:tcW w:w="14938" w:type="dxa"/>
            <w:gridSpan w:val="10"/>
            <w:shd w:val="clear" w:color="auto" w:fill="808080" w:themeFill="background1" w:themeFillShade="80"/>
            <w:hideMark/>
          </w:tcPr>
          <w:p w14:paraId="278F40C3" w14:textId="77777777" w:rsidR="00E87D5B" w:rsidRPr="009E084A" w:rsidRDefault="00E87D5B" w:rsidP="00A13725">
            <w:pPr>
              <w:pStyle w:val="NormalWeb"/>
              <w:rPr>
                <w:b/>
                <w:color w:val="FFFFFF" w:themeColor="background1"/>
                <w:sz w:val="18"/>
                <w:szCs w:val="18"/>
              </w:rPr>
            </w:pPr>
            <w:r w:rsidRPr="009E084A">
              <w:rPr>
                <w:b/>
                <w:color w:val="FFFFFF" w:themeColor="background1"/>
                <w:sz w:val="18"/>
                <w:szCs w:val="18"/>
              </w:rPr>
              <w:t>Positive</w:t>
            </w:r>
          </w:p>
        </w:tc>
      </w:tr>
      <w:tr w:rsidR="000A5606" w:rsidRPr="009E084A" w14:paraId="63010CDF" w14:textId="77777777" w:rsidTr="009E084A">
        <w:tc>
          <w:tcPr>
            <w:tcW w:w="0" w:type="auto"/>
            <w:hideMark/>
          </w:tcPr>
          <w:p w14:paraId="492B1683" w14:textId="77777777" w:rsidR="00E87D5B" w:rsidRPr="009E084A" w:rsidRDefault="00E87D5B">
            <w:pPr>
              <w:pStyle w:val="NormalWeb"/>
              <w:rPr>
                <w:sz w:val="18"/>
                <w:szCs w:val="18"/>
              </w:rPr>
            </w:pPr>
            <w:r w:rsidRPr="009E084A">
              <w:rPr>
                <w:sz w:val="18"/>
                <w:szCs w:val="18"/>
              </w:rPr>
              <w:t>1</w:t>
            </w:r>
          </w:p>
        </w:tc>
        <w:tc>
          <w:tcPr>
            <w:tcW w:w="1402" w:type="dxa"/>
            <w:hideMark/>
          </w:tcPr>
          <w:p w14:paraId="150B85F2" w14:textId="77777777" w:rsidR="00E87D5B" w:rsidRPr="009E084A" w:rsidRDefault="00E87D5B" w:rsidP="00F8742F">
            <w:pPr>
              <w:pStyle w:val="NormalWeb"/>
              <w:jc w:val="center"/>
              <w:rPr>
                <w:sz w:val="18"/>
                <w:szCs w:val="18"/>
              </w:rPr>
            </w:pPr>
            <w:r w:rsidRPr="009E084A">
              <w:rPr>
                <w:sz w:val="18"/>
                <w:szCs w:val="18"/>
              </w:rPr>
              <w:t>333</w:t>
            </w:r>
          </w:p>
        </w:tc>
        <w:tc>
          <w:tcPr>
            <w:tcW w:w="1134" w:type="dxa"/>
            <w:hideMark/>
          </w:tcPr>
          <w:p w14:paraId="761E4D08" w14:textId="77777777" w:rsidR="00E87D5B" w:rsidRPr="009E084A" w:rsidRDefault="00E87D5B" w:rsidP="00F8742F">
            <w:pPr>
              <w:pStyle w:val="NormalWeb"/>
              <w:jc w:val="center"/>
              <w:rPr>
                <w:sz w:val="18"/>
                <w:szCs w:val="18"/>
              </w:rPr>
            </w:pPr>
            <w:r w:rsidRPr="009E084A">
              <w:rPr>
                <w:sz w:val="18"/>
                <w:szCs w:val="18"/>
              </w:rPr>
              <w:t>48.3%</w:t>
            </w:r>
          </w:p>
        </w:tc>
        <w:tc>
          <w:tcPr>
            <w:tcW w:w="1131" w:type="dxa"/>
            <w:hideMark/>
          </w:tcPr>
          <w:p w14:paraId="037E2DFC" w14:textId="77777777" w:rsidR="00E87D5B" w:rsidRPr="009E084A" w:rsidRDefault="00E87D5B" w:rsidP="00F8742F">
            <w:pPr>
              <w:pStyle w:val="NormalWeb"/>
              <w:jc w:val="center"/>
              <w:rPr>
                <w:sz w:val="18"/>
                <w:szCs w:val="18"/>
              </w:rPr>
            </w:pPr>
            <w:r w:rsidRPr="009E084A">
              <w:rPr>
                <w:sz w:val="18"/>
                <w:szCs w:val="18"/>
              </w:rPr>
              <w:t>43.0–53.7%</w:t>
            </w:r>
          </w:p>
        </w:tc>
        <w:tc>
          <w:tcPr>
            <w:tcW w:w="1413" w:type="dxa"/>
            <w:hideMark/>
          </w:tcPr>
          <w:p w14:paraId="1AB6DC9D" w14:textId="77777777" w:rsidR="00E87D5B" w:rsidRPr="009E084A" w:rsidRDefault="00E87D5B" w:rsidP="00F8742F">
            <w:pPr>
              <w:pStyle w:val="NormalWeb"/>
              <w:jc w:val="center"/>
              <w:rPr>
                <w:sz w:val="18"/>
                <w:szCs w:val="18"/>
              </w:rPr>
            </w:pPr>
            <w:r w:rsidRPr="009E084A">
              <w:rPr>
                <w:sz w:val="18"/>
                <w:szCs w:val="18"/>
              </w:rPr>
              <w:t>208</w:t>
            </w:r>
          </w:p>
        </w:tc>
        <w:tc>
          <w:tcPr>
            <w:tcW w:w="1992" w:type="dxa"/>
            <w:hideMark/>
          </w:tcPr>
          <w:p w14:paraId="743A321F" w14:textId="77777777" w:rsidR="00E87D5B" w:rsidRPr="009E084A" w:rsidRDefault="00E87D5B" w:rsidP="00F8742F">
            <w:pPr>
              <w:pStyle w:val="NormalWeb"/>
              <w:jc w:val="center"/>
              <w:rPr>
                <w:sz w:val="18"/>
                <w:szCs w:val="18"/>
              </w:rPr>
            </w:pPr>
            <w:r w:rsidRPr="009E084A">
              <w:rPr>
                <w:sz w:val="18"/>
                <w:szCs w:val="18"/>
              </w:rPr>
              <w:t xml:space="preserve">30.4% </w:t>
            </w:r>
            <w:r w:rsidRPr="009E084A">
              <w:rPr>
                <w:sz w:val="18"/>
                <w:szCs w:val="18"/>
                <w:vertAlign w:val="superscript"/>
              </w:rPr>
              <w:t>a</w:t>
            </w:r>
          </w:p>
        </w:tc>
        <w:tc>
          <w:tcPr>
            <w:tcW w:w="1362" w:type="dxa"/>
            <w:hideMark/>
          </w:tcPr>
          <w:p w14:paraId="77A1CD37" w14:textId="77777777" w:rsidR="00E87D5B" w:rsidRPr="009E084A" w:rsidRDefault="00E87D5B" w:rsidP="00F8742F">
            <w:pPr>
              <w:pStyle w:val="NormalWeb"/>
              <w:jc w:val="center"/>
              <w:rPr>
                <w:sz w:val="18"/>
                <w:szCs w:val="18"/>
              </w:rPr>
            </w:pPr>
            <w:r w:rsidRPr="009E084A">
              <w:rPr>
                <w:sz w:val="18"/>
                <w:szCs w:val="18"/>
              </w:rPr>
              <w:t>24.0–37.6%</w:t>
            </w:r>
          </w:p>
        </w:tc>
        <w:tc>
          <w:tcPr>
            <w:tcW w:w="1483" w:type="dxa"/>
            <w:hideMark/>
          </w:tcPr>
          <w:p w14:paraId="154A9DDC" w14:textId="77777777" w:rsidR="00E87D5B" w:rsidRPr="009E084A" w:rsidRDefault="00E87D5B" w:rsidP="00F8742F">
            <w:pPr>
              <w:pStyle w:val="NormalWeb"/>
              <w:jc w:val="center"/>
              <w:rPr>
                <w:sz w:val="18"/>
                <w:szCs w:val="18"/>
              </w:rPr>
            </w:pPr>
            <w:r w:rsidRPr="009E084A">
              <w:rPr>
                <w:sz w:val="18"/>
                <w:szCs w:val="18"/>
              </w:rPr>
              <w:t>183</w:t>
            </w:r>
          </w:p>
        </w:tc>
        <w:tc>
          <w:tcPr>
            <w:tcW w:w="1770" w:type="dxa"/>
            <w:hideMark/>
          </w:tcPr>
          <w:p w14:paraId="6A96C388" w14:textId="77777777" w:rsidR="00E87D5B" w:rsidRPr="009E084A" w:rsidRDefault="00E87D5B" w:rsidP="00F8742F">
            <w:pPr>
              <w:pStyle w:val="NormalWeb"/>
              <w:jc w:val="center"/>
              <w:rPr>
                <w:sz w:val="18"/>
                <w:szCs w:val="18"/>
              </w:rPr>
            </w:pPr>
            <w:r w:rsidRPr="009E084A">
              <w:rPr>
                <w:sz w:val="18"/>
                <w:szCs w:val="18"/>
              </w:rPr>
              <w:t>50.8%</w:t>
            </w:r>
          </w:p>
        </w:tc>
        <w:tc>
          <w:tcPr>
            <w:tcW w:w="1818" w:type="dxa"/>
            <w:hideMark/>
          </w:tcPr>
          <w:p w14:paraId="34D8249B" w14:textId="77777777" w:rsidR="00E87D5B" w:rsidRPr="009E084A" w:rsidRDefault="00E87D5B" w:rsidP="00F8742F">
            <w:pPr>
              <w:pStyle w:val="NormalWeb"/>
              <w:jc w:val="center"/>
              <w:rPr>
                <w:sz w:val="18"/>
                <w:szCs w:val="18"/>
              </w:rPr>
            </w:pPr>
            <w:r w:rsidRPr="009E084A">
              <w:rPr>
                <w:sz w:val="18"/>
                <w:szCs w:val="18"/>
              </w:rPr>
              <w:t>43.0–58.5%</w:t>
            </w:r>
          </w:p>
        </w:tc>
      </w:tr>
      <w:tr w:rsidR="000A5606" w:rsidRPr="009E084A" w14:paraId="557F735B"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3A57BA8D" w14:textId="77777777" w:rsidR="00E87D5B" w:rsidRPr="009E084A" w:rsidRDefault="00E87D5B">
            <w:pPr>
              <w:pStyle w:val="NormalWeb"/>
              <w:rPr>
                <w:sz w:val="18"/>
                <w:szCs w:val="18"/>
              </w:rPr>
            </w:pPr>
            <w:r w:rsidRPr="009E084A">
              <w:rPr>
                <w:sz w:val="18"/>
                <w:szCs w:val="18"/>
              </w:rPr>
              <w:t>2–4</w:t>
            </w:r>
          </w:p>
        </w:tc>
        <w:tc>
          <w:tcPr>
            <w:tcW w:w="1402" w:type="dxa"/>
            <w:hideMark/>
          </w:tcPr>
          <w:p w14:paraId="529C9082" w14:textId="77777777" w:rsidR="00E87D5B" w:rsidRPr="009E084A" w:rsidRDefault="00E87D5B" w:rsidP="00F8742F">
            <w:pPr>
              <w:pStyle w:val="NormalWeb"/>
              <w:jc w:val="center"/>
              <w:rPr>
                <w:sz w:val="18"/>
                <w:szCs w:val="18"/>
              </w:rPr>
            </w:pPr>
            <w:r w:rsidRPr="009E084A">
              <w:rPr>
                <w:sz w:val="18"/>
                <w:szCs w:val="18"/>
              </w:rPr>
              <w:t>439</w:t>
            </w:r>
          </w:p>
        </w:tc>
        <w:tc>
          <w:tcPr>
            <w:tcW w:w="1134" w:type="dxa"/>
            <w:hideMark/>
          </w:tcPr>
          <w:p w14:paraId="5B60AA89" w14:textId="77777777" w:rsidR="00E87D5B" w:rsidRPr="009E084A" w:rsidRDefault="00E87D5B" w:rsidP="00F8742F">
            <w:pPr>
              <w:pStyle w:val="NormalWeb"/>
              <w:jc w:val="center"/>
              <w:rPr>
                <w:sz w:val="18"/>
                <w:szCs w:val="18"/>
              </w:rPr>
            </w:pPr>
            <w:r w:rsidRPr="009E084A">
              <w:rPr>
                <w:sz w:val="18"/>
                <w:szCs w:val="18"/>
              </w:rPr>
              <w:t xml:space="preserve">59.7% </w:t>
            </w:r>
            <w:r w:rsidRPr="009E084A">
              <w:rPr>
                <w:sz w:val="18"/>
                <w:szCs w:val="18"/>
                <w:vertAlign w:val="superscript"/>
              </w:rPr>
              <w:t>a</w:t>
            </w:r>
          </w:p>
        </w:tc>
        <w:tc>
          <w:tcPr>
            <w:tcW w:w="1131" w:type="dxa"/>
            <w:hideMark/>
          </w:tcPr>
          <w:p w14:paraId="267B2569" w14:textId="77777777" w:rsidR="00E87D5B" w:rsidRPr="009E084A" w:rsidRDefault="00E87D5B" w:rsidP="00F8742F">
            <w:pPr>
              <w:pStyle w:val="NormalWeb"/>
              <w:jc w:val="center"/>
              <w:rPr>
                <w:sz w:val="18"/>
                <w:szCs w:val="18"/>
              </w:rPr>
            </w:pPr>
            <w:r w:rsidRPr="009E084A">
              <w:rPr>
                <w:sz w:val="18"/>
                <w:szCs w:val="18"/>
              </w:rPr>
              <w:t>55.0–64.2%</w:t>
            </w:r>
          </w:p>
        </w:tc>
        <w:tc>
          <w:tcPr>
            <w:tcW w:w="1413" w:type="dxa"/>
            <w:hideMark/>
          </w:tcPr>
          <w:p w14:paraId="5D56E63D" w14:textId="77777777" w:rsidR="00E87D5B" w:rsidRPr="009E084A" w:rsidRDefault="00E87D5B" w:rsidP="00F8742F">
            <w:pPr>
              <w:pStyle w:val="NormalWeb"/>
              <w:jc w:val="center"/>
              <w:rPr>
                <w:sz w:val="18"/>
                <w:szCs w:val="18"/>
              </w:rPr>
            </w:pPr>
            <w:r w:rsidRPr="009E084A">
              <w:rPr>
                <w:sz w:val="18"/>
                <w:szCs w:val="18"/>
              </w:rPr>
              <w:t>601</w:t>
            </w:r>
          </w:p>
        </w:tc>
        <w:tc>
          <w:tcPr>
            <w:tcW w:w="1992" w:type="dxa"/>
            <w:hideMark/>
          </w:tcPr>
          <w:p w14:paraId="69CB9BBB" w14:textId="77777777" w:rsidR="00E87D5B" w:rsidRPr="009E084A" w:rsidRDefault="00E87D5B" w:rsidP="00F8742F">
            <w:pPr>
              <w:pStyle w:val="NormalWeb"/>
              <w:jc w:val="center"/>
              <w:rPr>
                <w:sz w:val="18"/>
                <w:szCs w:val="18"/>
              </w:rPr>
            </w:pPr>
            <w:r w:rsidRPr="009E084A">
              <w:rPr>
                <w:sz w:val="18"/>
                <w:szCs w:val="18"/>
              </w:rPr>
              <w:t xml:space="preserve">60.9% </w:t>
            </w:r>
            <w:r w:rsidRPr="009E084A">
              <w:rPr>
                <w:sz w:val="18"/>
                <w:szCs w:val="18"/>
                <w:vertAlign w:val="superscript"/>
              </w:rPr>
              <w:t>a</w:t>
            </w:r>
          </w:p>
        </w:tc>
        <w:tc>
          <w:tcPr>
            <w:tcW w:w="1362" w:type="dxa"/>
            <w:hideMark/>
          </w:tcPr>
          <w:p w14:paraId="43225283" w14:textId="77777777" w:rsidR="00E87D5B" w:rsidRPr="009E084A" w:rsidRDefault="00E87D5B" w:rsidP="00F8742F">
            <w:pPr>
              <w:pStyle w:val="NormalWeb"/>
              <w:jc w:val="center"/>
              <w:rPr>
                <w:sz w:val="18"/>
                <w:szCs w:val="18"/>
              </w:rPr>
            </w:pPr>
            <w:r w:rsidRPr="009E084A">
              <w:rPr>
                <w:sz w:val="18"/>
                <w:szCs w:val="18"/>
              </w:rPr>
              <w:t>56.7–65.0%</w:t>
            </w:r>
          </w:p>
        </w:tc>
        <w:tc>
          <w:tcPr>
            <w:tcW w:w="1483" w:type="dxa"/>
            <w:hideMark/>
          </w:tcPr>
          <w:p w14:paraId="16C455EA" w14:textId="77777777" w:rsidR="00E87D5B" w:rsidRPr="009E084A" w:rsidRDefault="00E87D5B" w:rsidP="00F8742F">
            <w:pPr>
              <w:pStyle w:val="NormalWeb"/>
              <w:jc w:val="center"/>
              <w:rPr>
                <w:sz w:val="18"/>
                <w:szCs w:val="18"/>
              </w:rPr>
            </w:pPr>
            <w:r w:rsidRPr="009E084A">
              <w:rPr>
                <w:sz w:val="18"/>
                <w:szCs w:val="18"/>
              </w:rPr>
              <w:t>287</w:t>
            </w:r>
          </w:p>
        </w:tc>
        <w:tc>
          <w:tcPr>
            <w:tcW w:w="1770" w:type="dxa"/>
            <w:hideMark/>
          </w:tcPr>
          <w:p w14:paraId="0520C22F" w14:textId="77777777" w:rsidR="00E87D5B" w:rsidRPr="009E084A" w:rsidRDefault="00E87D5B" w:rsidP="00F8742F">
            <w:pPr>
              <w:pStyle w:val="NormalWeb"/>
              <w:jc w:val="center"/>
              <w:rPr>
                <w:sz w:val="18"/>
                <w:szCs w:val="18"/>
              </w:rPr>
            </w:pPr>
            <w:r w:rsidRPr="009E084A">
              <w:rPr>
                <w:sz w:val="18"/>
                <w:szCs w:val="18"/>
              </w:rPr>
              <w:t>72.6%</w:t>
            </w:r>
          </w:p>
        </w:tc>
        <w:tc>
          <w:tcPr>
            <w:tcW w:w="1818" w:type="dxa"/>
            <w:hideMark/>
          </w:tcPr>
          <w:p w14:paraId="54C64630" w14:textId="77777777" w:rsidR="00E87D5B" w:rsidRPr="009E084A" w:rsidRDefault="00E87D5B" w:rsidP="00F8742F">
            <w:pPr>
              <w:pStyle w:val="NormalWeb"/>
              <w:jc w:val="center"/>
              <w:rPr>
                <w:sz w:val="18"/>
                <w:szCs w:val="18"/>
              </w:rPr>
            </w:pPr>
            <w:r w:rsidRPr="009E084A">
              <w:rPr>
                <w:sz w:val="18"/>
                <w:szCs w:val="18"/>
              </w:rPr>
              <w:t>67.1–77.5%</w:t>
            </w:r>
          </w:p>
        </w:tc>
      </w:tr>
      <w:tr w:rsidR="000A5606" w:rsidRPr="009E084A" w14:paraId="4E54376B" w14:textId="77777777" w:rsidTr="009E084A">
        <w:tc>
          <w:tcPr>
            <w:tcW w:w="0" w:type="auto"/>
            <w:hideMark/>
          </w:tcPr>
          <w:p w14:paraId="157954AF" w14:textId="77777777" w:rsidR="00E87D5B" w:rsidRPr="009E084A" w:rsidRDefault="00E87D5B">
            <w:pPr>
              <w:pStyle w:val="NormalWeb"/>
              <w:rPr>
                <w:sz w:val="18"/>
                <w:szCs w:val="18"/>
              </w:rPr>
            </w:pPr>
            <w:r w:rsidRPr="009E084A">
              <w:rPr>
                <w:sz w:val="18"/>
                <w:szCs w:val="18"/>
              </w:rPr>
              <w:t>5–9</w:t>
            </w:r>
          </w:p>
        </w:tc>
        <w:tc>
          <w:tcPr>
            <w:tcW w:w="1402" w:type="dxa"/>
            <w:hideMark/>
          </w:tcPr>
          <w:p w14:paraId="6AB28341" w14:textId="77777777" w:rsidR="00E87D5B" w:rsidRPr="009E084A" w:rsidRDefault="00E87D5B" w:rsidP="00F8742F">
            <w:pPr>
              <w:pStyle w:val="NormalWeb"/>
              <w:jc w:val="center"/>
              <w:rPr>
                <w:sz w:val="18"/>
                <w:szCs w:val="18"/>
              </w:rPr>
            </w:pPr>
            <w:r w:rsidRPr="009E084A">
              <w:rPr>
                <w:sz w:val="18"/>
                <w:szCs w:val="18"/>
              </w:rPr>
              <w:t>315</w:t>
            </w:r>
          </w:p>
        </w:tc>
        <w:tc>
          <w:tcPr>
            <w:tcW w:w="1134" w:type="dxa"/>
            <w:hideMark/>
          </w:tcPr>
          <w:p w14:paraId="5D6251F8" w14:textId="77777777" w:rsidR="00E87D5B" w:rsidRPr="009E084A" w:rsidRDefault="00E87D5B" w:rsidP="00F8742F">
            <w:pPr>
              <w:pStyle w:val="NormalWeb"/>
              <w:jc w:val="center"/>
              <w:rPr>
                <w:sz w:val="18"/>
                <w:szCs w:val="18"/>
              </w:rPr>
            </w:pPr>
            <w:r w:rsidRPr="009E084A">
              <w:rPr>
                <w:sz w:val="18"/>
                <w:szCs w:val="18"/>
              </w:rPr>
              <w:t>73.7%</w:t>
            </w:r>
          </w:p>
        </w:tc>
        <w:tc>
          <w:tcPr>
            <w:tcW w:w="1131" w:type="dxa"/>
            <w:hideMark/>
          </w:tcPr>
          <w:p w14:paraId="1FEF6C84" w14:textId="77777777" w:rsidR="00E87D5B" w:rsidRPr="009E084A" w:rsidRDefault="00E87D5B" w:rsidP="00F8742F">
            <w:pPr>
              <w:pStyle w:val="NormalWeb"/>
              <w:jc w:val="center"/>
              <w:rPr>
                <w:sz w:val="18"/>
                <w:szCs w:val="18"/>
              </w:rPr>
            </w:pPr>
            <w:r w:rsidRPr="009E084A">
              <w:rPr>
                <w:sz w:val="18"/>
                <w:szCs w:val="18"/>
              </w:rPr>
              <w:t>68.5–78.2%</w:t>
            </w:r>
          </w:p>
        </w:tc>
        <w:tc>
          <w:tcPr>
            <w:tcW w:w="1413" w:type="dxa"/>
            <w:hideMark/>
          </w:tcPr>
          <w:p w14:paraId="3F22BA20" w14:textId="77777777" w:rsidR="00E87D5B" w:rsidRPr="009E084A" w:rsidRDefault="00E87D5B" w:rsidP="00F8742F">
            <w:pPr>
              <w:pStyle w:val="NormalWeb"/>
              <w:jc w:val="center"/>
              <w:rPr>
                <w:sz w:val="18"/>
                <w:szCs w:val="18"/>
              </w:rPr>
            </w:pPr>
            <w:r w:rsidRPr="009E084A">
              <w:rPr>
                <w:sz w:val="18"/>
                <w:szCs w:val="18"/>
              </w:rPr>
              <w:t>464</w:t>
            </w:r>
          </w:p>
        </w:tc>
        <w:tc>
          <w:tcPr>
            <w:tcW w:w="1992" w:type="dxa"/>
            <w:hideMark/>
          </w:tcPr>
          <w:p w14:paraId="324B43FA" w14:textId="77777777" w:rsidR="00E87D5B" w:rsidRPr="009E084A" w:rsidRDefault="00E87D5B" w:rsidP="00F8742F">
            <w:pPr>
              <w:pStyle w:val="NormalWeb"/>
              <w:jc w:val="center"/>
              <w:rPr>
                <w:sz w:val="18"/>
                <w:szCs w:val="18"/>
              </w:rPr>
            </w:pPr>
            <w:r w:rsidRPr="009E084A">
              <w:rPr>
                <w:sz w:val="18"/>
                <w:szCs w:val="18"/>
              </w:rPr>
              <w:t xml:space="preserve">67.0% </w:t>
            </w:r>
            <w:r w:rsidRPr="009E084A">
              <w:rPr>
                <w:sz w:val="18"/>
                <w:szCs w:val="18"/>
                <w:vertAlign w:val="superscript"/>
              </w:rPr>
              <w:t>a</w:t>
            </w:r>
          </w:p>
        </w:tc>
        <w:tc>
          <w:tcPr>
            <w:tcW w:w="1362" w:type="dxa"/>
            <w:hideMark/>
          </w:tcPr>
          <w:p w14:paraId="0C7BAC4F" w14:textId="77777777" w:rsidR="00E87D5B" w:rsidRPr="009E084A" w:rsidRDefault="00E87D5B" w:rsidP="00F8742F">
            <w:pPr>
              <w:pStyle w:val="NormalWeb"/>
              <w:jc w:val="center"/>
              <w:rPr>
                <w:sz w:val="18"/>
                <w:szCs w:val="18"/>
              </w:rPr>
            </w:pPr>
            <w:r w:rsidRPr="009E084A">
              <w:rPr>
                <w:sz w:val="18"/>
                <w:szCs w:val="18"/>
              </w:rPr>
              <w:t>62.4–71.2%</w:t>
            </w:r>
          </w:p>
        </w:tc>
        <w:tc>
          <w:tcPr>
            <w:tcW w:w="1483" w:type="dxa"/>
            <w:hideMark/>
          </w:tcPr>
          <w:p w14:paraId="7F8E080B" w14:textId="77777777" w:rsidR="00E87D5B" w:rsidRPr="009E084A" w:rsidRDefault="00E87D5B" w:rsidP="00F8742F">
            <w:pPr>
              <w:pStyle w:val="NormalWeb"/>
              <w:jc w:val="center"/>
              <w:rPr>
                <w:sz w:val="18"/>
                <w:szCs w:val="18"/>
              </w:rPr>
            </w:pPr>
            <w:r w:rsidRPr="009E084A">
              <w:rPr>
                <w:sz w:val="18"/>
                <w:szCs w:val="18"/>
              </w:rPr>
              <w:t>199</w:t>
            </w:r>
          </w:p>
        </w:tc>
        <w:tc>
          <w:tcPr>
            <w:tcW w:w="1770" w:type="dxa"/>
            <w:hideMark/>
          </w:tcPr>
          <w:p w14:paraId="06D79ACA" w14:textId="77777777" w:rsidR="00E87D5B" w:rsidRPr="009E084A" w:rsidRDefault="00E87D5B" w:rsidP="00F8742F">
            <w:pPr>
              <w:pStyle w:val="NormalWeb"/>
              <w:jc w:val="center"/>
              <w:rPr>
                <w:sz w:val="18"/>
                <w:szCs w:val="18"/>
              </w:rPr>
            </w:pPr>
            <w:r w:rsidRPr="009E084A">
              <w:rPr>
                <w:sz w:val="18"/>
                <w:szCs w:val="18"/>
              </w:rPr>
              <w:t>79.9%</w:t>
            </w:r>
          </w:p>
        </w:tc>
        <w:tc>
          <w:tcPr>
            <w:tcW w:w="1818" w:type="dxa"/>
            <w:hideMark/>
          </w:tcPr>
          <w:p w14:paraId="1859F68D" w14:textId="77777777" w:rsidR="00E87D5B" w:rsidRPr="009E084A" w:rsidRDefault="00E87D5B" w:rsidP="00F8742F">
            <w:pPr>
              <w:pStyle w:val="NormalWeb"/>
              <w:jc w:val="center"/>
              <w:rPr>
                <w:sz w:val="18"/>
                <w:szCs w:val="18"/>
              </w:rPr>
            </w:pPr>
            <w:r w:rsidRPr="009E084A">
              <w:rPr>
                <w:sz w:val="18"/>
                <w:szCs w:val="18"/>
              </w:rPr>
              <w:t>73.7–84.9%</w:t>
            </w:r>
          </w:p>
        </w:tc>
      </w:tr>
      <w:tr w:rsidR="000A5606" w:rsidRPr="009E084A" w14:paraId="1037D7B5"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0FDEE68E" w14:textId="77777777" w:rsidR="00E87D5B" w:rsidRPr="009E084A" w:rsidRDefault="00E87D5B">
            <w:pPr>
              <w:pStyle w:val="NormalWeb"/>
              <w:rPr>
                <w:sz w:val="18"/>
                <w:szCs w:val="18"/>
              </w:rPr>
            </w:pPr>
            <w:r w:rsidRPr="009E084A">
              <w:rPr>
                <w:sz w:val="18"/>
                <w:szCs w:val="18"/>
              </w:rPr>
              <w:t>10–14</w:t>
            </w:r>
          </w:p>
        </w:tc>
        <w:tc>
          <w:tcPr>
            <w:tcW w:w="1402" w:type="dxa"/>
            <w:hideMark/>
          </w:tcPr>
          <w:p w14:paraId="753F9187" w14:textId="77777777" w:rsidR="00E87D5B" w:rsidRPr="009E084A" w:rsidRDefault="00E87D5B" w:rsidP="00F8742F">
            <w:pPr>
              <w:pStyle w:val="NormalWeb"/>
              <w:jc w:val="center"/>
              <w:rPr>
                <w:sz w:val="18"/>
                <w:szCs w:val="18"/>
              </w:rPr>
            </w:pPr>
            <w:r w:rsidRPr="009E084A">
              <w:rPr>
                <w:sz w:val="18"/>
                <w:szCs w:val="18"/>
              </w:rPr>
              <w:t>197</w:t>
            </w:r>
          </w:p>
        </w:tc>
        <w:tc>
          <w:tcPr>
            <w:tcW w:w="1134" w:type="dxa"/>
            <w:hideMark/>
          </w:tcPr>
          <w:p w14:paraId="22BECDDF" w14:textId="77777777" w:rsidR="00E87D5B" w:rsidRPr="009E084A" w:rsidRDefault="00E87D5B" w:rsidP="00F8742F">
            <w:pPr>
              <w:pStyle w:val="NormalWeb"/>
              <w:jc w:val="center"/>
              <w:rPr>
                <w:sz w:val="18"/>
                <w:szCs w:val="18"/>
              </w:rPr>
            </w:pPr>
            <w:r w:rsidRPr="009E084A">
              <w:rPr>
                <w:sz w:val="18"/>
                <w:szCs w:val="18"/>
              </w:rPr>
              <w:t>68.5%</w:t>
            </w:r>
          </w:p>
        </w:tc>
        <w:tc>
          <w:tcPr>
            <w:tcW w:w="1131" w:type="dxa"/>
            <w:hideMark/>
          </w:tcPr>
          <w:p w14:paraId="0CECB829" w14:textId="77777777" w:rsidR="00E87D5B" w:rsidRPr="009E084A" w:rsidRDefault="00E87D5B" w:rsidP="00F8742F">
            <w:pPr>
              <w:pStyle w:val="NormalWeb"/>
              <w:jc w:val="center"/>
              <w:rPr>
                <w:sz w:val="18"/>
                <w:szCs w:val="18"/>
              </w:rPr>
            </w:pPr>
            <w:r w:rsidRPr="009E084A">
              <w:rPr>
                <w:sz w:val="18"/>
                <w:szCs w:val="18"/>
              </w:rPr>
              <w:t>61.7–74.6%</w:t>
            </w:r>
          </w:p>
        </w:tc>
        <w:tc>
          <w:tcPr>
            <w:tcW w:w="1413" w:type="dxa"/>
            <w:hideMark/>
          </w:tcPr>
          <w:p w14:paraId="7061AFB1" w14:textId="77777777" w:rsidR="00E87D5B" w:rsidRPr="009E084A" w:rsidRDefault="00E87D5B" w:rsidP="00F8742F">
            <w:pPr>
              <w:pStyle w:val="NormalWeb"/>
              <w:jc w:val="center"/>
              <w:rPr>
                <w:sz w:val="18"/>
                <w:szCs w:val="18"/>
              </w:rPr>
            </w:pPr>
            <w:r w:rsidRPr="009E084A">
              <w:rPr>
                <w:sz w:val="18"/>
                <w:szCs w:val="18"/>
              </w:rPr>
              <w:t>239</w:t>
            </w:r>
          </w:p>
        </w:tc>
        <w:tc>
          <w:tcPr>
            <w:tcW w:w="1992" w:type="dxa"/>
            <w:hideMark/>
          </w:tcPr>
          <w:p w14:paraId="6E9E1F58" w14:textId="77777777" w:rsidR="00E87D5B" w:rsidRPr="009E084A" w:rsidRDefault="00E87D5B" w:rsidP="00F8742F">
            <w:pPr>
              <w:pStyle w:val="NormalWeb"/>
              <w:jc w:val="center"/>
              <w:rPr>
                <w:sz w:val="18"/>
                <w:szCs w:val="18"/>
              </w:rPr>
            </w:pPr>
            <w:r w:rsidRPr="009E084A">
              <w:rPr>
                <w:sz w:val="18"/>
                <w:szCs w:val="18"/>
              </w:rPr>
              <w:t xml:space="preserve">54.0% </w:t>
            </w:r>
            <w:r w:rsidRPr="009E084A">
              <w:rPr>
                <w:sz w:val="18"/>
                <w:szCs w:val="18"/>
                <w:vertAlign w:val="superscript"/>
              </w:rPr>
              <w:t>a</w:t>
            </w:r>
          </w:p>
        </w:tc>
        <w:tc>
          <w:tcPr>
            <w:tcW w:w="1362" w:type="dxa"/>
            <w:hideMark/>
          </w:tcPr>
          <w:p w14:paraId="43257186" w14:textId="77777777" w:rsidR="00E87D5B" w:rsidRPr="009E084A" w:rsidRDefault="00E87D5B" w:rsidP="00F8742F">
            <w:pPr>
              <w:pStyle w:val="NormalWeb"/>
              <w:jc w:val="center"/>
              <w:rPr>
                <w:sz w:val="18"/>
                <w:szCs w:val="18"/>
              </w:rPr>
            </w:pPr>
            <w:r w:rsidRPr="009E084A">
              <w:rPr>
                <w:sz w:val="18"/>
                <w:szCs w:val="18"/>
              </w:rPr>
              <w:t>47.6–60.2%</w:t>
            </w:r>
          </w:p>
        </w:tc>
        <w:tc>
          <w:tcPr>
            <w:tcW w:w="1483" w:type="dxa"/>
            <w:hideMark/>
          </w:tcPr>
          <w:p w14:paraId="0E80F394"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040D3CB3" w14:textId="77777777" w:rsidR="00E87D5B" w:rsidRPr="009E084A" w:rsidRDefault="00E87D5B" w:rsidP="00F8742F">
            <w:pPr>
              <w:pStyle w:val="NormalWeb"/>
              <w:jc w:val="center"/>
              <w:rPr>
                <w:sz w:val="18"/>
                <w:szCs w:val="18"/>
              </w:rPr>
            </w:pPr>
            <w:r w:rsidRPr="009E084A">
              <w:rPr>
                <w:sz w:val="18"/>
                <w:szCs w:val="18"/>
              </w:rPr>
              <w:t>65.0%</w:t>
            </w:r>
          </w:p>
        </w:tc>
        <w:tc>
          <w:tcPr>
            <w:tcW w:w="1818" w:type="dxa"/>
            <w:hideMark/>
          </w:tcPr>
          <w:p w14:paraId="0ADE60E5" w14:textId="77777777" w:rsidR="00E87D5B" w:rsidRPr="009E084A" w:rsidRDefault="00E87D5B" w:rsidP="00F8742F">
            <w:pPr>
              <w:pStyle w:val="NormalWeb"/>
              <w:jc w:val="center"/>
              <w:rPr>
                <w:sz w:val="18"/>
                <w:szCs w:val="18"/>
              </w:rPr>
            </w:pPr>
            <w:r w:rsidRPr="009E084A">
              <w:rPr>
                <w:sz w:val="18"/>
                <w:szCs w:val="18"/>
              </w:rPr>
              <w:t>59.2–70.5%</w:t>
            </w:r>
          </w:p>
        </w:tc>
      </w:tr>
      <w:tr w:rsidR="000A5606" w:rsidRPr="009E084A" w14:paraId="3AF4811C" w14:textId="77777777" w:rsidTr="009E084A">
        <w:tc>
          <w:tcPr>
            <w:tcW w:w="0" w:type="auto"/>
            <w:hideMark/>
          </w:tcPr>
          <w:p w14:paraId="495AFC2B" w14:textId="77777777" w:rsidR="00E87D5B" w:rsidRPr="009E084A" w:rsidRDefault="00E87D5B">
            <w:pPr>
              <w:pStyle w:val="NormalWeb"/>
              <w:rPr>
                <w:sz w:val="18"/>
                <w:szCs w:val="18"/>
              </w:rPr>
            </w:pPr>
            <w:r w:rsidRPr="009E084A">
              <w:rPr>
                <w:sz w:val="18"/>
                <w:szCs w:val="18"/>
              </w:rPr>
              <w:t>15–19</w:t>
            </w:r>
          </w:p>
        </w:tc>
        <w:tc>
          <w:tcPr>
            <w:tcW w:w="1402" w:type="dxa"/>
            <w:hideMark/>
          </w:tcPr>
          <w:p w14:paraId="4288C70D" w14:textId="77777777" w:rsidR="00E87D5B" w:rsidRPr="009E084A" w:rsidRDefault="00E87D5B" w:rsidP="00F8742F">
            <w:pPr>
              <w:pStyle w:val="NormalWeb"/>
              <w:jc w:val="center"/>
              <w:rPr>
                <w:sz w:val="18"/>
                <w:szCs w:val="18"/>
              </w:rPr>
            </w:pPr>
            <w:r w:rsidRPr="009E084A">
              <w:rPr>
                <w:sz w:val="18"/>
                <w:szCs w:val="18"/>
              </w:rPr>
              <w:t>266</w:t>
            </w:r>
          </w:p>
        </w:tc>
        <w:tc>
          <w:tcPr>
            <w:tcW w:w="1134" w:type="dxa"/>
            <w:hideMark/>
          </w:tcPr>
          <w:p w14:paraId="144917DD" w14:textId="77777777" w:rsidR="00E87D5B" w:rsidRPr="009E084A" w:rsidRDefault="00E87D5B" w:rsidP="00F8742F">
            <w:pPr>
              <w:pStyle w:val="NormalWeb"/>
              <w:jc w:val="center"/>
              <w:rPr>
                <w:sz w:val="18"/>
                <w:szCs w:val="18"/>
              </w:rPr>
            </w:pPr>
            <w:r w:rsidRPr="009E084A">
              <w:rPr>
                <w:sz w:val="18"/>
                <w:szCs w:val="18"/>
              </w:rPr>
              <w:t xml:space="preserve">57.1% </w:t>
            </w:r>
            <w:r w:rsidRPr="009E084A">
              <w:rPr>
                <w:sz w:val="18"/>
                <w:szCs w:val="18"/>
                <w:vertAlign w:val="superscript"/>
              </w:rPr>
              <w:t>a</w:t>
            </w:r>
          </w:p>
        </w:tc>
        <w:tc>
          <w:tcPr>
            <w:tcW w:w="1131" w:type="dxa"/>
            <w:hideMark/>
          </w:tcPr>
          <w:p w14:paraId="53254077" w14:textId="77777777" w:rsidR="00E87D5B" w:rsidRPr="009E084A" w:rsidRDefault="00E87D5B" w:rsidP="00F8742F">
            <w:pPr>
              <w:pStyle w:val="NormalWeb"/>
              <w:jc w:val="center"/>
              <w:rPr>
                <w:sz w:val="18"/>
                <w:szCs w:val="18"/>
              </w:rPr>
            </w:pPr>
            <w:r w:rsidRPr="009E084A">
              <w:rPr>
                <w:sz w:val="18"/>
                <w:szCs w:val="18"/>
              </w:rPr>
              <w:t>51.1–63.0%</w:t>
            </w:r>
          </w:p>
        </w:tc>
        <w:tc>
          <w:tcPr>
            <w:tcW w:w="1413" w:type="dxa"/>
            <w:hideMark/>
          </w:tcPr>
          <w:p w14:paraId="5727047F" w14:textId="77777777" w:rsidR="00E87D5B" w:rsidRPr="009E084A" w:rsidRDefault="00E87D5B" w:rsidP="00F8742F">
            <w:pPr>
              <w:pStyle w:val="NormalWeb"/>
              <w:jc w:val="center"/>
              <w:rPr>
                <w:sz w:val="18"/>
                <w:szCs w:val="18"/>
              </w:rPr>
            </w:pPr>
            <w:r w:rsidRPr="009E084A">
              <w:rPr>
                <w:sz w:val="18"/>
                <w:szCs w:val="18"/>
              </w:rPr>
              <w:t>196</w:t>
            </w:r>
          </w:p>
        </w:tc>
        <w:tc>
          <w:tcPr>
            <w:tcW w:w="1992" w:type="dxa"/>
            <w:hideMark/>
          </w:tcPr>
          <w:p w14:paraId="0EE4723A" w14:textId="77777777" w:rsidR="00E87D5B" w:rsidRPr="009E084A" w:rsidRDefault="00E87D5B" w:rsidP="00F8742F">
            <w:pPr>
              <w:pStyle w:val="NormalWeb"/>
              <w:jc w:val="center"/>
              <w:rPr>
                <w:sz w:val="18"/>
                <w:szCs w:val="18"/>
              </w:rPr>
            </w:pPr>
            <w:r w:rsidRPr="009E084A">
              <w:rPr>
                <w:sz w:val="18"/>
                <w:szCs w:val="18"/>
              </w:rPr>
              <w:t xml:space="preserve">53.6% </w:t>
            </w:r>
            <w:r w:rsidRPr="009E084A">
              <w:rPr>
                <w:sz w:val="18"/>
                <w:szCs w:val="18"/>
                <w:vertAlign w:val="superscript"/>
              </w:rPr>
              <w:t>a</w:t>
            </w:r>
          </w:p>
        </w:tc>
        <w:tc>
          <w:tcPr>
            <w:tcW w:w="1362" w:type="dxa"/>
            <w:hideMark/>
          </w:tcPr>
          <w:p w14:paraId="6CFED8BC" w14:textId="77777777" w:rsidR="00E87D5B" w:rsidRPr="009E084A" w:rsidRDefault="00E87D5B" w:rsidP="00F8742F">
            <w:pPr>
              <w:pStyle w:val="NormalWeb"/>
              <w:jc w:val="center"/>
              <w:rPr>
                <w:sz w:val="18"/>
                <w:szCs w:val="18"/>
              </w:rPr>
            </w:pPr>
            <w:r w:rsidRPr="009E084A">
              <w:rPr>
                <w:sz w:val="18"/>
                <w:szCs w:val="18"/>
              </w:rPr>
              <w:t>46.6–60.4%</w:t>
            </w:r>
          </w:p>
        </w:tc>
        <w:tc>
          <w:tcPr>
            <w:tcW w:w="1483" w:type="dxa"/>
            <w:hideMark/>
          </w:tcPr>
          <w:p w14:paraId="07CD90F2"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743E5613" w14:textId="77777777" w:rsidR="00E87D5B" w:rsidRPr="009E084A" w:rsidRDefault="00E87D5B" w:rsidP="00F8742F">
            <w:pPr>
              <w:pStyle w:val="NormalWeb"/>
              <w:jc w:val="center"/>
              <w:rPr>
                <w:sz w:val="18"/>
                <w:szCs w:val="18"/>
              </w:rPr>
            </w:pPr>
            <w:r w:rsidRPr="009E084A">
              <w:rPr>
                <w:sz w:val="18"/>
                <w:szCs w:val="18"/>
              </w:rPr>
              <w:t>69.2%</w:t>
            </w:r>
          </w:p>
        </w:tc>
        <w:tc>
          <w:tcPr>
            <w:tcW w:w="1818" w:type="dxa"/>
            <w:hideMark/>
          </w:tcPr>
          <w:p w14:paraId="1678FFA8" w14:textId="77777777" w:rsidR="00E87D5B" w:rsidRPr="009E084A" w:rsidRDefault="00E87D5B" w:rsidP="00F8742F">
            <w:pPr>
              <w:pStyle w:val="NormalWeb"/>
              <w:jc w:val="center"/>
              <w:rPr>
                <w:sz w:val="18"/>
                <w:szCs w:val="18"/>
              </w:rPr>
            </w:pPr>
            <w:r w:rsidRPr="009E084A">
              <w:rPr>
                <w:sz w:val="18"/>
                <w:szCs w:val="18"/>
              </w:rPr>
              <w:t>63.4–74.5%</w:t>
            </w:r>
          </w:p>
        </w:tc>
      </w:tr>
      <w:tr w:rsidR="000A5606" w:rsidRPr="009E084A" w14:paraId="030E30FE"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5109E809" w14:textId="77777777" w:rsidR="00E87D5B" w:rsidRPr="009E084A" w:rsidRDefault="00E87D5B">
            <w:pPr>
              <w:pStyle w:val="NormalWeb"/>
              <w:rPr>
                <w:sz w:val="18"/>
                <w:szCs w:val="18"/>
              </w:rPr>
            </w:pPr>
            <w:r w:rsidRPr="009E084A">
              <w:rPr>
                <w:sz w:val="18"/>
                <w:szCs w:val="18"/>
              </w:rPr>
              <w:t>20–24</w:t>
            </w:r>
          </w:p>
        </w:tc>
        <w:tc>
          <w:tcPr>
            <w:tcW w:w="1402" w:type="dxa"/>
            <w:hideMark/>
          </w:tcPr>
          <w:p w14:paraId="04178B72" w14:textId="77777777" w:rsidR="00E87D5B" w:rsidRPr="009E084A" w:rsidRDefault="00E87D5B" w:rsidP="00F8742F">
            <w:pPr>
              <w:pStyle w:val="NormalWeb"/>
              <w:jc w:val="center"/>
              <w:rPr>
                <w:sz w:val="18"/>
                <w:szCs w:val="18"/>
              </w:rPr>
            </w:pPr>
            <w:r w:rsidRPr="009E084A">
              <w:rPr>
                <w:sz w:val="18"/>
                <w:szCs w:val="18"/>
              </w:rPr>
              <w:t>96</w:t>
            </w:r>
          </w:p>
        </w:tc>
        <w:tc>
          <w:tcPr>
            <w:tcW w:w="1134" w:type="dxa"/>
            <w:hideMark/>
          </w:tcPr>
          <w:p w14:paraId="164D56A7" w14:textId="77777777" w:rsidR="00E87D5B" w:rsidRPr="009E084A" w:rsidRDefault="00E87D5B" w:rsidP="00F8742F">
            <w:pPr>
              <w:pStyle w:val="NormalWeb"/>
              <w:jc w:val="center"/>
              <w:rPr>
                <w:sz w:val="18"/>
                <w:szCs w:val="18"/>
              </w:rPr>
            </w:pPr>
            <w:r w:rsidRPr="009E084A">
              <w:rPr>
                <w:sz w:val="18"/>
                <w:szCs w:val="18"/>
              </w:rPr>
              <w:t>70.8%</w:t>
            </w:r>
          </w:p>
        </w:tc>
        <w:tc>
          <w:tcPr>
            <w:tcW w:w="1131" w:type="dxa"/>
            <w:hideMark/>
          </w:tcPr>
          <w:p w14:paraId="30020E06" w14:textId="77777777" w:rsidR="00E87D5B" w:rsidRPr="009E084A" w:rsidRDefault="00E87D5B" w:rsidP="00F8742F">
            <w:pPr>
              <w:pStyle w:val="NormalWeb"/>
              <w:jc w:val="center"/>
              <w:rPr>
                <w:sz w:val="18"/>
                <w:szCs w:val="18"/>
              </w:rPr>
            </w:pPr>
            <w:r w:rsidRPr="009E084A">
              <w:rPr>
                <w:sz w:val="18"/>
                <w:szCs w:val="18"/>
              </w:rPr>
              <w:t>61.0–79.0%</w:t>
            </w:r>
          </w:p>
        </w:tc>
        <w:tc>
          <w:tcPr>
            <w:tcW w:w="1413" w:type="dxa"/>
            <w:hideMark/>
          </w:tcPr>
          <w:p w14:paraId="59E0CF59" w14:textId="77777777" w:rsidR="00E87D5B" w:rsidRPr="009E084A" w:rsidRDefault="00E87D5B" w:rsidP="00F8742F">
            <w:pPr>
              <w:pStyle w:val="NormalWeb"/>
              <w:jc w:val="center"/>
              <w:rPr>
                <w:sz w:val="18"/>
                <w:szCs w:val="18"/>
              </w:rPr>
            </w:pPr>
            <w:r w:rsidRPr="009E084A">
              <w:rPr>
                <w:sz w:val="18"/>
                <w:szCs w:val="18"/>
              </w:rPr>
              <w:t>210</w:t>
            </w:r>
          </w:p>
        </w:tc>
        <w:tc>
          <w:tcPr>
            <w:tcW w:w="1992" w:type="dxa"/>
            <w:hideMark/>
          </w:tcPr>
          <w:p w14:paraId="207F7B00" w14:textId="77777777" w:rsidR="00E87D5B" w:rsidRPr="009E084A" w:rsidRDefault="00E87D5B" w:rsidP="00F8742F">
            <w:pPr>
              <w:pStyle w:val="NormalWeb"/>
              <w:jc w:val="center"/>
              <w:rPr>
                <w:sz w:val="18"/>
                <w:szCs w:val="18"/>
              </w:rPr>
            </w:pPr>
            <w:r w:rsidRPr="009E084A">
              <w:rPr>
                <w:sz w:val="18"/>
                <w:szCs w:val="18"/>
              </w:rPr>
              <w:t>62.5%</w:t>
            </w:r>
          </w:p>
        </w:tc>
        <w:tc>
          <w:tcPr>
            <w:tcW w:w="1362" w:type="dxa"/>
            <w:hideMark/>
          </w:tcPr>
          <w:p w14:paraId="559E7788" w14:textId="77777777" w:rsidR="00E87D5B" w:rsidRPr="009E084A" w:rsidRDefault="00E87D5B" w:rsidP="00F8742F">
            <w:pPr>
              <w:pStyle w:val="NormalWeb"/>
              <w:jc w:val="center"/>
              <w:rPr>
                <w:sz w:val="18"/>
                <w:szCs w:val="18"/>
              </w:rPr>
            </w:pPr>
            <w:r w:rsidRPr="009E084A">
              <w:rPr>
                <w:sz w:val="18"/>
                <w:szCs w:val="18"/>
              </w:rPr>
              <w:t>55.8–68.8%</w:t>
            </w:r>
          </w:p>
        </w:tc>
        <w:tc>
          <w:tcPr>
            <w:tcW w:w="1483" w:type="dxa"/>
            <w:hideMark/>
          </w:tcPr>
          <w:p w14:paraId="3B5C6FA7" w14:textId="77777777" w:rsidR="00E87D5B" w:rsidRPr="009E084A" w:rsidRDefault="00E87D5B" w:rsidP="00F8742F">
            <w:pPr>
              <w:pStyle w:val="NormalWeb"/>
              <w:jc w:val="center"/>
              <w:rPr>
                <w:sz w:val="18"/>
                <w:szCs w:val="18"/>
              </w:rPr>
            </w:pPr>
            <w:r w:rsidRPr="009E084A">
              <w:rPr>
                <w:sz w:val="18"/>
                <w:szCs w:val="18"/>
              </w:rPr>
              <w:t>250</w:t>
            </w:r>
          </w:p>
        </w:tc>
        <w:tc>
          <w:tcPr>
            <w:tcW w:w="1770" w:type="dxa"/>
            <w:hideMark/>
          </w:tcPr>
          <w:p w14:paraId="64342BF0" w14:textId="77777777" w:rsidR="00E87D5B" w:rsidRPr="009E084A" w:rsidRDefault="00E87D5B" w:rsidP="00F8742F">
            <w:pPr>
              <w:pStyle w:val="NormalWeb"/>
              <w:jc w:val="center"/>
              <w:rPr>
                <w:sz w:val="18"/>
                <w:szCs w:val="18"/>
              </w:rPr>
            </w:pPr>
            <w:r w:rsidRPr="009E084A">
              <w:rPr>
                <w:sz w:val="18"/>
                <w:szCs w:val="18"/>
              </w:rPr>
              <w:t>68.6%</w:t>
            </w:r>
          </w:p>
        </w:tc>
        <w:tc>
          <w:tcPr>
            <w:tcW w:w="1818" w:type="dxa"/>
            <w:hideMark/>
          </w:tcPr>
          <w:p w14:paraId="408680F6" w14:textId="77777777" w:rsidR="00E87D5B" w:rsidRPr="009E084A" w:rsidRDefault="00E87D5B" w:rsidP="00F8742F">
            <w:pPr>
              <w:pStyle w:val="NormalWeb"/>
              <w:jc w:val="center"/>
              <w:rPr>
                <w:sz w:val="18"/>
                <w:szCs w:val="18"/>
              </w:rPr>
            </w:pPr>
            <w:r w:rsidRPr="009E084A">
              <w:rPr>
                <w:sz w:val="18"/>
                <w:szCs w:val="18"/>
              </w:rPr>
              <w:t>62.4–74.2%</w:t>
            </w:r>
          </w:p>
        </w:tc>
      </w:tr>
      <w:tr w:rsidR="000A5606" w:rsidRPr="009E084A" w14:paraId="35FAF3F8" w14:textId="77777777" w:rsidTr="009E084A">
        <w:tc>
          <w:tcPr>
            <w:tcW w:w="0" w:type="auto"/>
            <w:hideMark/>
          </w:tcPr>
          <w:p w14:paraId="527A28A9" w14:textId="77777777" w:rsidR="00E87D5B" w:rsidRPr="009E084A" w:rsidRDefault="00E87D5B">
            <w:pPr>
              <w:pStyle w:val="NormalWeb"/>
              <w:rPr>
                <w:sz w:val="18"/>
                <w:szCs w:val="18"/>
              </w:rPr>
            </w:pPr>
            <w:r w:rsidRPr="009E084A">
              <w:rPr>
                <w:sz w:val="18"/>
                <w:szCs w:val="18"/>
              </w:rPr>
              <w:t>25–29</w:t>
            </w:r>
          </w:p>
        </w:tc>
        <w:tc>
          <w:tcPr>
            <w:tcW w:w="1402" w:type="dxa"/>
            <w:hideMark/>
          </w:tcPr>
          <w:p w14:paraId="3376B191" w14:textId="77777777" w:rsidR="00E87D5B" w:rsidRPr="009E084A" w:rsidRDefault="00E87D5B" w:rsidP="00F8742F">
            <w:pPr>
              <w:pStyle w:val="NormalWeb"/>
              <w:jc w:val="center"/>
              <w:rPr>
                <w:sz w:val="18"/>
                <w:szCs w:val="18"/>
              </w:rPr>
            </w:pPr>
            <w:r w:rsidRPr="009E084A">
              <w:rPr>
                <w:sz w:val="18"/>
                <w:szCs w:val="18"/>
              </w:rPr>
              <w:t>138</w:t>
            </w:r>
          </w:p>
        </w:tc>
        <w:tc>
          <w:tcPr>
            <w:tcW w:w="1134" w:type="dxa"/>
            <w:hideMark/>
          </w:tcPr>
          <w:p w14:paraId="6B86CDCE" w14:textId="77777777" w:rsidR="00E87D5B" w:rsidRPr="009E084A" w:rsidRDefault="00E87D5B" w:rsidP="00F8742F">
            <w:pPr>
              <w:pStyle w:val="NormalWeb"/>
              <w:jc w:val="center"/>
              <w:rPr>
                <w:sz w:val="18"/>
                <w:szCs w:val="18"/>
              </w:rPr>
            </w:pPr>
            <w:r w:rsidRPr="009E084A">
              <w:rPr>
                <w:sz w:val="18"/>
                <w:szCs w:val="18"/>
              </w:rPr>
              <w:t>79.7%</w:t>
            </w:r>
          </w:p>
        </w:tc>
        <w:tc>
          <w:tcPr>
            <w:tcW w:w="1131" w:type="dxa"/>
            <w:hideMark/>
          </w:tcPr>
          <w:p w14:paraId="2D9258A4" w14:textId="77777777" w:rsidR="00E87D5B" w:rsidRPr="009E084A" w:rsidRDefault="00E87D5B" w:rsidP="00F8742F">
            <w:pPr>
              <w:pStyle w:val="NormalWeb"/>
              <w:jc w:val="center"/>
              <w:rPr>
                <w:sz w:val="18"/>
                <w:szCs w:val="18"/>
              </w:rPr>
            </w:pPr>
            <w:r w:rsidRPr="009E084A">
              <w:rPr>
                <w:sz w:val="18"/>
                <w:szCs w:val="18"/>
              </w:rPr>
              <w:t>72.2–85.6%</w:t>
            </w:r>
          </w:p>
        </w:tc>
        <w:tc>
          <w:tcPr>
            <w:tcW w:w="1413" w:type="dxa"/>
            <w:hideMark/>
          </w:tcPr>
          <w:p w14:paraId="625F4858" w14:textId="77777777" w:rsidR="00E87D5B" w:rsidRPr="009E084A" w:rsidRDefault="00E87D5B" w:rsidP="00F8742F">
            <w:pPr>
              <w:pStyle w:val="NormalWeb"/>
              <w:jc w:val="center"/>
              <w:rPr>
                <w:sz w:val="18"/>
                <w:szCs w:val="18"/>
              </w:rPr>
            </w:pPr>
            <w:r w:rsidRPr="009E084A">
              <w:rPr>
                <w:sz w:val="18"/>
                <w:szCs w:val="18"/>
              </w:rPr>
              <w:t>640</w:t>
            </w:r>
          </w:p>
        </w:tc>
        <w:tc>
          <w:tcPr>
            <w:tcW w:w="1992" w:type="dxa"/>
            <w:hideMark/>
          </w:tcPr>
          <w:p w14:paraId="7C673DB8" w14:textId="77777777" w:rsidR="00E87D5B" w:rsidRPr="009E084A" w:rsidRDefault="00E87D5B" w:rsidP="00F8742F">
            <w:pPr>
              <w:pStyle w:val="NormalWeb"/>
              <w:jc w:val="center"/>
              <w:rPr>
                <w:sz w:val="18"/>
                <w:szCs w:val="18"/>
              </w:rPr>
            </w:pPr>
            <w:r w:rsidRPr="009E084A">
              <w:rPr>
                <w:sz w:val="18"/>
                <w:szCs w:val="18"/>
              </w:rPr>
              <w:t xml:space="preserve">57.3% </w:t>
            </w:r>
            <w:r w:rsidRPr="009E084A">
              <w:rPr>
                <w:sz w:val="18"/>
                <w:szCs w:val="18"/>
                <w:vertAlign w:val="superscript"/>
              </w:rPr>
              <w:t>a</w:t>
            </w:r>
          </w:p>
        </w:tc>
        <w:tc>
          <w:tcPr>
            <w:tcW w:w="1362" w:type="dxa"/>
            <w:hideMark/>
          </w:tcPr>
          <w:p w14:paraId="1FB7AF50" w14:textId="77777777" w:rsidR="00E87D5B" w:rsidRPr="009E084A" w:rsidRDefault="00E87D5B" w:rsidP="00F8742F">
            <w:pPr>
              <w:pStyle w:val="NormalWeb"/>
              <w:jc w:val="center"/>
              <w:rPr>
                <w:sz w:val="18"/>
                <w:szCs w:val="18"/>
              </w:rPr>
            </w:pPr>
            <w:r w:rsidRPr="009E084A">
              <w:rPr>
                <w:sz w:val="18"/>
                <w:szCs w:val="18"/>
              </w:rPr>
              <w:t>53.5–61.1%</w:t>
            </w:r>
          </w:p>
        </w:tc>
        <w:tc>
          <w:tcPr>
            <w:tcW w:w="1483" w:type="dxa"/>
            <w:hideMark/>
          </w:tcPr>
          <w:p w14:paraId="64CD4017" w14:textId="77777777" w:rsidR="00E87D5B" w:rsidRPr="009E084A" w:rsidRDefault="00E87D5B" w:rsidP="00F8742F">
            <w:pPr>
              <w:pStyle w:val="NormalWeb"/>
              <w:jc w:val="center"/>
              <w:rPr>
                <w:sz w:val="18"/>
                <w:szCs w:val="18"/>
              </w:rPr>
            </w:pPr>
            <w:r w:rsidRPr="009E084A">
              <w:rPr>
                <w:sz w:val="18"/>
                <w:szCs w:val="18"/>
              </w:rPr>
              <w:t>320</w:t>
            </w:r>
          </w:p>
        </w:tc>
        <w:tc>
          <w:tcPr>
            <w:tcW w:w="1770" w:type="dxa"/>
            <w:hideMark/>
          </w:tcPr>
          <w:p w14:paraId="31209CC1" w14:textId="77777777" w:rsidR="00E87D5B" w:rsidRPr="009E084A" w:rsidRDefault="00E87D5B" w:rsidP="00F8742F">
            <w:pPr>
              <w:pStyle w:val="NormalWeb"/>
              <w:jc w:val="center"/>
              <w:rPr>
                <w:sz w:val="18"/>
                <w:szCs w:val="18"/>
              </w:rPr>
            </w:pPr>
            <w:r w:rsidRPr="009E084A">
              <w:rPr>
                <w:sz w:val="18"/>
                <w:szCs w:val="18"/>
              </w:rPr>
              <w:t>72.3%</w:t>
            </w:r>
          </w:p>
        </w:tc>
        <w:tc>
          <w:tcPr>
            <w:tcW w:w="1818" w:type="dxa"/>
            <w:hideMark/>
          </w:tcPr>
          <w:p w14:paraId="4B2A6F41" w14:textId="77777777" w:rsidR="00E87D5B" w:rsidRPr="009E084A" w:rsidRDefault="00E87D5B" w:rsidP="00F8742F">
            <w:pPr>
              <w:pStyle w:val="NormalWeb"/>
              <w:jc w:val="center"/>
              <w:rPr>
                <w:sz w:val="18"/>
                <w:szCs w:val="18"/>
              </w:rPr>
            </w:pPr>
            <w:r w:rsidRPr="009E084A">
              <w:rPr>
                <w:sz w:val="18"/>
                <w:szCs w:val="18"/>
              </w:rPr>
              <w:t>67.1–77.0%</w:t>
            </w:r>
          </w:p>
        </w:tc>
      </w:tr>
      <w:tr w:rsidR="000A5606" w:rsidRPr="009E084A" w14:paraId="0C11296A"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776E4563" w14:textId="77777777" w:rsidR="00E87D5B" w:rsidRPr="009E084A" w:rsidRDefault="00E87D5B">
            <w:pPr>
              <w:pStyle w:val="NormalWeb"/>
              <w:rPr>
                <w:sz w:val="18"/>
                <w:szCs w:val="18"/>
              </w:rPr>
            </w:pPr>
            <w:r w:rsidRPr="009E084A">
              <w:rPr>
                <w:sz w:val="18"/>
                <w:szCs w:val="18"/>
              </w:rPr>
              <w:t>30–34</w:t>
            </w:r>
          </w:p>
        </w:tc>
        <w:tc>
          <w:tcPr>
            <w:tcW w:w="1402" w:type="dxa"/>
            <w:hideMark/>
          </w:tcPr>
          <w:p w14:paraId="5C68CE11" w14:textId="77777777" w:rsidR="00E87D5B" w:rsidRPr="009E084A" w:rsidRDefault="00E87D5B" w:rsidP="00F8742F">
            <w:pPr>
              <w:pStyle w:val="NormalWeb"/>
              <w:jc w:val="center"/>
              <w:rPr>
                <w:sz w:val="18"/>
                <w:szCs w:val="18"/>
              </w:rPr>
            </w:pPr>
            <w:r w:rsidRPr="009E084A">
              <w:rPr>
                <w:sz w:val="18"/>
                <w:szCs w:val="18"/>
              </w:rPr>
              <w:t>41</w:t>
            </w:r>
          </w:p>
        </w:tc>
        <w:tc>
          <w:tcPr>
            <w:tcW w:w="1134" w:type="dxa"/>
            <w:hideMark/>
          </w:tcPr>
          <w:p w14:paraId="3BB6399E" w14:textId="77777777" w:rsidR="00E87D5B" w:rsidRPr="009E084A" w:rsidRDefault="00E87D5B" w:rsidP="00F8742F">
            <w:pPr>
              <w:pStyle w:val="NormalWeb"/>
              <w:jc w:val="center"/>
              <w:rPr>
                <w:sz w:val="18"/>
                <w:szCs w:val="18"/>
              </w:rPr>
            </w:pPr>
            <w:r w:rsidRPr="009E084A">
              <w:rPr>
                <w:sz w:val="18"/>
                <w:szCs w:val="18"/>
              </w:rPr>
              <w:t>63.4%</w:t>
            </w:r>
          </w:p>
        </w:tc>
        <w:tc>
          <w:tcPr>
            <w:tcW w:w="1131" w:type="dxa"/>
            <w:hideMark/>
          </w:tcPr>
          <w:p w14:paraId="58CD3B43" w14:textId="77777777" w:rsidR="00E87D5B" w:rsidRPr="009E084A" w:rsidRDefault="00E87D5B" w:rsidP="00F8742F">
            <w:pPr>
              <w:pStyle w:val="NormalWeb"/>
              <w:jc w:val="center"/>
              <w:rPr>
                <w:sz w:val="18"/>
                <w:szCs w:val="18"/>
              </w:rPr>
            </w:pPr>
            <w:r w:rsidRPr="009E084A">
              <w:rPr>
                <w:sz w:val="18"/>
                <w:szCs w:val="18"/>
              </w:rPr>
              <w:t>47.9–76.6%</w:t>
            </w:r>
          </w:p>
        </w:tc>
        <w:tc>
          <w:tcPr>
            <w:tcW w:w="1413" w:type="dxa"/>
            <w:hideMark/>
          </w:tcPr>
          <w:p w14:paraId="54676383" w14:textId="77777777" w:rsidR="00E87D5B" w:rsidRPr="009E084A" w:rsidRDefault="00E87D5B" w:rsidP="00F8742F">
            <w:pPr>
              <w:pStyle w:val="NormalWeb"/>
              <w:jc w:val="center"/>
              <w:rPr>
                <w:sz w:val="18"/>
                <w:szCs w:val="18"/>
              </w:rPr>
            </w:pPr>
            <w:r w:rsidRPr="009E084A">
              <w:rPr>
                <w:sz w:val="18"/>
                <w:szCs w:val="18"/>
              </w:rPr>
              <w:t>591</w:t>
            </w:r>
          </w:p>
        </w:tc>
        <w:tc>
          <w:tcPr>
            <w:tcW w:w="1992" w:type="dxa"/>
            <w:hideMark/>
          </w:tcPr>
          <w:p w14:paraId="1D618131" w14:textId="77777777" w:rsidR="00E87D5B" w:rsidRPr="009E084A" w:rsidRDefault="00E87D5B" w:rsidP="00F8742F">
            <w:pPr>
              <w:pStyle w:val="NormalWeb"/>
              <w:jc w:val="center"/>
              <w:rPr>
                <w:sz w:val="18"/>
                <w:szCs w:val="18"/>
              </w:rPr>
            </w:pPr>
            <w:r w:rsidRPr="009E084A">
              <w:rPr>
                <w:sz w:val="18"/>
                <w:szCs w:val="18"/>
              </w:rPr>
              <w:t xml:space="preserve">73.9% </w:t>
            </w:r>
            <w:r w:rsidRPr="009E084A">
              <w:rPr>
                <w:sz w:val="18"/>
                <w:szCs w:val="18"/>
                <w:vertAlign w:val="superscript"/>
              </w:rPr>
              <w:t>a</w:t>
            </w:r>
          </w:p>
        </w:tc>
        <w:tc>
          <w:tcPr>
            <w:tcW w:w="1362" w:type="dxa"/>
            <w:hideMark/>
          </w:tcPr>
          <w:p w14:paraId="40A5FE28" w14:textId="77777777" w:rsidR="00E87D5B" w:rsidRPr="009E084A" w:rsidRDefault="00E87D5B" w:rsidP="00F8742F">
            <w:pPr>
              <w:pStyle w:val="NormalWeb"/>
              <w:jc w:val="center"/>
              <w:rPr>
                <w:sz w:val="18"/>
                <w:szCs w:val="18"/>
              </w:rPr>
            </w:pPr>
            <w:r w:rsidRPr="009E084A">
              <w:rPr>
                <w:sz w:val="18"/>
                <w:szCs w:val="18"/>
              </w:rPr>
              <w:t>70.2–77.3%</w:t>
            </w:r>
          </w:p>
        </w:tc>
        <w:tc>
          <w:tcPr>
            <w:tcW w:w="1483" w:type="dxa"/>
            <w:hideMark/>
          </w:tcPr>
          <w:p w14:paraId="3B1417B4"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0CDE1FB2" w14:textId="77777777" w:rsidR="00E87D5B" w:rsidRPr="009E084A" w:rsidRDefault="00E87D5B" w:rsidP="00F8742F">
            <w:pPr>
              <w:pStyle w:val="NormalWeb"/>
              <w:jc w:val="center"/>
              <w:rPr>
                <w:sz w:val="18"/>
                <w:szCs w:val="18"/>
              </w:rPr>
            </w:pPr>
            <w:r w:rsidRPr="009E084A">
              <w:rPr>
                <w:sz w:val="18"/>
                <w:szCs w:val="18"/>
              </w:rPr>
              <w:t>61.2%</w:t>
            </w:r>
          </w:p>
        </w:tc>
        <w:tc>
          <w:tcPr>
            <w:tcW w:w="1818" w:type="dxa"/>
            <w:hideMark/>
          </w:tcPr>
          <w:p w14:paraId="4072B832" w14:textId="77777777" w:rsidR="00E87D5B" w:rsidRPr="009E084A" w:rsidRDefault="00E87D5B" w:rsidP="00F8742F">
            <w:pPr>
              <w:pStyle w:val="NormalWeb"/>
              <w:jc w:val="center"/>
              <w:rPr>
                <w:sz w:val="18"/>
                <w:szCs w:val="18"/>
              </w:rPr>
            </w:pPr>
            <w:r w:rsidRPr="009E084A">
              <w:rPr>
                <w:sz w:val="18"/>
                <w:szCs w:val="18"/>
              </w:rPr>
              <w:t>54.1–67.9%</w:t>
            </w:r>
          </w:p>
        </w:tc>
      </w:tr>
      <w:tr w:rsidR="000A5606" w:rsidRPr="009E084A" w14:paraId="4726729A" w14:textId="77777777" w:rsidTr="009E084A">
        <w:tc>
          <w:tcPr>
            <w:tcW w:w="0" w:type="auto"/>
            <w:hideMark/>
          </w:tcPr>
          <w:p w14:paraId="096E736B" w14:textId="77777777" w:rsidR="00E87D5B" w:rsidRPr="009E084A" w:rsidRDefault="00E87D5B">
            <w:pPr>
              <w:pStyle w:val="NormalWeb"/>
              <w:rPr>
                <w:sz w:val="18"/>
                <w:szCs w:val="18"/>
              </w:rPr>
            </w:pPr>
            <w:r w:rsidRPr="009E084A">
              <w:rPr>
                <w:sz w:val="18"/>
                <w:szCs w:val="18"/>
              </w:rPr>
              <w:t>35–39</w:t>
            </w:r>
          </w:p>
        </w:tc>
        <w:tc>
          <w:tcPr>
            <w:tcW w:w="1402" w:type="dxa"/>
            <w:hideMark/>
          </w:tcPr>
          <w:p w14:paraId="6D4E9447" w14:textId="77777777" w:rsidR="00E87D5B" w:rsidRPr="009E084A" w:rsidRDefault="00E87D5B" w:rsidP="00F8742F">
            <w:pPr>
              <w:pStyle w:val="NormalWeb"/>
              <w:jc w:val="center"/>
              <w:rPr>
                <w:sz w:val="18"/>
                <w:szCs w:val="18"/>
              </w:rPr>
            </w:pPr>
            <w:r w:rsidRPr="009E084A">
              <w:rPr>
                <w:sz w:val="18"/>
                <w:szCs w:val="18"/>
              </w:rPr>
              <w:t>45</w:t>
            </w:r>
          </w:p>
        </w:tc>
        <w:tc>
          <w:tcPr>
            <w:tcW w:w="1134" w:type="dxa"/>
            <w:hideMark/>
          </w:tcPr>
          <w:p w14:paraId="7A9B61C6" w14:textId="77777777" w:rsidR="00E87D5B" w:rsidRPr="009E084A" w:rsidRDefault="00E87D5B" w:rsidP="00F8742F">
            <w:pPr>
              <w:pStyle w:val="NormalWeb"/>
              <w:jc w:val="center"/>
              <w:rPr>
                <w:sz w:val="18"/>
                <w:szCs w:val="18"/>
              </w:rPr>
            </w:pPr>
            <w:r w:rsidRPr="009E084A">
              <w:rPr>
                <w:sz w:val="18"/>
                <w:szCs w:val="18"/>
              </w:rPr>
              <w:t xml:space="preserve">62.2% </w:t>
            </w:r>
            <w:r w:rsidRPr="009E084A">
              <w:rPr>
                <w:sz w:val="18"/>
                <w:szCs w:val="18"/>
                <w:vertAlign w:val="superscript"/>
              </w:rPr>
              <w:t>a</w:t>
            </w:r>
          </w:p>
        </w:tc>
        <w:tc>
          <w:tcPr>
            <w:tcW w:w="1131" w:type="dxa"/>
            <w:hideMark/>
          </w:tcPr>
          <w:p w14:paraId="3602DE0B" w14:textId="77777777" w:rsidR="00E87D5B" w:rsidRPr="009E084A" w:rsidRDefault="00E87D5B" w:rsidP="00F8742F">
            <w:pPr>
              <w:pStyle w:val="NormalWeb"/>
              <w:jc w:val="center"/>
              <w:rPr>
                <w:sz w:val="18"/>
                <w:szCs w:val="18"/>
              </w:rPr>
            </w:pPr>
            <w:r w:rsidRPr="009E084A">
              <w:rPr>
                <w:sz w:val="18"/>
                <w:szCs w:val="18"/>
              </w:rPr>
              <w:t>47.4–75.1%</w:t>
            </w:r>
          </w:p>
        </w:tc>
        <w:tc>
          <w:tcPr>
            <w:tcW w:w="1413" w:type="dxa"/>
            <w:hideMark/>
          </w:tcPr>
          <w:p w14:paraId="270D223E" w14:textId="77777777" w:rsidR="00E87D5B" w:rsidRPr="009E084A" w:rsidRDefault="00E87D5B" w:rsidP="00F8742F">
            <w:pPr>
              <w:pStyle w:val="NormalWeb"/>
              <w:jc w:val="center"/>
              <w:rPr>
                <w:sz w:val="18"/>
                <w:szCs w:val="18"/>
              </w:rPr>
            </w:pPr>
            <w:r w:rsidRPr="009E084A">
              <w:rPr>
                <w:sz w:val="18"/>
                <w:szCs w:val="18"/>
              </w:rPr>
              <w:t>93</w:t>
            </w:r>
          </w:p>
        </w:tc>
        <w:tc>
          <w:tcPr>
            <w:tcW w:w="1992" w:type="dxa"/>
            <w:hideMark/>
          </w:tcPr>
          <w:p w14:paraId="3DE75A9F" w14:textId="77777777" w:rsidR="00E87D5B" w:rsidRPr="009E084A" w:rsidRDefault="00E87D5B" w:rsidP="00F8742F">
            <w:pPr>
              <w:pStyle w:val="NormalWeb"/>
              <w:jc w:val="center"/>
              <w:rPr>
                <w:sz w:val="18"/>
                <w:szCs w:val="18"/>
              </w:rPr>
            </w:pPr>
            <w:r w:rsidRPr="009E084A">
              <w:rPr>
                <w:sz w:val="18"/>
                <w:szCs w:val="18"/>
              </w:rPr>
              <w:t xml:space="preserve">62.9% </w:t>
            </w:r>
            <w:r w:rsidRPr="009E084A">
              <w:rPr>
                <w:sz w:val="18"/>
                <w:szCs w:val="18"/>
                <w:vertAlign w:val="superscript"/>
              </w:rPr>
              <w:t>a</w:t>
            </w:r>
          </w:p>
        </w:tc>
        <w:tc>
          <w:tcPr>
            <w:tcW w:w="1362" w:type="dxa"/>
            <w:hideMark/>
          </w:tcPr>
          <w:p w14:paraId="6F8C6525" w14:textId="77777777" w:rsidR="00E87D5B" w:rsidRPr="009E084A" w:rsidRDefault="00E87D5B" w:rsidP="00F8742F">
            <w:pPr>
              <w:pStyle w:val="NormalWeb"/>
              <w:jc w:val="center"/>
              <w:rPr>
                <w:sz w:val="18"/>
                <w:szCs w:val="18"/>
              </w:rPr>
            </w:pPr>
            <w:r w:rsidRPr="009E084A">
              <w:rPr>
                <w:sz w:val="18"/>
                <w:szCs w:val="18"/>
              </w:rPr>
              <w:t>52.6–72.1%</w:t>
            </w:r>
          </w:p>
        </w:tc>
        <w:tc>
          <w:tcPr>
            <w:tcW w:w="1483" w:type="dxa"/>
            <w:hideMark/>
          </w:tcPr>
          <w:p w14:paraId="78111F0B" w14:textId="77777777" w:rsidR="00E87D5B" w:rsidRPr="009E084A" w:rsidRDefault="00E87D5B" w:rsidP="00F8742F">
            <w:pPr>
              <w:pStyle w:val="NormalWeb"/>
              <w:jc w:val="center"/>
              <w:rPr>
                <w:sz w:val="18"/>
                <w:szCs w:val="18"/>
              </w:rPr>
            </w:pPr>
            <w:r w:rsidRPr="009E084A">
              <w:rPr>
                <w:sz w:val="18"/>
                <w:szCs w:val="18"/>
              </w:rPr>
              <w:t>285</w:t>
            </w:r>
          </w:p>
        </w:tc>
        <w:tc>
          <w:tcPr>
            <w:tcW w:w="1770" w:type="dxa"/>
            <w:hideMark/>
          </w:tcPr>
          <w:p w14:paraId="43E0EAB2" w14:textId="77777777" w:rsidR="00E87D5B" w:rsidRPr="009E084A" w:rsidRDefault="00E87D5B" w:rsidP="00F8742F">
            <w:pPr>
              <w:pStyle w:val="NormalWeb"/>
              <w:jc w:val="center"/>
              <w:rPr>
                <w:sz w:val="18"/>
                <w:szCs w:val="18"/>
              </w:rPr>
            </w:pPr>
            <w:r w:rsidRPr="009E084A">
              <w:rPr>
                <w:sz w:val="18"/>
                <w:szCs w:val="18"/>
              </w:rPr>
              <w:t>76.8%</w:t>
            </w:r>
          </w:p>
        </w:tc>
        <w:tc>
          <w:tcPr>
            <w:tcW w:w="1818" w:type="dxa"/>
            <w:hideMark/>
          </w:tcPr>
          <w:p w14:paraId="269898B1" w14:textId="77777777" w:rsidR="00E87D5B" w:rsidRPr="009E084A" w:rsidRDefault="00E87D5B" w:rsidP="00F8742F">
            <w:pPr>
              <w:pStyle w:val="NormalWeb"/>
              <w:jc w:val="center"/>
              <w:rPr>
                <w:sz w:val="18"/>
                <w:szCs w:val="18"/>
              </w:rPr>
            </w:pPr>
            <w:r w:rsidRPr="009E084A">
              <w:rPr>
                <w:sz w:val="18"/>
                <w:szCs w:val="18"/>
              </w:rPr>
              <w:t>71.5–81.4%</w:t>
            </w:r>
          </w:p>
        </w:tc>
      </w:tr>
      <w:tr w:rsidR="000A5606" w:rsidRPr="009E084A" w14:paraId="7884EC3F"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29074F8B" w14:textId="77777777" w:rsidR="00E87D5B" w:rsidRPr="009E084A" w:rsidRDefault="00E87D5B">
            <w:pPr>
              <w:pStyle w:val="NormalWeb"/>
              <w:rPr>
                <w:sz w:val="18"/>
                <w:szCs w:val="18"/>
              </w:rPr>
            </w:pPr>
            <w:r w:rsidRPr="009E084A">
              <w:rPr>
                <w:sz w:val="18"/>
                <w:szCs w:val="18"/>
              </w:rPr>
              <w:t>40–44</w:t>
            </w:r>
          </w:p>
        </w:tc>
        <w:tc>
          <w:tcPr>
            <w:tcW w:w="1402" w:type="dxa"/>
            <w:hideMark/>
          </w:tcPr>
          <w:p w14:paraId="188359EC" w14:textId="77777777" w:rsidR="00E87D5B" w:rsidRPr="009E084A" w:rsidRDefault="00E87D5B" w:rsidP="00F8742F">
            <w:pPr>
              <w:pStyle w:val="NormalWeb"/>
              <w:jc w:val="center"/>
              <w:rPr>
                <w:sz w:val="18"/>
                <w:szCs w:val="18"/>
              </w:rPr>
            </w:pPr>
            <w:r w:rsidRPr="009E084A">
              <w:rPr>
                <w:sz w:val="18"/>
                <w:szCs w:val="18"/>
              </w:rPr>
              <w:t>19</w:t>
            </w:r>
          </w:p>
        </w:tc>
        <w:tc>
          <w:tcPr>
            <w:tcW w:w="1134" w:type="dxa"/>
            <w:hideMark/>
          </w:tcPr>
          <w:p w14:paraId="021D5EB9" w14:textId="77777777" w:rsidR="00E87D5B" w:rsidRPr="009E084A" w:rsidRDefault="00E87D5B" w:rsidP="00F8742F">
            <w:pPr>
              <w:pStyle w:val="NormalWeb"/>
              <w:jc w:val="center"/>
              <w:rPr>
                <w:sz w:val="18"/>
                <w:szCs w:val="18"/>
              </w:rPr>
            </w:pPr>
            <w:r w:rsidRPr="009E084A">
              <w:rPr>
                <w:sz w:val="18"/>
                <w:szCs w:val="18"/>
              </w:rPr>
              <w:t>84.2%</w:t>
            </w:r>
          </w:p>
        </w:tc>
        <w:tc>
          <w:tcPr>
            <w:tcW w:w="1131" w:type="dxa"/>
            <w:hideMark/>
          </w:tcPr>
          <w:p w14:paraId="3BC78439" w14:textId="77777777" w:rsidR="00E87D5B" w:rsidRPr="009E084A" w:rsidRDefault="00E87D5B" w:rsidP="00F8742F">
            <w:pPr>
              <w:pStyle w:val="NormalWeb"/>
              <w:jc w:val="center"/>
              <w:rPr>
                <w:sz w:val="18"/>
                <w:szCs w:val="18"/>
              </w:rPr>
            </w:pPr>
            <w:r w:rsidRPr="009E084A">
              <w:rPr>
                <w:sz w:val="18"/>
                <w:szCs w:val="18"/>
              </w:rPr>
              <w:t>60.8–94.8%</w:t>
            </w:r>
          </w:p>
        </w:tc>
        <w:tc>
          <w:tcPr>
            <w:tcW w:w="1413" w:type="dxa"/>
            <w:hideMark/>
          </w:tcPr>
          <w:p w14:paraId="70284E35" w14:textId="77777777" w:rsidR="00E87D5B" w:rsidRPr="009E084A" w:rsidRDefault="00E87D5B" w:rsidP="00F8742F">
            <w:pPr>
              <w:pStyle w:val="NormalWeb"/>
              <w:jc w:val="center"/>
              <w:rPr>
                <w:sz w:val="18"/>
                <w:szCs w:val="18"/>
              </w:rPr>
            </w:pPr>
            <w:r w:rsidRPr="009E084A">
              <w:rPr>
                <w:sz w:val="18"/>
                <w:szCs w:val="18"/>
              </w:rPr>
              <w:t>84</w:t>
            </w:r>
          </w:p>
        </w:tc>
        <w:tc>
          <w:tcPr>
            <w:tcW w:w="1992" w:type="dxa"/>
            <w:hideMark/>
          </w:tcPr>
          <w:p w14:paraId="554D2D61" w14:textId="77777777" w:rsidR="00E87D5B" w:rsidRPr="009E084A" w:rsidRDefault="00E87D5B" w:rsidP="00F8742F">
            <w:pPr>
              <w:pStyle w:val="NormalWeb"/>
              <w:jc w:val="center"/>
              <w:rPr>
                <w:sz w:val="18"/>
                <w:szCs w:val="18"/>
              </w:rPr>
            </w:pPr>
            <w:r w:rsidRPr="009E084A">
              <w:rPr>
                <w:sz w:val="18"/>
                <w:szCs w:val="18"/>
              </w:rPr>
              <w:t xml:space="preserve">68.7% </w:t>
            </w:r>
            <w:r w:rsidRPr="009E084A">
              <w:rPr>
                <w:sz w:val="18"/>
                <w:szCs w:val="18"/>
                <w:vertAlign w:val="superscript"/>
              </w:rPr>
              <w:t>a</w:t>
            </w:r>
          </w:p>
        </w:tc>
        <w:tc>
          <w:tcPr>
            <w:tcW w:w="1362" w:type="dxa"/>
            <w:hideMark/>
          </w:tcPr>
          <w:p w14:paraId="0CD2D242" w14:textId="77777777" w:rsidR="00E87D5B" w:rsidRPr="009E084A" w:rsidRDefault="00E87D5B" w:rsidP="00F8742F">
            <w:pPr>
              <w:pStyle w:val="NormalWeb"/>
              <w:jc w:val="center"/>
              <w:rPr>
                <w:sz w:val="18"/>
                <w:szCs w:val="18"/>
              </w:rPr>
            </w:pPr>
            <w:r w:rsidRPr="009E084A">
              <w:rPr>
                <w:sz w:val="18"/>
                <w:szCs w:val="18"/>
              </w:rPr>
              <w:t>58.2–77.6%</w:t>
            </w:r>
          </w:p>
        </w:tc>
        <w:tc>
          <w:tcPr>
            <w:tcW w:w="1483" w:type="dxa"/>
            <w:hideMark/>
          </w:tcPr>
          <w:p w14:paraId="0ED8F6A9" w14:textId="77777777" w:rsidR="00E87D5B" w:rsidRPr="009E084A" w:rsidRDefault="00E87D5B" w:rsidP="00F8742F">
            <w:pPr>
              <w:pStyle w:val="NormalWeb"/>
              <w:jc w:val="center"/>
              <w:rPr>
                <w:sz w:val="18"/>
                <w:szCs w:val="18"/>
              </w:rPr>
            </w:pPr>
            <w:r w:rsidRPr="009E084A">
              <w:rPr>
                <w:sz w:val="18"/>
                <w:szCs w:val="18"/>
              </w:rPr>
              <w:t>255</w:t>
            </w:r>
          </w:p>
        </w:tc>
        <w:tc>
          <w:tcPr>
            <w:tcW w:w="1770" w:type="dxa"/>
            <w:hideMark/>
          </w:tcPr>
          <w:p w14:paraId="347B6C37" w14:textId="77777777" w:rsidR="00E87D5B" w:rsidRPr="009E084A" w:rsidRDefault="00E87D5B" w:rsidP="00F8742F">
            <w:pPr>
              <w:pStyle w:val="NormalWeb"/>
              <w:jc w:val="center"/>
              <w:rPr>
                <w:sz w:val="18"/>
                <w:szCs w:val="18"/>
              </w:rPr>
            </w:pPr>
            <w:r w:rsidRPr="009E084A">
              <w:rPr>
                <w:sz w:val="18"/>
                <w:szCs w:val="18"/>
              </w:rPr>
              <w:t>79.9%</w:t>
            </w:r>
          </w:p>
        </w:tc>
        <w:tc>
          <w:tcPr>
            <w:tcW w:w="1818" w:type="dxa"/>
            <w:hideMark/>
          </w:tcPr>
          <w:p w14:paraId="7DF34402" w14:textId="77777777" w:rsidR="00E87D5B" w:rsidRPr="009E084A" w:rsidRDefault="00E87D5B" w:rsidP="00F8742F">
            <w:pPr>
              <w:pStyle w:val="NormalWeb"/>
              <w:jc w:val="center"/>
              <w:rPr>
                <w:sz w:val="18"/>
                <w:szCs w:val="18"/>
              </w:rPr>
            </w:pPr>
            <w:r w:rsidRPr="009E084A">
              <w:rPr>
                <w:sz w:val="18"/>
                <w:szCs w:val="18"/>
              </w:rPr>
              <w:t>74.4–84.5%</w:t>
            </w:r>
          </w:p>
        </w:tc>
      </w:tr>
      <w:tr w:rsidR="000A5606" w:rsidRPr="009E084A" w14:paraId="1F6139BE" w14:textId="77777777" w:rsidTr="009E084A">
        <w:tc>
          <w:tcPr>
            <w:tcW w:w="0" w:type="auto"/>
            <w:hideMark/>
          </w:tcPr>
          <w:p w14:paraId="1E681FE7" w14:textId="77777777" w:rsidR="00E87D5B" w:rsidRPr="009E084A" w:rsidRDefault="00E87D5B">
            <w:pPr>
              <w:pStyle w:val="NormalWeb"/>
              <w:rPr>
                <w:sz w:val="18"/>
                <w:szCs w:val="18"/>
              </w:rPr>
            </w:pPr>
            <w:r w:rsidRPr="009E084A">
              <w:rPr>
                <w:sz w:val="18"/>
                <w:szCs w:val="18"/>
              </w:rPr>
              <w:t>45–49</w:t>
            </w:r>
          </w:p>
        </w:tc>
        <w:tc>
          <w:tcPr>
            <w:tcW w:w="1402" w:type="dxa"/>
            <w:hideMark/>
          </w:tcPr>
          <w:p w14:paraId="1B9CB3DE" w14:textId="77777777" w:rsidR="00E87D5B" w:rsidRPr="009E084A" w:rsidRDefault="00E87D5B" w:rsidP="00F8742F">
            <w:pPr>
              <w:pStyle w:val="NormalWeb"/>
              <w:jc w:val="center"/>
              <w:rPr>
                <w:sz w:val="18"/>
                <w:szCs w:val="18"/>
              </w:rPr>
            </w:pPr>
            <w:r w:rsidRPr="009E084A">
              <w:rPr>
                <w:sz w:val="18"/>
                <w:szCs w:val="18"/>
              </w:rPr>
              <w:t>26</w:t>
            </w:r>
          </w:p>
        </w:tc>
        <w:tc>
          <w:tcPr>
            <w:tcW w:w="1134" w:type="dxa"/>
            <w:hideMark/>
          </w:tcPr>
          <w:p w14:paraId="65AD020B" w14:textId="77777777" w:rsidR="00E87D5B" w:rsidRPr="009E084A" w:rsidRDefault="00E87D5B" w:rsidP="00F8742F">
            <w:pPr>
              <w:pStyle w:val="NormalWeb"/>
              <w:jc w:val="center"/>
              <w:rPr>
                <w:sz w:val="18"/>
                <w:szCs w:val="18"/>
              </w:rPr>
            </w:pPr>
            <w:r w:rsidRPr="009E084A">
              <w:rPr>
                <w:sz w:val="18"/>
                <w:szCs w:val="18"/>
              </w:rPr>
              <w:t>80.8%</w:t>
            </w:r>
          </w:p>
        </w:tc>
        <w:tc>
          <w:tcPr>
            <w:tcW w:w="1131" w:type="dxa"/>
            <w:hideMark/>
          </w:tcPr>
          <w:p w14:paraId="39345B41" w14:textId="77777777" w:rsidR="00E87D5B" w:rsidRPr="009E084A" w:rsidRDefault="00E87D5B" w:rsidP="00F8742F">
            <w:pPr>
              <w:pStyle w:val="NormalWeb"/>
              <w:jc w:val="center"/>
              <w:rPr>
                <w:sz w:val="18"/>
                <w:szCs w:val="18"/>
              </w:rPr>
            </w:pPr>
            <w:r w:rsidRPr="009E084A">
              <w:rPr>
                <w:sz w:val="18"/>
                <w:szCs w:val="18"/>
              </w:rPr>
              <w:t>61.3–91.8%</w:t>
            </w:r>
          </w:p>
        </w:tc>
        <w:tc>
          <w:tcPr>
            <w:tcW w:w="1413" w:type="dxa"/>
            <w:hideMark/>
          </w:tcPr>
          <w:p w14:paraId="289D9EBD" w14:textId="77777777" w:rsidR="00E87D5B" w:rsidRPr="009E084A" w:rsidRDefault="00E87D5B" w:rsidP="00F8742F">
            <w:pPr>
              <w:pStyle w:val="NormalWeb"/>
              <w:jc w:val="center"/>
              <w:rPr>
                <w:sz w:val="18"/>
                <w:szCs w:val="18"/>
              </w:rPr>
            </w:pPr>
            <w:r w:rsidRPr="009E084A">
              <w:rPr>
                <w:sz w:val="18"/>
                <w:szCs w:val="18"/>
              </w:rPr>
              <w:t>70</w:t>
            </w:r>
          </w:p>
        </w:tc>
        <w:tc>
          <w:tcPr>
            <w:tcW w:w="1992" w:type="dxa"/>
            <w:hideMark/>
          </w:tcPr>
          <w:p w14:paraId="41DF6F22" w14:textId="77777777" w:rsidR="00E87D5B" w:rsidRPr="009E084A" w:rsidRDefault="00E87D5B" w:rsidP="00F8742F">
            <w:pPr>
              <w:pStyle w:val="NormalWeb"/>
              <w:jc w:val="center"/>
              <w:rPr>
                <w:sz w:val="18"/>
                <w:szCs w:val="18"/>
              </w:rPr>
            </w:pPr>
            <w:r w:rsidRPr="009E084A">
              <w:rPr>
                <w:sz w:val="18"/>
                <w:szCs w:val="18"/>
              </w:rPr>
              <w:t xml:space="preserve">68.5% </w:t>
            </w:r>
            <w:r w:rsidRPr="009E084A">
              <w:rPr>
                <w:sz w:val="18"/>
                <w:szCs w:val="18"/>
                <w:vertAlign w:val="superscript"/>
              </w:rPr>
              <w:t>a</w:t>
            </w:r>
          </w:p>
        </w:tc>
        <w:tc>
          <w:tcPr>
            <w:tcW w:w="1362" w:type="dxa"/>
            <w:hideMark/>
          </w:tcPr>
          <w:p w14:paraId="33B74737" w14:textId="77777777" w:rsidR="00E87D5B" w:rsidRPr="009E084A" w:rsidRDefault="00E87D5B" w:rsidP="00F8742F">
            <w:pPr>
              <w:pStyle w:val="NormalWeb"/>
              <w:jc w:val="center"/>
              <w:rPr>
                <w:sz w:val="18"/>
                <w:szCs w:val="18"/>
              </w:rPr>
            </w:pPr>
            <w:r w:rsidRPr="009E084A">
              <w:rPr>
                <w:sz w:val="18"/>
                <w:szCs w:val="18"/>
              </w:rPr>
              <w:t>56.6–78.4%</w:t>
            </w:r>
          </w:p>
        </w:tc>
        <w:tc>
          <w:tcPr>
            <w:tcW w:w="1483" w:type="dxa"/>
            <w:hideMark/>
          </w:tcPr>
          <w:p w14:paraId="1933D6FC"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74CB3864" w14:textId="77777777" w:rsidR="00E87D5B" w:rsidRPr="009E084A" w:rsidRDefault="00E87D5B" w:rsidP="00F8742F">
            <w:pPr>
              <w:pStyle w:val="NormalWeb"/>
              <w:jc w:val="center"/>
              <w:rPr>
                <w:sz w:val="18"/>
                <w:szCs w:val="18"/>
              </w:rPr>
            </w:pPr>
            <w:r w:rsidRPr="009E084A">
              <w:rPr>
                <w:sz w:val="18"/>
                <w:szCs w:val="18"/>
              </w:rPr>
              <w:t>81.4%</w:t>
            </w:r>
          </w:p>
        </w:tc>
        <w:tc>
          <w:tcPr>
            <w:tcW w:w="1818" w:type="dxa"/>
            <w:hideMark/>
          </w:tcPr>
          <w:p w14:paraId="333F5308" w14:textId="77777777" w:rsidR="00E87D5B" w:rsidRPr="009E084A" w:rsidRDefault="00E87D5B" w:rsidP="00F8742F">
            <w:pPr>
              <w:pStyle w:val="NormalWeb"/>
              <w:jc w:val="center"/>
              <w:rPr>
                <w:sz w:val="18"/>
                <w:szCs w:val="18"/>
              </w:rPr>
            </w:pPr>
            <w:r w:rsidRPr="009E084A">
              <w:rPr>
                <w:sz w:val="18"/>
                <w:szCs w:val="18"/>
              </w:rPr>
              <w:t>75.4–86.2%</w:t>
            </w:r>
          </w:p>
        </w:tc>
      </w:tr>
      <w:tr w:rsidR="000A5606" w:rsidRPr="009E084A" w14:paraId="5E8ADA49"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FF0EDB6" w14:textId="77777777" w:rsidR="00E87D5B" w:rsidRPr="009E084A" w:rsidRDefault="00E87D5B">
            <w:pPr>
              <w:pStyle w:val="NormalWeb"/>
              <w:rPr>
                <w:sz w:val="18"/>
                <w:szCs w:val="18"/>
              </w:rPr>
            </w:pPr>
            <w:r w:rsidRPr="009E084A">
              <w:rPr>
                <w:sz w:val="18"/>
                <w:szCs w:val="18"/>
              </w:rPr>
              <w:t>All ages</w:t>
            </w:r>
          </w:p>
        </w:tc>
        <w:tc>
          <w:tcPr>
            <w:tcW w:w="1402" w:type="dxa"/>
            <w:shd w:val="clear" w:color="auto" w:fill="FDE9D9" w:themeFill="accent6" w:themeFillTint="33"/>
            <w:hideMark/>
          </w:tcPr>
          <w:p w14:paraId="08DC4818" w14:textId="77777777" w:rsidR="00E87D5B" w:rsidRPr="009E084A" w:rsidRDefault="00E87D5B" w:rsidP="00F8742F">
            <w:pPr>
              <w:pStyle w:val="NormalWeb"/>
              <w:jc w:val="center"/>
              <w:rPr>
                <w:sz w:val="18"/>
                <w:szCs w:val="18"/>
              </w:rPr>
            </w:pPr>
            <w:r w:rsidRPr="009E084A">
              <w:rPr>
                <w:sz w:val="18"/>
                <w:szCs w:val="18"/>
              </w:rPr>
              <w:t>1,915</w:t>
            </w:r>
          </w:p>
        </w:tc>
        <w:tc>
          <w:tcPr>
            <w:tcW w:w="1134" w:type="dxa"/>
            <w:shd w:val="clear" w:color="auto" w:fill="FDE9D9" w:themeFill="accent6" w:themeFillTint="33"/>
            <w:hideMark/>
          </w:tcPr>
          <w:p w14:paraId="05C686A1" w14:textId="77777777" w:rsidR="00E87D5B" w:rsidRPr="009E084A" w:rsidRDefault="00E87D5B" w:rsidP="00F8742F">
            <w:pPr>
              <w:pStyle w:val="NormalWeb"/>
              <w:jc w:val="center"/>
              <w:rPr>
                <w:sz w:val="18"/>
                <w:szCs w:val="18"/>
              </w:rPr>
            </w:pPr>
            <w:r w:rsidRPr="009E084A">
              <w:rPr>
                <w:sz w:val="18"/>
                <w:szCs w:val="18"/>
              </w:rPr>
              <w:t xml:space="preserve">63.2% </w:t>
            </w:r>
            <w:r w:rsidRPr="009E084A">
              <w:rPr>
                <w:sz w:val="18"/>
                <w:szCs w:val="18"/>
                <w:vertAlign w:val="superscript"/>
              </w:rPr>
              <w:t>a</w:t>
            </w:r>
          </w:p>
        </w:tc>
        <w:tc>
          <w:tcPr>
            <w:tcW w:w="1131" w:type="dxa"/>
            <w:shd w:val="clear" w:color="auto" w:fill="FDE9D9" w:themeFill="accent6" w:themeFillTint="33"/>
            <w:hideMark/>
          </w:tcPr>
          <w:p w14:paraId="2C279406" w14:textId="77777777" w:rsidR="00E87D5B" w:rsidRPr="009E084A" w:rsidRDefault="00E87D5B" w:rsidP="00F8742F">
            <w:pPr>
              <w:pStyle w:val="NormalWeb"/>
              <w:jc w:val="center"/>
              <w:rPr>
                <w:sz w:val="18"/>
                <w:szCs w:val="18"/>
              </w:rPr>
            </w:pPr>
            <w:r w:rsidRPr="009E084A">
              <w:rPr>
                <w:sz w:val="18"/>
                <w:szCs w:val="18"/>
              </w:rPr>
              <w:t>61.1–65.4%</w:t>
            </w:r>
          </w:p>
        </w:tc>
        <w:tc>
          <w:tcPr>
            <w:tcW w:w="1413" w:type="dxa"/>
            <w:shd w:val="clear" w:color="auto" w:fill="FDE9D9" w:themeFill="accent6" w:themeFillTint="33"/>
            <w:hideMark/>
          </w:tcPr>
          <w:p w14:paraId="0566733D" w14:textId="77777777" w:rsidR="00E87D5B" w:rsidRPr="009E084A" w:rsidRDefault="00E87D5B" w:rsidP="00F8742F">
            <w:pPr>
              <w:pStyle w:val="NormalWeb"/>
              <w:jc w:val="center"/>
              <w:rPr>
                <w:sz w:val="18"/>
                <w:szCs w:val="18"/>
              </w:rPr>
            </w:pPr>
            <w:r w:rsidRPr="009E084A">
              <w:rPr>
                <w:sz w:val="18"/>
                <w:szCs w:val="18"/>
              </w:rPr>
              <w:t>3,396</w:t>
            </w:r>
          </w:p>
        </w:tc>
        <w:tc>
          <w:tcPr>
            <w:tcW w:w="1992" w:type="dxa"/>
            <w:shd w:val="clear" w:color="auto" w:fill="FDE9D9" w:themeFill="accent6" w:themeFillTint="33"/>
            <w:hideMark/>
          </w:tcPr>
          <w:p w14:paraId="465FA275" w14:textId="77777777" w:rsidR="00E87D5B" w:rsidRPr="009E084A" w:rsidRDefault="00E87D5B" w:rsidP="00F8742F">
            <w:pPr>
              <w:pStyle w:val="NormalWeb"/>
              <w:jc w:val="center"/>
              <w:rPr>
                <w:sz w:val="18"/>
                <w:szCs w:val="18"/>
              </w:rPr>
            </w:pPr>
            <w:r w:rsidRPr="009E084A">
              <w:rPr>
                <w:sz w:val="18"/>
                <w:szCs w:val="18"/>
              </w:rPr>
              <w:t xml:space="preserve">61.0% </w:t>
            </w:r>
            <w:r w:rsidRPr="009E084A">
              <w:rPr>
                <w:sz w:val="18"/>
                <w:szCs w:val="18"/>
                <w:vertAlign w:val="superscript"/>
              </w:rPr>
              <w:t>a</w:t>
            </w:r>
          </w:p>
        </w:tc>
        <w:tc>
          <w:tcPr>
            <w:tcW w:w="1362" w:type="dxa"/>
            <w:shd w:val="clear" w:color="auto" w:fill="FDE9D9" w:themeFill="accent6" w:themeFillTint="33"/>
            <w:hideMark/>
          </w:tcPr>
          <w:p w14:paraId="5DE83E4A" w14:textId="77777777" w:rsidR="00E87D5B" w:rsidRPr="009E084A" w:rsidRDefault="00E87D5B" w:rsidP="00F8742F">
            <w:pPr>
              <w:pStyle w:val="NormalWeb"/>
              <w:jc w:val="center"/>
              <w:rPr>
                <w:sz w:val="18"/>
                <w:szCs w:val="18"/>
              </w:rPr>
            </w:pPr>
            <w:r w:rsidRPr="009E084A">
              <w:rPr>
                <w:sz w:val="18"/>
                <w:szCs w:val="18"/>
              </w:rPr>
              <w:t>59.3–62.7%</w:t>
            </w:r>
          </w:p>
        </w:tc>
        <w:tc>
          <w:tcPr>
            <w:tcW w:w="1483" w:type="dxa"/>
            <w:shd w:val="clear" w:color="auto" w:fill="FDE9D9" w:themeFill="accent6" w:themeFillTint="33"/>
            <w:hideMark/>
          </w:tcPr>
          <w:p w14:paraId="31AA8A48" w14:textId="77777777" w:rsidR="00E87D5B" w:rsidRPr="009E084A" w:rsidRDefault="00E87D5B" w:rsidP="00F8742F">
            <w:pPr>
              <w:pStyle w:val="NormalWeb"/>
              <w:jc w:val="center"/>
              <w:rPr>
                <w:sz w:val="18"/>
                <w:szCs w:val="18"/>
              </w:rPr>
            </w:pPr>
            <w:r w:rsidRPr="009E084A">
              <w:rPr>
                <w:sz w:val="18"/>
                <w:szCs w:val="18"/>
              </w:rPr>
              <w:t>2,729</w:t>
            </w:r>
          </w:p>
        </w:tc>
        <w:tc>
          <w:tcPr>
            <w:tcW w:w="1770" w:type="dxa"/>
            <w:shd w:val="clear" w:color="auto" w:fill="FDE9D9" w:themeFill="accent6" w:themeFillTint="33"/>
            <w:hideMark/>
          </w:tcPr>
          <w:p w14:paraId="7687A71F" w14:textId="77777777" w:rsidR="00E87D5B" w:rsidRPr="009E084A" w:rsidRDefault="00E87D5B" w:rsidP="00F8742F">
            <w:pPr>
              <w:pStyle w:val="NormalWeb"/>
              <w:jc w:val="center"/>
              <w:rPr>
                <w:sz w:val="18"/>
                <w:szCs w:val="18"/>
              </w:rPr>
            </w:pPr>
            <w:r w:rsidRPr="009E084A">
              <w:rPr>
                <w:sz w:val="18"/>
                <w:szCs w:val="18"/>
              </w:rPr>
              <w:t>71.1%</w:t>
            </w:r>
          </w:p>
        </w:tc>
        <w:tc>
          <w:tcPr>
            <w:tcW w:w="1818" w:type="dxa"/>
            <w:shd w:val="clear" w:color="auto" w:fill="FDE9D9" w:themeFill="accent6" w:themeFillTint="33"/>
            <w:hideMark/>
          </w:tcPr>
          <w:p w14:paraId="4D234E97" w14:textId="77777777" w:rsidR="00E87D5B" w:rsidRPr="009E084A" w:rsidRDefault="00E87D5B" w:rsidP="00F8742F">
            <w:pPr>
              <w:pStyle w:val="NormalWeb"/>
              <w:jc w:val="center"/>
              <w:rPr>
                <w:sz w:val="18"/>
                <w:szCs w:val="18"/>
              </w:rPr>
            </w:pPr>
            <w:r w:rsidRPr="009E084A">
              <w:rPr>
                <w:sz w:val="18"/>
                <w:szCs w:val="18"/>
              </w:rPr>
              <w:t>69.4–72.9%</w:t>
            </w:r>
          </w:p>
        </w:tc>
      </w:tr>
      <w:tr w:rsidR="007E6560" w:rsidRPr="009E084A" w14:paraId="5EE8C4A3" w14:textId="77777777" w:rsidTr="009E084A">
        <w:tc>
          <w:tcPr>
            <w:tcW w:w="14938" w:type="dxa"/>
            <w:gridSpan w:val="10"/>
            <w:shd w:val="clear" w:color="auto" w:fill="808080" w:themeFill="background1" w:themeFillShade="80"/>
            <w:hideMark/>
          </w:tcPr>
          <w:p w14:paraId="0FE4FDC9" w14:textId="77777777" w:rsidR="007E6560" w:rsidRPr="009E084A" w:rsidRDefault="007E6560" w:rsidP="0025078D">
            <w:pPr>
              <w:pStyle w:val="NormalWeb"/>
              <w:rPr>
                <w:b/>
                <w:color w:val="FFFFFF" w:themeColor="background1"/>
                <w:sz w:val="18"/>
                <w:szCs w:val="18"/>
              </w:rPr>
            </w:pPr>
            <w:r w:rsidRPr="009E084A">
              <w:rPr>
                <w:b/>
                <w:color w:val="FFFFFF" w:themeColor="background1"/>
                <w:sz w:val="18"/>
                <w:szCs w:val="18"/>
              </w:rPr>
              <w:t>Equivocal</w:t>
            </w:r>
          </w:p>
        </w:tc>
      </w:tr>
      <w:tr w:rsidR="000A5606" w:rsidRPr="009E084A" w14:paraId="2B35AA6A"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22CC7908" w14:textId="77777777" w:rsidR="00E87D5B" w:rsidRPr="009E084A" w:rsidRDefault="00E87D5B">
            <w:pPr>
              <w:pStyle w:val="NormalWeb"/>
              <w:rPr>
                <w:sz w:val="18"/>
                <w:szCs w:val="18"/>
              </w:rPr>
            </w:pPr>
            <w:r w:rsidRPr="009E084A">
              <w:rPr>
                <w:sz w:val="18"/>
                <w:szCs w:val="18"/>
              </w:rPr>
              <w:t>1</w:t>
            </w:r>
          </w:p>
        </w:tc>
        <w:tc>
          <w:tcPr>
            <w:tcW w:w="1402" w:type="dxa"/>
            <w:hideMark/>
          </w:tcPr>
          <w:p w14:paraId="194BFD41" w14:textId="77777777" w:rsidR="00E87D5B" w:rsidRPr="009E084A" w:rsidRDefault="00E87D5B" w:rsidP="00F8742F">
            <w:pPr>
              <w:pStyle w:val="NormalWeb"/>
              <w:jc w:val="center"/>
              <w:rPr>
                <w:sz w:val="18"/>
                <w:szCs w:val="18"/>
              </w:rPr>
            </w:pPr>
            <w:r w:rsidRPr="009E084A">
              <w:rPr>
                <w:sz w:val="18"/>
                <w:szCs w:val="18"/>
              </w:rPr>
              <w:t>333</w:t>
            </w:r>
          </w:p>
        </w:tc>
        <w:tc>
          <w:tcPr>
            <w:tcW w:w="1134" w:type="dxa"/>
            <w:hideMark/>
          </w:tcPr>
          <w:p w14:paraId="133F55D2" w14:textId="77777777" w:rsidR="00E87D5B" w:rsidRPr="009E084A" w:rsidRDefault="00E87D5B" w:rsidP="00F8742F">
            <w:pPr>
              <w:pStyle w:val="NormalWeb"/>
              <w:jc w:val="center"/>
              <w:rPr>
                <w:sz w:val="18"/>
                <w:szCs w:val="18"/>
              </w:rPr>
            </w:pPr>
            <w:r w:rsidRPr="009E084A">
              <w:rPr>
                <w:sz w:val="18"/>
                <w:szCs w:val="18"/>
              </w:rPr>
              <w:t>9.3%</w:t>
            </w:r>
          </w:p>
        </w:tc>
        <w:tc>
          <w:tcPr>
            <w:tcW w:w="1131" w:type="dxa"/>
            <w:hideMark/>
          </w:tcPr>
          <w:p w14:paraId="7FCC1D65" w14:textId="77777777" w:rsidR="00E87D5B" w:rsidRPr="009E084A" w:rsidRDefault="00E87D5B" w:rsidP="00F8742F">
            <w:pPr>
              <w:pStyle w:val="NormalWeb"/>
              <w:jc w:val="center"/>
              <w:rPr>
                <w:sz w:val="18"/>
                <w:szCs w:val="18"/>
              </w:rPr>
            </w:pPr>
            <w:r w:rsidRPr="009E084A">
              <w:rPr>
                <w:sz w:val="18"/>
                <w:szCs w:val="18"/>
              </w:rPr>
              <w:t>6.6–12.9%</w:t>
            </w:r>
          </w:p>
        </w:tc>
        <w:tc>
          <w:tcPr>
            <w:tcW w:w="1413" w:type="dxa"/>
            <w:hideMark/>
          </w:tcPr>
          <w:p w14:paraId="5490B02A" w14:textId="77777777" w:rsidR="00E87D5B" w:rsidRPr="009E084A" w:rsidRDefault="00E87D5B" w:rsidP="00F8742F">
            <w:pPr>
              <w:pStyle w:val="NormalWeb"/>
              <w:jc w:val="center"/>
              <w:rPr>
                <w:sz w:val="18"/>
                <w:szCs w:val="18"/>
              </w:rPr>
            </w:pPr>
            <w:r w:rsidRPr="009E084A">
              <w:rPr>
                <w:sz w:val="18"/>
                <w:szCs w:val="18"/>
              </w:rPr>
              <w:t>208</w:t>
            </w:r>
          </w:p>
        </w:tc>
        <w:tc>
          <w:tcPr>
            <w:tcW w:w="1992" w:type="dxa"/>
            <w:hideMark/>
          </w:tcPr>
          <w:p w14:paraId="4DC31A7E" w14:textId="77777777" w:rsidR="00E87D5B" w:rsidRPr="009E084A" w:rsidRDefault="00E87D5B" w:rsidP="00F8742F">
            <w:pPr>
              <w:pStyle w:val="NormalWeb"/>
              <w:jc w:val="center"/>
              <w:rPr>
                <w:sz w:val="18"/>
                <w:szCs w:val="18"/>
              </w:rPr>
            </w:pPr>
            <w:r w:rsidRPr="009E084A">
              <w:rPr>
                <w:sz w:val="18"/>
                <w:szCs w:val="18"/>
              </w:rPr>
              <w:t>18.0%</w:t>
            </w:r>
          </w:p>
        </w:tc>
        <w:tc>
          <w:tcPr>
            <w:tcW w:w="1362" w:type="dxa"/>
            <w:hideMark/>
          </w:tcPr>
          <w:p w14:paraId="50DC2871" w14:textId="77777777" w:rsidR="00E87D5B" w:rsidRPr="009E084A" w:rsidRDefault="00E87D5B" w:rsidP="00F8742F">
            <w:pPr>
              <w:pStyle w:val="NormalWeb"/>
              <w:jc w:val="center"/>
              <w:rPr>
                <w:sz w:val="18"/>
                <w:szCs w:val="18"/>
              </w:rPr>
            </w:pPr>
            <w:r w:rsidRPr="009E084A">
              <w:rPr>
                <w:sz w:val="18"/>
                <w:szCs w:val="18"/>
              </w:rPr>
              <w:t>13.2–24.0%</w:t>
            </w:r>
          </w:p>
        </w:tc>
        <w:tc>
          <w:tcPr>
            <w:tcW w:w="1483" w:type="dxa"/>
            <w:hideMark/>
          </w:tcPr>
          <w:p w14:paraId="29085AA2" w14:textId="77777777" w:rsidR="00E87D5B" w:rsidRPr="009E084A" w:rsidRDefault="00E87D5B" w:rsidP="00F8742F">
            <w:pPr>
              <w:pStyle w:val="NormalWeb"/>
              <w:jc w:val="center"/>
              <w:rPr>
                <w:sz w:val="18"/>
                <w:szCs w:val="18"/>
              </w:rPr>
            </w:pPr>
            <w:r w:rsidRPr="009E084A">
              <w:rPr>
                <w:sz w:val="18"/>
                <w:szCs w:val="18"/>
              </w:rPr>
              <w:t>183</w:t>
            </w:r>
          </w:p>
        </w:tc>
        <w:tc>
          <w:tcPr>
            <w:tcW w:w="1770" w:type="dxa"/>
            <w:hideMark/>
          </w:tcPr>
          <w:p w14:paraId="4089BBB0" w14:textId="77777777" w:rsidR="00E87D5B" w:rsidRPr="009E084A" w:rsidRDefault="00E87D5B" w:rsidP="00F8742F">
            <w:pPr>
              <w:pStyle w:val="NormalWeb"/>
              <w:jc w:val="center"/>
              <w:rPr>
                <w:sz w:val="18"/>
                <w:szCs w:val="18"/>
              </w:rPr>
            </w:pPr>
            <w:r w:rsidRPr="009E084A">
              <w:rPr>
                <w:sz w:val="18"/>
                <w:szCs w:val="18"/>
              </w:rPr>
              <w:t>15.4%</w:t>
            </w:r>
          </w:p>
        </w:tc>
        <w:tc>
          <w:tcPr>
            <w:tcW w:w="1818" w:type="dxa"/>
            <w:hideMark/>
          </w:tcPr>
          <w:p w14:paraId="7EF229AC" w14:textId="77777777" w:rsidR="00E87D5B" w:rsidRPr="009E084A" w:rsidRDefault="00E87D5B" w:rsidP="00F8742F">
            <w:pPr>
              <w:pStyle w:val="NormalWeb"/>
              <w:jc w:val="center"/>
              <w:rPr>
                <w:sz w:val="18"/>
                <w:szCs w:val="18"/>
              </w:rPr>
            </w:pPr>
            <w:r w:rsidRPr="009E084A">
              <w:rPr>
                <w:sz w:val="18"/>
                <w:szCs w:val="18"/>
              </w:rPr>
              <w:t>10.2–22.6%</w:t>
            </w:r>
          </w:p>
        </w:tc>
      </w:tr>
      <w:tr w:rsidR="000A5606" w:rsidRPr="009E084A" w14:paraId="44386593" w14:textId="77777777" w:rsidTr="009E084A">
        <w:tc>
          <w:tcPr>
            <w:tcW w:w="0" w:type="auto"/>
            <w:hideMark/>
          </w:tcPr>
          <w:p w14:paraId="44D772F5" w14:textId="77777777" w:rsidR="00E87D5B" w:rsidRPr="009E084A" w:rsidRDefault="00E87D5B">
            <w:pPr>
              <w:pStyle w:val="NormalWeb"/>
              <w:rPr>
                <w:sz w:val="18"/>
                <w:szCs w:val="18"/>
              </w:rPr>
            </w:pPr>
            <w:r w:rsidRPr="009E084A">
              <w:rPr>
                <w:sz w:val="18"/>
                <w:szCs w:val="18"/>
              </w:rPr>
              <w:t>2–4</w:t>
            </w:r>
          </w:p>
        </w:tc>
        <w:tc>
          <w:tcPr>
            <w:tcW w:w="1402" w:type="dxa"/>
            <w:hideMark/>
          </w:tcPr>
          <w:p w14:paraId="186201AA" w14:textId="77777777" w:rsidR="00E87D5B" w:rsidRPr="009E084A" w:rsidRDefault="00E87D5B" w:rsidP="00F8742F">
            <w:pPr>
              <w:pStyle w:val="NormalWeb"/>
              <w:jc w:val="center"/>
              <w:rPr>
                <w:sz w:val="18"/>
                <w:szCs w:val="18"/>
              </w:rPr>
            </w:pPr>
            <w:r w:rsidRPr="009E084A">
              <w:rPr>
                <w:sz w:val="18"/>
                <w:szCs w:val="18"/>
              </w:rPr>
              <w:t>439</w:t>
            </w:r>
          </w:p>
        </w:tc>
        <w:tc>
          <w:tcPr>
            <w:tcW w:w="1134" w:type="dxa"/>
            <w:hideMark/>
          </w:tcPr>
          <w:p w14:paraId="02E69660" w14:textId="77777777" w:rsidR="00E87D5B" w:rsidRPr="009E084A" w:rsidRDefault="00E87D5B" w:rsidP="00F8742F">
            <w:pPr>
              <w:pStyle w:val="NormalWeb"/>
              <w:jc w:val="center"/>
              <w:rPr>
                <w:sz w:val="18"/>
                <w:szCs w:val="18"/>
              </w:rPr>
            </w:pPr>
            <w:r w:rsidRPr="009E084A">
              <w:rPr>
                <w:sz w:val="18"/>
                <w:szCs w:val="18"/>
              </w:rPr>
              <w:t>11.4%</w:t>
            </w:r>
          </w:p>
        </w:tc>
        <w:tc>
          <w:tcPr>
            <w:tcW w:w="1131" w:type="dxa"/>
            <w:hideMark/>
          </w:tcPr>
          <w:p w14:paraId="63239C84" w14:textId="77777777" w:rsidR="00E87D5B" w:rsidRPr="009E084A" w:rsidRDefault="00E87D5B" w:rsidP="00F8742F">
            <w:pPr>
              <w:pStyle w:val="NormalWeb"/>
              <w:jc w:val="center"/>
              <w:rPr>
                <w:sz w:val="18"/>
                <w:szCs w:val="18"/>
              </w:rPr>
            </w:pPr>
            <w:r w:rsidRPr="009E084A">
              <w:rPr>
                <w:sz w:val="18"/>
                <w:szCs w:val="18"/>
              </w:rPr>
              <w:t>8.7–14.7%</w:t>
            </w:r>
          </w:p>
        </w:tc>
        <w:tc>
          <w:tcPr>
            <w:tcW w:w="1413" w:type="dxa"/>
            <w:hideMark/>
          </w:tcPr>
          <w:p w14:paraId="68386445" w14:textId="77777777" w:rsidR="00E87D5B" w:rsidRPr="009E084A" w:rsidRDefault="00E87D5B" w:rsidP="00F8742F">
            <w:pPr>
              <w:pStyle w:val="NormalWeb"/>
              <w:jc w:val="center"/>
              <w:rPr>
                <w:sz w:val="18"/>
                <w:szCs w:val="18"/>
              </w:rPr>
            </w:pPr>
            <w:r w:rsidRPr="009E084A">
              <w:rPr>
                <w:sz w:val="18"/>
                <w:szCs w:val="18"/>
              </w:rPr>
              <w:t>601</w:t>
            </w:r>
          </w:p>
        </w:tc>
        <w:tc>
          <w:tcPr>
            <w:tcW w:w="1992" w:type="dxa"/>
            <w:hideMark/>
          </w:tcPr>
          <w:p w14:paraId="566BA69F" w14:textId="77777777" w:rsidR="00E87D5B" w:rsidRPr="009E084A" w:rsidRDefault="00E87D5B" w:rsidP="00F8742F">
            <w:pPr>
              <w:pStyle w:val="NormalWeb"/>
              <w:jc w:val="center"/>
              <w:rPr>
                <w:sz w:val="18"/>
                <w:szCs w:val="18"/>
              </w:rPr>
            </w:pPr>
            <w:r w:rsidRPr="009E084A">
              <w:rPr>
                <w:sz w:val="18"/>
                <w:szCs w:val="18"/>
              </w:rPr>
              <w:t xml:space="preserve">14.0% </w:t>
            </w:r>
            <w:r w:rsidRPr="009E084A">
              <w:rPr>
                <w:sz w:val="18"/>
                <w:szCs w:val="18"/>
                <w:vertAlign w:val="superscript"/>
              </w:rPr>
              <w:t>a</w:t>
            </w:r>
          </w:p>
        </w:tc>
        <w:tc>
          <w:tcPr>
            <w:tcW w:w="1362" w:type="dxa"/>
            <w:hideMark/>
          </w:tcPr>
          <w:p w14:paraId="7AE40FC1" w14:textId="77777777" w:rsidR="00E87D5B" w:rsidRPr="009E084A" w:rsidRDefault="00E87D5B" w:rsidP="00F8742F">
            <w:pPr>
              <w:pStyle w:val="NormalWeb"/>
              <w:jc w:val="center"/>
              <w:rPr>
                <w:sz w:val="18"/>
                <w:szCs w:val="18"/>
              </w:rPr>
            </w:pPr>
            <w:r w:rsidRPr="009E084A">
              <w:rPr>
                <w:sz w:val="18"/>
                <w:szCs w:val="18"/>
              </w:rPr>
              <w:t>11.5–17.0%</w:t>
            </w:r>
          </w:p>
        </w:tc>
        <w:tc>
          <w:tcPr>
            <w:tcW w:w="1483" w:type="dxa"/>
            <w:hideMark/>
          </w:tcPr>
          <w:p w14:paraId="1A3D51D5" w14:textId="77777777" w:rsidR="00E87D5B" w:rsidRPr="009E084A" w:rsidRDefault="00E87D5B" w:rsidP="00F8742F">
            <w:pPr>
              <w:pStyle w:val="NormalWeb"/>
              <w:jc w:val="center"/>
              <w:rPr>
                <w:sz w:val="18"/>
                <w:szCs w:val="18"/>
              </w:rPr>
            </w:pPr>
            <w:r w:rsidRPr="009E084A">
              <w:rPr>
                <w:sz w:val="18"/>
                <w:szCs w:val="18"/>
              </w:rPr>
              <w:t>287</w:t>
            </w:r>
          </w:p>
        </w:tc>
        <w:tc>
          <w:tcPr>
            <w:tcW w:w="1770" w:type="dxa"/>
            <w:hideMark/>
          </w:tcPr>
          <w:p w14:paraId="3D790F74" w14:textId="77777777" w:rsidR="00E87D5B" w:rsidRPr="009E084A" w:rsidRDefault="00E87D5B" w:rsidP="00F8742F">
            <w:pPr>
              <w:pStyle w:val="NormalWeb"/>
              <w:jc w:val="center"/>
              <w:rPr>
                <w:sz w:val="18"/>
                <w:szCs w:val="18"/>
              </w:rPr>
            </w:pPr>
            <w:r w:rsidRPr="009E084A">
              <w:rPr>
                <w:sz w:val="18"/>
                <w:szCs w:val="18"/>
              </w:rPr>
              <w:t>8.2%</w:t>
            </w:r>
          </w:p>
        </w:tc>
        <w:tc>
          <w:tcPr>
            <w:tcW w:w="1818" w:type="dxa"/>
            <w:hideMark/>
          </w:tcPr>
          <w:p w14:paraId="68529C05" w14:textId="77777777" w:rsidR="00E87D5B" w:rsidRPr="009E084A" w:rsidRDefault="00E87D5B" w:rsidP="00F8742F">
            <w:pPr>
              <w:pStyle w:val="NormalWeb"/>
              <w:jc w:val="center"/>
              <w:rPr>
                <w:sz w:val="18"/>
                <w:szCs w:val="18"/>
              </w:rPr>
            </w:pPr>
            <w:r w:rsidRPr="009E084A">
              <w:rPr>
                <w:sz w:val="18"/>
                <w:szCs w:val="18"/>
              </w:rPr>
              <w:t>5.5–12.1%</w:t>
            </w:r>
          </w:p>
        </w:tc>
      </w:tr>
      <w:tr w:rsidR="000A5606" w:rsidRPr="009E084A" w14:paraId="60D0B815"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429D989C" w14:textId="77777777" w:rsidR="00E87D5B" w:rsidRPr="009E084A" w:rsidRDefault="00E87D5B">
            <w:pPr>
              <w:pStyle w:val="NormalWeb"/>
              <w:rPr>
                <w:sz w:val="18"/>
                <w:szCs w:val="18"/>
              </w:rPr>
            </w:pPr>
            <w:r w:rsidRPr="009E084A">
              <w:rPr>
                <w:sz w:val="18"/>
                <w:szCs w:val="18"/>
              </w:rPr>
              <w:t>5–9</w:t>
            </w:r>
          </w:p>
        </w:tc>
        <w:tc>
          <w:tcPr>
            <w:tcW w:w="1402" w:type="dxa"/>
            <w:hideMark/>
          </w:tcPr>
          <w:p w14:paraId="32F47B34" w14:textId="77777777" w:rsidR="00E87D5B" w:rsidRPr="009E084A" w:rsidRDefault="00E87D5B" w:rsidP="00F8742F">
            <w:pPr>
              <w:pStyle w:val="NormalWeb"/>
              <w:jc w:val="center"/>
              <w:rPr>
                <w:sz w:val="18"/>
                <w:szCs w:val="18"/>
              </w:rPr>
            </w:pPr>
            <w:r w:rsidRPr="009E084A">
              <w:rPr>
                <w:sz w:val="18"/>
                <w:szCs w:val="18"/>
              </w:rPr>
              <w:t>315</w:t>
            </w:r>
          </w:p>
        </w:tc>
        <w:tc>
          <w:tcPr>
            <w:tcW w:w="1134" w:type="dxa"/>
            <w:hideMark/>
          </w:tcPr>
          <w:p w14:paraId="68274E42" w14:textId="77777777" w:rsidR="00E87D5B" w:rsidRPr="009E084A" w:rsidRDefault="00E87D5B" w:rsidP="00F8742F">
            <w:pPr>
              <w:pStyle w:val="NormalWeb"/>
              <w:jc w:val="center"/>
              <w:rPr>
                <w:sz w:val="18"/>
                <w:szCs w:val="18"/>
              </w:rPr>
            </w:pPr>
            <w:r w:rsidRPr="009E084A">
              <w:rPr>
                <w:sz w:val="18"/>
                <w:szCs w:val="18"/>
              </w:rPr>
              <w:t>5.7%</w:t>
            </w:r>
          </w:p>
        </w:tc>
        <w:tc>
          <w:tcPr>
            <w:tcW w:w="1131" w:type="dxa"/>
            <w:hideMark/>
          </w:tcPr>
          <w:p w14:paraId="46F2280C" w14:textId="77777777" w:rsidR="00E87D5B" w:rsidRPr="009E084A" w:rsidRDefault="00E87D5B" w:rsidP="00F8742F">
            <w:pPr>
              <w:pStyle w:val="NormalWeb"/>
              <w:jc w:val="center"/>
              <w:rPr>
                <w:sz w:val="18"/>
                <w:szCs w:val="18"/>
              </w:rPr>
            </w:pPr>
            <w:r w:rsidRPr="009E084A">
              <w:rPr>
                <w:sz w:val="18"/>
                <w:szCs w:val="18"/>
              </w:rPr>
              <w:t>3.6–8.9%</w:t>
            </w:r>
          </w:p>
        </w:tc>
        <w:tc>
          <w:tcPr>
            <w:tcW w:w="1413" w:type="dxa"/>
            <w:hideMark/>
          </w:tcPr>
          <w:p w14:paraId="52F727AE" w14:textId="77777777" w:rsidR="00E87D5B" w:rsidRPr="009E084A" w:rsidRDefault="00E87D5B" w:rsidP="00F8742F">
            <w:pPr>
              <w:pStyle w:val="NormalWeb"/>
              <w:jc w:val="center"/>
              <w:rPr>
                <w:sz w:val="18"/>
                <w:szCs w:val="18"/>
              </w:rPr>
            </w:pPr>
            <w:r w:rsidRPr="009E084A">
              <w:rPr>
                <w:sz w:val="18"/>
                <w:szCs w:val="18"/>
              </w:rPr>
              <w:t>464</w:t>
            </w:r>
          </w:p>
        </w:tc>
        <w:tc>
          <w:tcPr>
            <w:tcW w:w="1992" w:type="dxa"/>
            <w:hideMark/>
          </w:tcPr>
          <w:p w14:paraId="6EBA1773" w14:textId="77777777" w:rsidR="00E87D5B" w:rsidRPr="009E084A" w:rsidRDefault="00E87D5B" w:rsidP="00F8742F">
            <w:pPr>
              <w:pStyle w:val="NormalWeb"/>
              <w:jc w:val="center"/>
              <w:rPr>
                <w:sz w:val="18"/>
                <w:szCs w:val="18"/>
              </w:rPr>
            </w:pPr>
            <w:r w:rsidRPr="009E084A">
              <w:rPr>
                <w:sz w:val="18"/>
                <w:szCs w:val="18"/>
              </w:rPr>
              <w:t xml:space="preserve">17.2% </w:t>
            </w:r>
            <w:r w:rsidRPr="009E084A">
              <w:rPr>
                <w:sz w:val="18"/>
                <w:szCs w:val="18"/>
                <w:vertAlign w:val="superscript"/>
              </w:rPr>
              <w:t>a</w:t>
            </w:r>
          </w:p>
        </w:tc>
        <w:tc>
          <w:tcPr>
            <w:tcW w:w="1362" w:type="dxa"/>
            <w:hideMark/>
          </w:tcPr>
          <w:p w14:paraId="74227D6D" w14:textId="77777777" w:rsidR="00E87D5B" w:rsidRPr="009E084A" w:rsidRDefault="00E87D5B" w:rsidP="00F8742F">
            <w:pPr>
              <w:pStyle w:val="NormalWeb"/>
              <w:jc w:val="center"/>
              <w:rPr>
                <w:sz w:val="18"/>
                <w:szCs w:val="18"/>
              </w:rPr>
            </w:pPr>
            <w:r w:rsidRPr="009E084A">
              <w:rPr>
                <w:sz w:val="18"/>
                <w:szCs w:val="18"/>
              </w:rPr>
              <w:t>14.0–21.1%</w:t>
            </w:r>
          </w:p>
        </w:tc>
        <w:tc>
          <w:tcPr>
            <w:tcW w:w="1483" w:type="dxa"/>
            <w:hideMark/>
          </w:tcPr>
          <w:p w14:paraId="6A32B91A" w14:textId="77777777" w:rsidR="00E87D5B" w:rsidRPr="009E084A" w:rsidRDefault="00E87D5B" w:rsidP="00F8742F">
            <w:pPr>
              <w:pStyle w:val="NormalWeb"/>
              <w:jc w:val="center"/>
              <w:rPr>
                <w:sz w:val="18"/>
                <w:szCs w:val="18"/>
              </w:rPr>
            </w:pPr>
            <w:r w:rsidRPr="009E084A">
              <w:rPr>
                <w:sz w:val="18"/>
                <w:szCs w:val="18"/>
              </w:rPr>
              <w:t>199</w:t>
            </w:r>
          </w:p>
        </w:tc>
        <w:tc>
          <w:tcPr>
            <w:tcW w:w="1770" w:type="dxa"/>
            <w:hideMark/>
          </w:tcPr>
          <w:p w14:paraId="36F41A0D" w14:textId="77777777" w:rsidR="00E87D5B" w:rsidRPr="009E084A" w:rsidRDefault="00E87D5B" w:rsidP="00F8742F">
            <w:pPr>
              <w:pStyle w:val="NormalWeb"/>
              <w:jc w:val="center"/>
              <w:rPr>
                <w:sz w:val="18"/>
                <w:szCs w:val="18"/>
              </w:rPr>
            </w:pPr>
            <w:r w:rsidRPr="009E084A">
              <w:rPr>
                <w:sz w:val="18"/>
                <w:szCs w:val="18"/>
              </w:rPr>
              <w:t>8.5%</w:t>
            </w:r>
          </w:p>
        </w:tc>
        <w:tc>
          <w:tcPr>
            <w:tcW w:w="1818" w:type="dxa"/>
            <w:hideMark/>
          </w:tcPr>
          <w:p w14:paraId="4D982503" w14:textId="77777777" w:rsidR="00E87D5B" w:rsidRPr="009E084A" w:rsidRDefault="00E87D5B" w:rsidP="00F8742F">
            <w:pPr>
              <w:pStyle w:val="NormalWeb"/>
              <w:jc w:val="center"/>
              <w:rPr>
                <w:sz w:val="18"/>
                <w:szCs w:val="18"/>
              </w:rPr>
            </w:pPr>
            <w:r w:rsidRPr="009E084A">
              <w:rPr>
                <w:sz w:val="18"/>
                <w:szCs w:val="18"/>
              </w:rPr>
              <w:t>5.3–13.2%</w:t>
            </w:r>
          </w:p>
        </w:tc>
      </w:tr>
      <w:tr w:rsidR="000A5606" w:rsidRPr="009E084A" w14:paraId="62C49D96" w14:textId="77777777" w:rsidTr="009E084A">
        <w:tc>
          <w:tcPr>
            <w:tcW w:w="0" w:type="auto"/>
            <w:hideMark/>
          </w:tcPr>
          <w:p w14:paraId="4232EF38" w14:textId="77777777" w:rsidR="00E87D5B" w:rsidRPr="009E084A" w:rsidRDefault="00E87D5B">
            <w:pPr>
              <w:pStyle w:val="NormalWeb"/>
              <w:rPr>
                <w:sz w:val="18"/>
                <w:szCs w:val="18"/>
              </w:rPr>
            </w:pPr>
            <w:r w:rsidRPr="009E084A">
              <w:rPr>
                <w:sz w:val="18"/>
                <w:szCs w:val="18"/>
              </w:rPr>
              <w:t>10–14</w:t>
            </w:r>
          </w:p>
        </w:tc>
        <w:tc>
          <w:tcPr>
            <w:tcW w:w="1402" w:type="dxa"/>
            <w:hideMark/>
          </w:tcPr>
          <w:p w14:paraId="37101F45" w14:textId="77777777" w:rsidR="00E87D5B" w:rsidRPr="009E084A" w:rsidRDefault="00E87D5B" w:rsidP="00F8742F">
            <w:pPr>
              <w:pStyle w:val="NormalWeb"/>
              <w:jc w:val="center"/>
              <w:rPr>
                <w:sz w:val="18"/>
                <w:szCs w:val="18"/>
              </w:rPr>
            </w:pPr>
            <w:r w:rsidRPr="009E084A">
              <w:rPr>
                <w:sz w:val="18"/>
                <w:szCs w:val="18"/>
              </w:rPr>
              <w:t>197</w:t>
            </w:r>
          </w:p>
        </w:tc>
        <w:tc>
          <w:tcPr>
            <w:tcW w:w="1134" w:type="dxa"/>
            <w:hideMark/>
          </w:tcPr>
          <w:p w14:paraId="008C7170" w14:textId="77777777" w:rsidR="00E87D5B" w:rsidRPr="009E084A" w:rsidRDefault="00E87D5B" w:rsidP="00F8742F">
            <w:pPr>
              <w:pStyle w:val="NormalWeb"/>
              <w:jc w:val="center"/>
              <w:rPr>
                <w:sz w:val="18"/>
                <w:szCs w:val="18"/>
              </w:rPr>
            </w:pPr>
            <w:r w:rsidRPr="009E084A">
              <w:rPr>
                <w:sz w:val="18"/>
                <w:szCs w:val="18"/>
              </w:rPr>
              <w:t>11.2%</w:t>
            </w:r>
          </w:p>
        </w:tc>
        <w:tc>
          <w:tcPr>
            <w:tcW w:w="1131" w:type="dxa"/>
            <w:hideMark/>
          </w:tcPr>
          <w:p w14:paraId="26E88139" w14:textId="77777777" w:rsidR="00E87D5B" w:rsidRPr="009E084A" w:rsidRDefault="00E87D5B" w:rsidP="00F8742F">
            <w:pPr>
              <w:pStyle w:val="NormalWeb"/>
              <w:jc w:val="center"/>
              <w:rPr>
                <w:sz w:val="18"/>
                <w:szCs w:val="18"/>
              </w:rPr>
            </w:pPr>
            <w:r w:rsidRPr="009E084A">
              <w:rPr>
                <w:sz w:val="18"/>
                <w:szCs w:val="18"/>
              </w:rPr>
              <w:t>7.5–16.4%</w:t>
            </w:r>
          </w:p>
        </w:tc>
        <w:tc>
          <w:tcPr>
            <w:tcW w:w="1413" w:type="dxa"/>
            <w:hideMark/>
          </w:tcPr>
          <w:p w14:paraId="40B22FA4" w14:textId="77777777" w:rsidR="00E87D5B" w:rsidRPr="009E084A" w:rsidRDefault="00E87D5B" w:rsidP="00F8742F">
            <w:pPr>
              <w:pStyle w:val="NormalWeb"/>
              <w:jc w:val="center"/>
              <w:rPr>
                <w:sz w:val="18"/>
                <w:szCs w:val="18"/>
              </w:rPr>
            </w:pPr>
            <w:r w:rsidRPr="009E084A">
              <w:rPr>
                <w:sz w:val="18"/>
                <w:szCs w:val="18"/>
              </w:rPr>
              <w:t>239</w:t>
            </w:r>
          </w:p>
        </w:tc>
        <w:tc>
          <w:tcPr>
            <w:tcW w:w="1992" w:type="dxa"/>
            <w:hideMark/>
          </w:tcPr>
          <w:p w14:paraId="0EDA73F2" w14:textId="77777777" w:rsidR="00E87D5B" w:rsidRPr="009E084A" w:rsidRDefault="00E87D5B" w:rsidP="00F8742F">
            <w:pPr>
              <w:pStyle w:val="NormalWeb"/>
              <w:jc w:val="center"/>
              <w:rPr>
                <w:sz w:val="18"/>
                <w:szCs w:val="18"/>
              </w:rPr>
            </w:pPr>
            <w:r w:rsidRPr="009E084A">
              <w:rPr>
                <w:sz w:val="18"/>
                <w:szCs w:val="18"/>
              </w:rPr>
              <w:t>22.6%</w:t>
            </w:r>
          </w:p>
        </w:tc>
        <w:tc>
          <w:tcPr>
            <w:tcW w:w="1362" w:type="dxa"/>
            <w:hideMark/>
          </w:tcPr>
          <w:p w14:paraId="6D9EC01C" w14:textId="77777777" w:rsidR="00E87D5B" w:rsidRPr="009E084A" w:rsidRDefault="00E87D5B" w:rsidP="00F8742F">
            <w:pPr>
              <w:pStyle w:val="NormalWeb"/>
              <w:jc w:val="center"/>
              <w:rPr>
                <w:sz w:val="18"/>
                <w:szCs w:val="18"/>
              </w:rPr>
            </w:pPr>
            <w:r w:rsidRPr="009E084A">
              <w:rPr>
                <w:sz w:val="18"/>
                <w:szCs w:val="18"/>
              </w:rPr>
              <w:t>17.7–28.3%</w:t>
            </w:r>
          </w:p>
        </w:tc>
        <w:tc>
          <w:tcPr>
            <w:tcW w:w="1483" w:type="dxa"/>
            <w:hideMark/>
          </w:tcPr>
          <w:p w14:paraId="7E3CF106"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02F760F4" w14:textId="77777777" w:rsidR="00E87D5B" w:rsidRPr="009E084A" w:rsidRDefault="00E87D5B" w:rsidP="00F8742F">
            <w:pPr>
              <w:pStyle w:val="NormalWeb"/>
              <w:jc w:val="center"/>
              <w:rPr>
                <w:sz w:val="18"/>
                <w:szCs w:val="18"/>
              </w:rPr>
            </w:pPr>
            <w:r w:rsidRPr="009E084A">
              <w:rPr>
                <w:sz w:val="18"/>
                <w:szCs w:val="18"/>
              </w:rPr>
              <w:t>16.1%</w:t>
            </w:r>
          </w:p>
        </w:tc>
        <w:tc>
          <w:tcPr>
            <w:tcW w:w="1818" w:type="dxa"/>
            <w:hideMark/>
          </w:tcPr>
          <w:p w14:paraId="674F2829" w14:textId="77777777" w:rsidR="00E87D5B" w:rsidRPr="009E084A" w:rsidRDefault="00E87D5B" w:rsidP="00F8742F">
            <w:pPr>
              <w:pStyle w:val="NormalWeb"/>
              <w:jc w:val="center"/>
              <w:rPr>
                <w:sz w:val="18"/>
                <w:szCs w:val="18"/>
              </w:rPr>
            </w:pPr>
            <w:r w:rsidRPr="009E084A">
              <w:rPr>
                <w:sz w:val="18"/>
                <w:szCs w:val="18"/>
              </w:rPr>
              <w:t>12.2–21.0%</w:t>
            </w:r>
          </w:p>
        </w:tc>
      </w:tr>
      <w:tr w:rsidR="000A5606" w:rsidRPr="009E084A" w14:paraId="50BC762D"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2BDE7B87" w14:textId="77777777" w:rsidR="00E87D5B" w:rsidRPr="009E084A" w:rsidRDefault="00E87D5B">
            <w:pPr>
              <w:pStyle w:val="NormalWeb"/>
              <w:rPr>
                <w:sz w:val="18"/>
                <w:szCs w:val="18"/>
              </w:rPr>
            </w:pPr>
            <w:r w:rsidRPr="009E084A">
              <w:rPr>
                <w:sz w:val="18"/>
                <w:szCs w:val="18"/>
              </w:rPr>
              <w:t>15–19</w:t>
            </w:r>
          </w:p>
        </w:tc>
        <w:tc>
          <w:tcPr>
            <w:tcW w:w="1402" w:type="dxa"/>
            <w:hideMark/>
          </w:tcPr>
          <w:p w14:paraId="1135C370" w14:textId="77777777" w:rsidR="00E87D5B" w:rsidRPr="009E084A" w:rsidRDefault="00E87D5B" w:rsidP="00F8742F">
            <w:pPr>
              <w:pStyle w:val="NormalWeb"/>
              <w:jc w:val="center"/>
              <w:rPr>
                <w:sz w:val="18"/>
                <w:szCs w:val="18"/>
              </w:rPr>
            </w:pPr>
            <w:r w:rsidRPr="009E084A">
              <w:rPr>
                <w:sz w:val="18"/>
                <w:szCs w:val="18"/>
              </w:rPr>
              <w:t>266</w:t>
            </w:r>
          </w:p>
        </w:tc>
        <w:tc>
          <w:tcPr>
            <w:tcW w:w="1134" w:type="dxa"/>
            <w:hideMark/>
          </w:tcPr>
          <w:p w14:paraId="5697478C" w14:textId="77777777" w:rsidR="00E87D5B" w:rsidRPr="009E084A" w:rsidRDefault="00E87D5B" w:rsidP="00F8742F">
            <w:pPr>
              <w:pStyle w:val="NormalWeb"/>
              <w:jc w:val="center"/>
              <w:rPr>
                <w:sz w:val="18"/>
                <w:szCs w:val="18"/>
              </w:rPr>
            </w:pPr>
            <w:r w:rsidRPr="009E084A">
              <w:rPr>
                <w:sz w:val="18"/>
                <w:szCs w:val="18"/>
              </w:rPr>
              <w:t>10.9%</w:t>
            </w:r>
          </w:p>
        </w:tc>
        <w:tc>
          <w:tcPr>
            <w:tcW w:w="1131" w:type="dxa"/>
            <w:hideMark/>
          </w:tcPr>
          <w:p w14:paraId="04A0B7FB" w14:textId="77777777" w:rsidR="00E87D5B" w:rsidRPr="009E084A" w:rsidRDefault="00E87D5B" w:rsidP="00F8742F">
            <w:pPr>
              <w:pStyle w:val="NormalWeb"/>
              <w:jc w:val="center"/>
              <w:rPr>
                <w:sz w:val="18"/>
                <w:szCs w:val="18"/>
              </w:rPr>
            </w:pPr>
            <w:r w:rsidRPr="009E084A">
              <w:rPr>
                <w:sz w:val="18"/>
                <w:szCs w:val="18"/>
              </w:rPr>
              <w:t>7.7–15.3%</w:t>
            </w:r>
          </w:p>
        </w:tc>
        <w:tc>
          <w:tcPr>
            <w:tcW w:w="1413" w:type="dxa"/>
            <w:hideMark/>
          </w:tcPr>
          <w:p w14:paraId="24BEBDCD" w14:textId="77777777" w:rsidR="00E87D5B" w:rsidRPr="009E084A" w:rsidRDefault="00E87D5B" w:rsidP="00F8742F">
            <w:pPr>
              <w:pStyle w:val="NormalWeb"/>
              <w:jc w:val="center"/>
              <w:rPr>
                <w:sz w:val="18"/>
                <w:szCs w:val="18"/>
              </w:rPr>
            </w:pPr>
            <w:r w:rsidRPr="009E084A">
              <w:rPr>
                <w:sz w:val="18"/>
                <w:szCs w:val="18"/>
              </w:rPr>
              <w:t>196</w:t>
            </w:r>
          </w:p>
        </w:tc>
        <w:tc>
          <w:tcPr>
            <w:tcW w:w="1992" w:type="dxa"/>
            <w:hideMark/>
          </w:tcPr>
          <w:p w14:paraId="44841BFE" w14:textId="77777777" w:rsidR="00E87D5B" w:rsidRPr="009E084A" w:rsidRDefault="00E87D5B" w:rsidP="00F8742F">
            <w:pPr>
              <w:pStyle w:val="NormalWeb"/>
              <w:jc w:val="center"/>
              <w:rPr>
                <w:sz w:val="18"/>
                <w:szCs w:val="18"/>
              </w:rPr>
            </w:pPr>
            <w:r w:rsidRPr="009E084A">
              <w:rPr>
                <w:sz w:val="18"/>
                <w:szCs w:val="18"/>
              </w:rPr>
              <w:t xml:space="preserve">21.4% </w:t>
            </w:r>
            <w:r w:rsidRPr="009E084A">
              <w:rPr>
                <w:sz w:val="18"/>
                <w:szCs w:val="18"/>
                <w:vertAlign w:val="superscript"/>
              </w:rPr>
              <w:t>a</w:t>
            </w:r>
          </w:p>
        </w:tc>
        <w:tc>
          <w:tcPr>
            <w:tcW w:w="1362" w:type="dxa"/>
            <w:hideMark/>
          </w:tcPr>
          <w:p w14:paraId="1B32B3CC" w14:textId="77777777" w:rsidR="00E87D5B" w:rsidRPr="009E084A" w:rsidRDefault="00E87D5B" w:rsidP="00F8742F">
            <w:pPr>
              <w:pStyle w:val="NormalWeb"/>
              <w:jc w:val="center"/>
              <w:rPr>
                <w:sz w:val="18"/>
                <w:szCs w:val="18"/>
              </w:rPr>
            </w:pPr>
            <w:r w:rsidRPr="009E084A">
              <w:rPr>
                <w:sz w:val="18"/>
                <w:szCs w:val="18"/>
              </w:rPr>
              <w:t>16.2–27.7%</w:t>
            </w:r>
          </w:p>
        </w:tc>
        <w:tc>
          <w:tcPr>
            <w:tcW w:w="1483" w:type="dxa"/>
            <w:hideMark/>
          </w:tcPr>
          <w:p w14:paraId="03284865"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3B6DEF68" w14:textId="77777777" w:rsidR="00E87D5B" w:rsidRPr="009E084A" w:rsidRDefault="00E87D5B" w:rsidP="00F8742F">
            <w:pPr>
              <w:pStyle w:val="NormalWeb"/>
              <w:jc w:val="center"/>
              <w:rPr>
                <w:sz w:val="18"/>
                <w:szCs w:val="18"/>
              </w:rPr>
            </w:pPr>
            <w:r w:rsidRPr="009E084A">
              <w:rPr>
                <w:sz w:val="18"/>
                <w:szCs w:val="18"/>
              </w:rPr>
              <w:t>13.4%</w:t>
            </w:r>
          </w:p>
        </w:tc>
        <w:tc>
          <w:tcPr>
            <w:tcW w:w="1818" w:type="dxa"/>
            <w:hideMark/>
          </w:tcPr>
          <w:p w14:paraId="038642C7" w14:textId="77777777" w:rsidR="00E87D5B" w:rsidRPr="009E084A" w:rsidRDefault="00E87D5B" w:rsidP="00F8742F">
            <w:pPr>
              <w:pStyle w:val="NormalWeb"/>
              <w:jc w:val="center"/>
              <w:rPr>
                <w:sz w:val="18"/>
                <w:szCs w:val="18"/>
              </w:rPr>
            </w:pPr>
            <w:r w:rsidRPr="009E084A">
              <w:rPr>
                <w:sz w:val="18"/>
                <w:szCs w:val="18"/>
              </w:rPr>
              <w:t>9.7–18.1%</w:t>
            </w:r>
          </w:p>
        </w:tc>
      </w:tr>
      <w:tr w:rsidR="000A5606" w:rsidRPr="009E084A" w14:paraId="4669F137" w14:textId="77777777" w:rsidTr="009E084A">
        <w:tc>
          <w:tcPr>
            <w:tcW w:w="0" w:type="auto"/>
            <w:hideMark/>
          </w:tcPr>
          <w:p w14:paraId="690E8ACA" w14:textId="77777777" w:rsidR="00E87D5B" w:rsidRPr="009E084A" w:rsidRDefault="00E87D5B">
            <w:pPr>
              <w:pStyle w:val="NormalWeb"/>
              <w:rPr>
                <w:sz w:val="18"/>
                <w:szCs w:val="18"/>
              </w:rPr>
            </w:pPr>
            <w:r w:rsidRPr="009E084A">
              <w:rPr>
                <w:sz w:val="18"/>
                <w:szCs w:val="18"/>
              </w:rPr>
              <w:t>20–24</w:t>
            </w:r>
          </w:p>
        </w:tc>
        <w:tc>
          <w:tcPr>
            <w:tcW w:w="1402" w:type="dxa"/>
            <w:hideMark/>
          </w:tcPr>
          <w:p w14:paraId="6DEF5D8B" w14:textId="77777777" w:rsidR="00E87D5B" w:rsidRPr="009E084A" w:rsidRDefault="00E87D5B" w:rsidP="00F8742F">
            <w:pPr>
              <w:pStyle w:val="NormalWeb"/>
              <w:jc w:val="center"/>
              <w:rPr>
                <w:sz w:val="18"/>
                <w:szCs w:val="18"/>
              </w:rPr>
            </w:pPr>
            <w:r w:rsidRPr="009E084A">
              <w:rPr>
                <w:sz w:val="18"/>
                <w:szCs w:val="18"/>
              </w:rPr>
              <w:t>96</w:t>
            </w:r>
          </w:p>
        </w:tc>
        <w:tc>
          <w:tcPr>
            <w:tcW w:w="1134" w:type="dxa"/>
            <w:hideMark/>
          </w:tcPr>
          <w:p w14:paraId="12E4887F" w14:textId="77777777" w:rsidR="00E87D5B" w:rsidRPr="009E084A" w:rsidRDefault="00E87D5B" w:rsidP="00F8742F">
            <w:pPr>
              <w:pStyle w:val="NormalWeb"/>
              <w:jc w:val="center"/>
              <w:rPr>
                <w:sz w:val="18"/>
                <w:szCs w:val="18"/>
              </w:rPr>
            </w:pPr>
            <w:r w:rsidRPr="009E084A">
              <w:rPr>
                <w:sz w:val="18"/>
                <w:szCs w:val="18"/>
              </w:rPr>
              <w:t>8.3%</w:t>
            </w:r>
          </w:p>
        </w:tc>
        <w:tc>
          <w:tcPr>
            <w:tcW w:w="1131" w:type="dxa"/>
            <w:hideMark/>
          </w:tcPr>
          <w:p w14:paraId="6455324C" w14:textId="77777777" w:rsidR="00E87D5B" w:rsidRPr="009E084A" w:rsidRDefault="00E87D5B" w:rsidP="00F8742F">
            <w:pPr>
              <w:pStyle w:val="NormalWeb"/>
              <w:jc w:val="center"/>
              <w:rPr>
                <w:sz w:val="18"/>
                <w:szCs w:val="18"/>
              </w:rPr>
            </w:pPr>
            <w:r w:rsidRPr="009E084A">
              <w:rPr>
                <w:sz w:val="18"/>
                <w:szCs w:val="18"/>
              </w:rPr>
              <w:t>4.2–15.8%</w:t>
            </w:r>
          </w:p>
        </w:tc>
        <w:tc>
          <w:tcPr>
            <w:tcW w:w="1413" w:type="dxa"/>
            <w:hideMark/>
          </w:tcPr>
          <w:p w14:paraId="3377765C" w14:textId="77777777" w:rsidR="00E87D5B" w:rsidRPr="009E084A" w:rsidRDefault="00E87D5B" w:rsidP="00F8742F">
            <w:pPr>
              <w:pStyle w:val="NormalWeb"/>
              <w:jc w:val="center"/>
              <w:rPr>
                <w:sz w:val="18"/>
                <w:szCs w:val="18"/>
              </w:rPr>
            </w:pPr>
            <w:r w:rsidRPr="009E084A">
              <w:rPr>
                <w:sz w:val="18"/>
                <w:szCs w:val="18"/>
              </w:rPr>
              <w:t>210</w:t>
            </w:r>
          </w:p>
        </w:tc>
        <w:tc>
          <w:tcPr>
            <w:tcW w:w="1992" w:type="dxa"/>
            <w:hideMark/>
          </w:tcPr>
          <w:p w14:paraId="09047EB8" w14:textId="77777777" w:rsidR="00E87D5B" w:rsidRPr="009E084A" w:rsidRDefault="00E87D5B" w:rsidP="00F8742F">
            <w:pPr>
              <w:pStyle w:val="NormalWeb"/>
              <w:jc w:val="center"/>
              <w:rPr>
                <w:sz w:val="18"/>
                <w:szCs w:val="18"/>
              </w:rPr>
            </w:pPr>
            <w:r w:rsidRPr="009E084A">
              <w:rPr>
                <w:sz w:val="18"/>
                <w:szCs w:val="18"/>
              </w:rPr>
              <w:t>15.6%</w:t>
            </w:r>
          </w:p>
        </w:tc>
        <w:tc>
          <w:tcPr>
            <w:tcW w:w="1362" w:type="dxa"/>
            <w:hideMark/>
          </w:tcPr>
          <w:p w14:paraId="0C7DFD6A" w14:textId="77777777" w:rsidR="00E87D5B" w:rsidRPr="009E084A" w:rsidRDefault="00E87D5B" w:rsidP="00F8742F">
            <w:pPr>
              <w:pStyle w:val="NormalWeb"/>
              <w:jc w:val="center"/>
              <w:rPr>
                <w:sz w:val="18"/>
                <w:szCs w:val="18"/>
              </w:rPr>
            </w:pPr>
            <w:r w:rsidRPr="009E084A">
              <w:rPr>
                <w:sz w:val="18"/>
                <w:szCs w:val="18"/>
              </w:rPr>
              <w:t>11.3–21.1%</w:t>
            </w:r>
          </w:p>
        </w:tc>
        <w:tc>
          <w:tcPr>
            <w:tcW w:w="1483" w:type="dxa"/>
            <w:hideMark/>
          </w:tcPr>
          <w:p w14:paraId="586F7132" w14:textId="77777777" w:rsidR="00E87D5B" w:rsidRPr="009E084A" w:rsidRDefault="00E87D5B" w:rsidP="00F8742F">
            <w:pPr>
              <w:pStyle w:val="NormalWeb"/>
              <w:jc w:val="center"/>
              <w:rPr>
                <w:sz w:val="18"/>
                <w:szCs w:val="18"/>
              </w:rPr>
            </w:pPr>
            <w:r w:rsidRPr="009E084A">
              <w:rPr>
                <w:sz w:val="18"/>
                <w:szCs w:val="18"/>
              </w:rPr>
              <w:t>250</w:t>
            </w:r>
          </w:p>
        </w:tc>
        <w:tc>
          <w:tcPr>
            <w:tcW w:w="1770" w:type="dxa"/>
            <w:hideMark/>
          </w:tcPr>
          <w:p w14:paraId="46567304" w14:textId="77777777" w:rsidR="00E87D5B" w:rsidRPr="009E084A" w:rsidRDefault="00E87D5B" w:rsidP="00F8742F">
            <w:pPr>
              <w:pStyle w:val="NormalWeb"/>
              <w:jc w:val="center"/>
              <w:rPr>
                <w:sz w:val="18"/>
                <w:szCs w:val="18"/>
              </w:rPr>
            </w:pPr>
            <w:r w:rsidRPr="009E084A">
              <w:rPr>
                <w:sz w:val="18"/>
                <w:szCs w:val="18"/>
              </w:rPr>
              <w:t>11.9%</w:t>
            </w:r>
          </w:p>
        </w:tc>
        <w:tc>
          <w:tcPr>
            <w:tcW w:w="1818" w:type="dxa"/>
            <w:hideMark/>
          </w:tcPr>
          <w:p w14:paraId="7D8730D9" w14:textId="77777777" w:rsidR="00E87D5B" w:rsidRPr="009E084A" w:rsidRDefault="00E87D5B" w:rsidP="00F8742F">
            <w:pPr>
              <w:pStyle w:val="NormalWeb"/>
              <w:jc w:val="center"/>
              <w:rPr>
                <w:sz w:val="18"/>
                <w:szCs w:val="18"/>
              </w:rPr>
            </w:pPr>
            <w:r w:rsidRPr="009E084A">
              <w:rPr>
                <w:sz w:val="18"/>
                <w:szCs w:val="18"/>
              </w:rPr>
              <w:t>8.4–16.7%</w:t>
            </w:r>
          </w:p>
        </w:tc>
      </w:tr>
      <w:tr w:rsidR="000A5606" w:rsidRPr="009E084A" w14:paraId="60C86578"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69579289" w14:textId="77777777" w:rsidR="00E87D5B" w:rsidRPr="009E084A" w:rsidRDefault="00E87D5B">
            <w:pPr>
              <w:pStyle w:val="NormalWeb"/>
              <w:rPr>
                <w:sz w:val="18"/>
                <w:szCs w:val="18"/>
              </w:rPr>
            </w:pPr>
            <w:r w:rsidRPr="009E084A">
              <w:rPr>
                <w:sz w:val="18"/>
                <w:szCs w:val="18"/>
              </w:rPr>
              <w:lastRenderedPageBreak/>
              <w:t>25–29</w:t>
            </w:r>
          </w:p>
        </w:tc>
        <w:tc>
          <w:tcPr>
            <w:tcW w:w="1402" w:type="dxa"/>
            <w:hideMark/>
          </w:tcPr>
          <w:p w14:paraId="5F9D7D84" w14:textId="77777777" w:rsidR="00E87D5B" w:rsidRPr="009E084A" w:rsidRDefault="00E87D5B" w:rsidP="00F8742F">
            <w:pPr>
              <w:pStyle w:val="NormalWeb"/>
              <w:jc w:val="center"/>
              <w:rPr>
                <w:sz w:val="18"/>
                <w:szCs w:val="18"/>
              </w:rPr>
            </w:pPr>
            <w:r w:rsidRPr="009E084A">
              <w:rPr>
                <w:sz w:val="18"/>
                <w:szCs w:val="18"/>
              </w:rPr>
              <w:t>138</w:t>
            </w:r>
          </w:p>
        </w:tc>
        <w:tc>
          <w:tcPr>
            <w:tcW w:w="1134" w:type="dxa"/>
            <w:hideMark/>
          </w:tcPr>
          <w:p w14:paraId="37E51270" w14:textId="77777777" w:rsidR="00E87D5B" w:rsidRPr="009E084A" w:rsidRDefault="00E87D5B" w:rsidP="00F8742F">
            <w:pPr>
              <w:pStyle w:val="NormalWeb"/>
              <w:jc w:val="center"/>
              <w:rPr>
                <w:sz w:val="18"/>
                <w:szCs w:val="18"/>
              </w:rPr>
            </w:pPr>
            <w:r w:rsidRPr="009E084A">
              <w:rPr>
                <w:sz w:val="18"/>
                <w:szCs w:val="18"/>
              </w:rPr>
              <w:t xml:space="preserve">5.1% </w:t>
            </w:r>
            <w:r w:rsidRPr="009E084A">
              <w:rPr>
                <w:sz w:val="18"/>
                <w:szCs w:val="18"/>
                <w:vertAlign w:val="superscript"/>
              </w:rPr>
              <w:t>a</w:t>
            </w:r>
          </w:p>
        </w:tc>
        <w:tc>
          <w:tcPr>
            <w:tcW w:w="1131" w:type="dxa"/>
            <w:hideMark/>
          </w:tcPr>
          <w:p w14:paraId="6A011239" w14:textId="77777777" w:rsidR="00E87D5B" w:rsidRPr="009E084A" w:rsidRDefault="00E87D5B" w:rsidP="00F8742F">
            <w:pPr>
              <w:pStyle w:val="NormalWeb"/>
              <w:jc w:val="center"/>
              <w:rPr>
                <w:sz w:val="18"/>
                <w:szCs w:val="18"/>
              </w:rPr>
            </w:pPr>
            <w:r w:rsidRPr="009E084A">
              <w:rPr>
                <w:sz w:val="18"/>
                <w:szCs w:val="18"/>
              </w:rPr>
              <w:t>2.4–10.3%</w:t>
            </w:r>
          </w:p>
        </w:tc>
        <w:tc>
          <w:tcPr>
            <w:tcW w:w="1413" w:type="dxa"/>
            <w:hideMark/>
          </w:tcPr>
          <w:p w14:paraId="4625161C" w14:textId="77777777" w:rsidR="00E87D5B" w:rsidRPr="009E084A" w:rsidRDefault="00E87D5B" w:rsidP="00F8742F">
            <w:pPr>
              <w:pStyle w:val="NormalWeb"/>
              <w:jc w:val="center"/>
              <w:rPr>
                <w:sz w:val="18"/>
                <w:szCs w:val="18"/>
              </w:rPr>
            </w:pPr>
            <w:r w:rsidRPr="009E084A">
              <w:rPr>
                <w:sz w:val="18"/>
                <w:szCs w:val="18"/>
              </w:rPr>
              <w:t>640</w:t>
            </w:r>
          </w:p>
        </w:tc>
        <w:tc>
          <w:tcPr>
            <w:tcW w:w="1992" w:type="dxa"/>
            <w:hideMark/>
          </w:tcPr>
          <w:p w14:paraId="17CDFE40" w14:textId="77777777" w:rsidR="00E87D5B" w:rsidRPr="009E084A" w:rsidRDefault="00E87D5B" w:rsidP="00F8742F">
            <w:pPr>
              <w:pStyle w:val="NormalWeb"/>
              <w:jc w:val="center"/>
              <w:rPr>
                <w:sz w:val="18"/>
                <w:szCs w:val="18"/>
              </w:rPr>
            </w:pPr>
            <w:r w:rsidRPr="009E084A">
              <w:rPr>
                <w:sz w:val="18"/>
                <w:szCs w:val="18"/>
              </w:rPr>
              <w:t>11.9%</w:t>
            </w:r>
          </w:p>
        </w:tc>
        <w:tc>
          <w:tcPr>
            <w:tcW w:w="1362" w:type="dxa"/>
            <w:hideMark/>
          </w:tcPr>
          <w:p w14:paraId="549F9B11" w14:textId="77777777" w:rsidR="00E87D5B" w:rsidRPr="009E084A" w:rsidRDefault="00E87D5B" w:rsidP="00F8742F">
            <w:pPr>
              <w:pStyle w:val="NormalWeb"/>
              <w:jc w:val="center"/>
              <w:rPr>
                <w:sz w:val="18"/>
                <w:szCs w:val="18"/>
              </w:rPr>
            </w:pPr>
            <w:r w:rsidRPr="009E084A">
              <w:rPr>
                <w:sz w:val="18"/>
                <w:szCs w:val="18"/>
              </w:rPr>
              <w:t>9.6–14.6%</w:t>
            </w:r>
          </w:p>
        </w:tc>
        <w:tc>
          <w:tcPr>
            <w:tcW w:w="1483" w:type="dxa"/>
            <w:hideMark/>
          </w:tcPr>
          <w:p w14:paraId="0A0CAF66" w14:textId="77777777" w:rsidR="00E87D5B" w:rsidRPr="009E084A" w:rsidRDefault="00E87D5B" w:rsidP="00F8742F">
            <w:pPr>
              <w:pStyle w:val="NormalWeb"/>
              <w:jc w:val="center"/>
              <w:rPr>
                <w:sz w:val="18"/>
                <w:szCs w:val="18"/>
              </w:rPr>
            </w:pPr>
            <w:r w:rsidRPr="009E084A">
              <w:rPr>
                <w:sz w:val="18"/>
                <w:szCs w:val="18"/>
              </w:rPr>
              <w:t>320</w:t>
            </w:r>
          </w:p>
        </w:tc>
        <w:tc>
          <w:tcPr>
            <w:tcW w:w="1770" w:type="dxa"/>
            <w:hideMark/>
          </w:tcPr>
          <w:p w14:paraId="23B195D4" w14:textId="77777777" w:rsidR="00E87D5B" w:rsidRPr="009E084A" w:rsidRDefault="00E87D5B" w:rsidP="00F8742F">
            <w:pPr>
              <w:pStyle w:val="NormalWeb"/>
              <w:jc w:val="center"/>
              <w:rPr>
                <w:sz w:val="18"/>
                <w:szCs w:val="18"/>
              </w:rPr>
            </w:pPr>
            <w:r w:rsidRPr="009E084A">
              <w:rPr>
                <w:sz w:val="18"/>
                <w:szCs w:val="18"/>
              </w:rPr>
              <w:t>14.1%</w:t>
            </w:r>
          </w:p>
        </w:tc>
        <w:tc>
          <w:tcPr>
            <w:tcW w:w="1818" w:type="dxa"/>
            <w:hideMark/>
          </w:tcPr>
          <w:p w14:paraId="6ECD9B36" w14:textId="77777777" w:rsidR="00E87D5B" w:rsidRPr="009E084A" w:rsidRDefault="00E87D5B" w:rsidP="00F8742F">
            <w:pPr>
              <w:pStyle w:val="NormalWeb"/>
              <w:jc w:val="center"/>
              <w:rPr>
                <w:sz w:val="18"/>
                <w:szCs w:val="18"/>
              </w:rPr>
            </w:pPr>
            <w:r w:rsidRPr="009E084A">
              <w:rPr>
                <w:sz w:val="18"/>
                <w:szCs w:val="18"/>
              </w:rPr>
              <w:t>10.6–18.5%</w:t>
            </w:r>
          </w:p>
        </w:tc>
      </w:tr>
      <w:tr w:rsidR="000A5606" w:rsidRPr="009E084A" w14:paraId="2315A664" w14:textId="77777777" w:rsidTr="009E084A">
        <w:tc>
          <w:tcPr>
            <w:tcW w:w="0" w:type="auto"/>
            <w:hideMark/>
          </w:tcPr>
          <w:p w14:paraId="02E99A5E" w14:textId="77777777" w:rsidR="00E87D5B" w:rsidRPr="009E084A" w:rsidRDefault="00E87D5B">
            <w:pPr>
              <w:pStyle w:val="NormalWeb"/>
              <w:rPr>
                <w:sz w:val="18"/>
                <w:szCs w:val="18"/>
              </w:rPr>
            </w:pPr>
            <w:r w:rsidRPr="009E084A">
              <w:rPr>
                <w:sz w:val="18"/>
                <w:szCs w:val="18"/>
              </w:rPr>
              <w:t>30–34</w:t>
            </w:r>
          </w:p>
        </w:tc>
        <w:tc>
          <w:tcPr>
            <w:tcW w:w="1402" w:type="dxa"/>
            <w:hideMark/>
          </w:tcPr>
          <w:p w14:paraId="56D3BF98" w14:textId="77777777" w:rsidR="00E87D5B" w:rsidRPr="009E084A" w:rsidRDefault="00E87D5B" w:rsidP="00F8742F">
            <w:pPr>
              <w:pStyle w:val="NormalWeb"/>
              <w:jc w:val="center"/>
              <w:rPr>
                <w:sz w:val="18"/>
                <w:szCs w:val="18"/>
              </w:rPr>
            </w:pPr>
            <w:r w:rsidRPr="009E084A">
              <w:rPr>
                <w:sz w:val="18"/>
                <w:szCs w:val="18"/>
              </w:rPr>
              <w:t>41</w:t>
            </w:r>
          </w:p>
        </w:tc>
        <w:tc>
          <w:tcPr>
            <w:tcW w:w="1134" w:type="dxa"/>
            <w:hideMark/>
          </w:tcPr>
          <w:p w14:paraId="146A13F3" w14:textId="77777777" w:rsidR="00E87D5B" w:rsidRPr="009E084A" w:rsidRDefault="00E87D5B" w:rsidP="00F8742F">
            <w:pPr>
              <w:pStyle w:val="NormalWeb"/>
              <w:jc w:val="center"/>
              <w:rPr>
                <w:sz w:val="18"/>
                <w:szCs w:val="18"/>
              </w:rPr>
            </w:pPr>
            <w:r w:rsidRPr="009E084A">
              <w:rPr>
                <w:sz w:val="18"/>
                <w:szCs w:val="18"/>
              </w:rPr>
              <w:t>9.8%</w:t>
            </w:r>
          </w:p>
        </w:tc>
        <w:tc>
          <w:tcPr>
            <w:tcW w:w="1131" w:type="dxa"/>
            <w:hideMark/>
          </w:tcPr>
          <w:p w14:paraId="448C00B5" w14:textId="77777777" w:rsidR="00E87D5B" w:rsidRPr="009E084A" w:rsidRDefault="00E87D5B" w:rsidP="00F8742F">
            <w:pPr>
              <w:pStyle w:val="NormalWeb"/>
              <w:jc w:val="center"/>
              <w:rPr>
                <w:sz w:val="18"/>
                <w:szCs w:val="18"/>
              </w:rPr>
            </w:pPr>
            <w:r w:rsidRPr="009E084A">
              <w:rPr>
                <w:sz w:val="18"/>
                <w:szCs w:val="18"/>
              </w:rPr>
              <w:t>3.7–23.3%</w:t>
            </w:r>
          </w:p>
        </w:tc>
        <w:tc>
          <w:tcPr>
            <w:tcW w:w="1413" w:type="dxa"/>
            <w:hideMark/>
          </w:tcPr>
          <w:p w14:paraId="4A03F8C5" w14:textId="77777777" w:rsidR="00E87D5B" w:rsidRPr="009E084A" w:rsidRDefault="00E87D5B" w:rsidP="00F8742F">
            <w:pPr>
              <w:pStyle w:val="NormalWeb"/>
              <w:jc w:val="center"/>
              <w:rPr>
                <w:sz w:val="18"/>
                <w:szCs w:val="18"/>
              </w:rPr>
            </w:pPr>
            <w:r w:rsidRPr="009E084A">
              <w:rPr>
                <w:sz w:val="18"/>
                <w:szCs w:val="18"/>
              </w:rPr>
              <w:t>591</w:t>
            </w:r>
          </w:p>
        </w:tc>
        <w:tc>
          <w:tcPr>
            <w:tcW w:w="1992" w:type="dxa"/>
            <w:hideMark/>
          </w:tcPr>
          <w:p w14:paraId="156B6F51" w14:textId="77777777" w:rsidR="00E87D5B" w:rsidRPr="009E084A" w:rsidRDefault="00E87D5B" w:rsidP="00F8742F">
            <w:pPr>
              <w:pStyle w:val="NormalWeb"/>
              <w:jc w:val="center"/>
              <w:rPr>
                <w:sz w:val="18"/>
                <w:szCs w:val="18"/>
              </w:rPr>
            </w:pPr>
            <w:r w:rsidRPr="009E084A">
              <w:rPr>
                <w:sz w:val="18"/>
                <w:szCs w:val="18"/>
              </w:rPr>
              <w:t xml:space="preserve">9.5% </w:t>
            </w:r>
            <w:r w:rsidRPr="009E084A">
              <w:rPr>
                <w:sz w:val="18"/>
                <w:szCs w:val="18"/>
                <w:vertAlign w:val="superscript"/>
              </w:rPr>
              <w:t>a</w:t>
            </w:r>
          </w:p>
        </w:tc>
        <w:tc>
          <w:tcPr>
            <w:tcW w:w="1362" w:type="dxa"/>
            <w:hideMark/>
          </w:tcPr>
          <w:p w14:paraId="559A306B" w14:textId="77777777" w:rsidR="00E87D5B" w:rsidRPr="009E084A" w:rsidRDefault="00E87D5B" w:rsidP="00F8742F">
            <w:pPr>
              <w:pStyle w:val="NormalWeb"/>
              <w:jc w:val="center"/>
              <w:rPr>
                <w:sz w:val="18"/>
                <w:szCs w:val="18"/>
              </w:rPr>
            </w:pPr>
            <w:r w:rsidRPr="009E084A">
              <w:rPr>
                <w:sz w:val="18"/>
                <w:szCs w:val="18"/>
              </w:rPr>
              <w:t>7.4–12.1%</w:t>
            </w:r>
          </w:p>
        </w:tc>
        <w:tc>
          <w:tcPr>
            <w:tcW w:w="1483" w:type="dxa"/>
            <w:hideMark/>
          </w:tcPr>
          <w:p w14:paraId="17406957"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1D15FABC" w14:textId="77777777" w:rsidR="00E87D5B" w:rsidRPr="009E084A" w:rsidRDefault="00E87D5B" w:rsidP="00F8742F">
            <w:pPr>
              <w:pStyle w:val="NormalWeb"/>
              <w:jc w:val="center"/>
              <w:rPr>
                <w:sz w:val="18"/>
                <w:szCs w:val="18"/>
              </w:rPr>
            </w:pPr>
            <w:r w:rsidRPr="009E084A">
              <w:rPr>
                <w:sz w:val="18"/>
                <w:szCs w:val="18"/>
              </w:rPr>
              <w:t>14.4%</w:t>
            </w:r>
          </w:p>
        </w:tc>
        <w:tc>
          <w:tcPr>
            <w:tcW w:w="1818" w:type="dxa"/>
            <w:hideMark/>
          </w:tcPr>
          <w:p w14:paraId="6F40C6C0" w14:textId="77777777" w:rsidR="00E87D5B" w:rsidRPr="009E084A" w:rsidRDefault="00E87D5B" w:rsidP="00F8742F">
            <w:pPr>
              <w:pStyle w:val="NormalWeb"/>
              <w:jc w:val="center"/>
              <w:rPr>
                <w:sz w:val="18"/>
                <w:szCs w:val="18"/>
              </w:rPr>
            </w:pPr>
            <w:r w:rsidRPr="009E084A">
              <w:rPr>
                <w:sz w:val="18"/>
                <w:szCs w:val="18"/>
              </w:rPr>
              <w:t>10.2–20.0%</w:t>
            </w:r>
          </w:p>
        </w:tc>
      </w:tr>
      <w:tr w:rsidR="000A5606" w:rsidRPr="009E084A" w14:paraId="1B305221"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109D20E0" w14:textId="77777777" w:rsidR="00E87D5B" w:rsidRPr="009E084A" w:rsidRDefault="00E87D5B">
            <w:pPr>
              <w:pStyle w:val="NormalWeb"/>
              <w:rPr>
                <w:sz w:val="18"/>
                <w:szCs w:val="18"/>
              </w:rPr>
            </w:pPr>
            <w:r w:rsidRPr="009E084A">
              <w:rPr>
                <w:sz w:val="18"/>
                <w:szCs w:val="18"/>
              </w:rPr>
              <w:t>35–39</w:t>
            </w:r>
          </w:p>
        </w:tc>
        <w:tc>
          <w:tcPr>
            <w:tcW w:w="1402" w:type="dxa"/>
            <w:hideMark/>
          </w:tcPr>
          <w:p w14:paraId="7702DCFB" w14:textId="77777777" w:rsidR="00E87D5B" w:rsidRPr="009E084A" w:rsidRDefault="00E87D5B" w:rsidP="00F8742F">
            <w:pPr>
              <w:pStyle w:val="NormalWeb"/>
              <w:jc w:val="center"/>
              <w:rPr>
                <w:sz w:val="18"/>
                <w:szCs w:val="18"/>
              </w:rPr>
            </w:pPr>
            <w:r w:rsidRPr="009E084A">
              <w:rPr>
                <w:sz w:val="18"/>
                <w:szCs w:val="18"/>
              </w:rPr>
              <w:t>45</w:t>
            </w:r>
          </w:p>
        </w:tc>
        <w:tc>
          <w:tcPr>
            <w:tcW w:w="1134" w:type="dxa"/>
            <w:hideMark/>
          </w:tcPr>
          <w:p w14:paraId="43E47E72" w14:textId="77777777" w:rsidR="00E87D5B" w:rsidRPr="009E084A" w:rsidRDefault="00E87D5B" w:rsidP="00F8742F">
            <w:pPr>
              <w:pStyle w:val="NormalWeb"/>
              <w:jc w:val="center"/>
              <w:rPr>
                <w:sz w:val="18"/>
                <w:szCs w:val="18"/>
              </w:rPr>
            </w:pPr>
            <w:r w:rsidRPr="009E084A">
              <w:rPr>
                <w:sz w:val="18"/>
                <w:szCs w:val="18"/>
              </w:rPr>
              <w:t>13.3%</w:t>
            </w:r>
          </w:p>
        </w:tc>
        <w:tc>
          <w:tcPr>
            <w:tcW w:w="1131" w:type="dxa"/>
            <w:hideMark/>
          </w:tcPr>
          <w:p w14:paraId="2FD3BF98" w14:textId="77777777" w:rsidR="00E87D5B" w:rsidRPr="009E084A" w:rsidRDefault="00E87D5B" w:rsidP="00F8742F">
            <w:pPr>
              <w:pStyle w:val="NormalWeb"/>
              <w:jc w:val="center"/>
              <w:rPr>
                <w:sz w:val="18"/>
                <w:szCs w:val="18"/>
              </w:rPr>
            </w:pPr>
            <w:r w:rsidRPr="009E084A">
              <w:rPr>
                <w:sz w:val="18"/>
                <w:szCs w:val="18"/>
              </w:rPr>
              <w:t>6.1–26.7%</w:t>
            </w:r>
          </w:p>
        </w:tc>
        <w:tc>
          <w:tcPr>
            <w:tcW w:w="1413" w:type="dxa"/>
            <w:hideMark/>
          </w:tcPr>
          <w:p w14:paraId="6969FE70" w14:textId="77777777" w:rsidR="00E87D5B" w:rsidRPr="009E084A" w:rsidRDefault="00E87D5B" w:rsidP="00F8742F">
            <w:pPr>
              <w:pStyle w:val="NormalWeb"/>
              <w:jc w:val="center"/>
              <w:rPr>
                <w:sz w:val="18"/>
                <w:szCs w:val="18"/>
              </w:rPr>
            </w:pPr>
            <w:r w:rsidRPr="009E084A">
              <w:rPr>
                <w:sz w:val="18"/>
                <w:szCs w:val="18"/>
              </w:rPr>
              <w:t>93</w:t>
            </w:r>
          </w:p>
        </w:tc>
        <w:tc>
          <w:tcPr>
            <w:tcW w:w="1992" w:type="dxa"/>
            <w:hideMark/>
          </w:tcPr>
          <w:p w14:paraId="2252EED3" w14:textId="77777777" w:rsidR="00E87D5B" w:rsidRPr="009E084A" w:rsidRDefault="00E87D5B" w:rsidP="00F8742F">
            <w:pPr>
              <w:pStyle w:val="NormalWeb"/>
              <w:jc w:val="center"/>
              <w:rPr>
                <w:sz w:val="18"/>
                <w:szCs w:val="18"/>
              </w:rPr>
            </w:pPr>
            <w:r w:rsidRPr="009E084A">
              <w:rPr>
                <w:sz w:val="18"/>
                <w:szCs w:val="18"/>
              </w:rPr>
              <w:t>12.6%</w:t>
            </w:r>
          </w:p>
        </w:tc>
        <w:tc>
          <w:tcPr>
            <w:tcW w:w="1362" w:type="dxa"/>
            <w:hideMark/>
          </w:tcPr>
          <w:p w14:paraId="62A0C9DA" w14:textId="77777777" w:rsidR="00E87D5B" w:rsidRPr="009E084A" w:rsidRDefault="00E87D5B" w:rsidP="00F8742F">
            <w:pPr>
              <w:pStyle w:val="NormalWeb"/>
              <w:jc w:val="center"/>
              <w:rPr>
                <w:sz w:val="18"/>
                <w:szCs w:val="18"/>
              </w:rPr>
            </w:pPr>
            <w:r w:rsidRPr="009E084A">
              <w:rPr>
                <w:sz w:val="18"/>
                <w:szCs w:val="18"/>
              </w:rPr>
              <w:t>7.2–21.0%</w:t>
            </w:r>
          </w:p>
        </w:tc>
        <w:tc>
          <w:tcPr>
            <w:tcW w:w="1483" w:type="dxa"/>
            <w:hideMark/>
          </w:tcPr>
          <w:p w14:paraId="4D6C88AF" w14:textId="77777777" w:rsidR="00E87D5B" w:rsidRPr="009E084A" w:rsidRDefault="00E87D5B" w:rsidP="00F8742F">
            <w:pPr>
              <w:pStyle w:val="NormalWeb"/>
              <w:jc w:val="center"/>
              <w:rPr>
                <w:sz w:val="18"/>
                <w:szCs w:val="18"/>
              </w:rPr>
            </w:pPr>
            <w:r w:rsidRPr="009E084A">
              <w:rPr>
                <w:sz w:val="18"/>
                <w:szCs w:val="18"/>
              </w:rPr>
              <w:t>285</w:t>
            </w:r>
          </w:p>
        </w:tc>
        <w:tc>
          <w:tcPr>
            <w:tcW w:w="1770" w:type="dxa"/>
            <w:hideMark/>
          </w:tcPr>
          <w:p w14:paraId="57C48F45" w14:textId="77777777" w:rsidR="00E87D5B" w:rsidRPr="009E084A" w:rsidRDefault="00E87D5B" w:rsidP="00F8742F">
            <w:pPr>
              <w:pStyle w:val="NormalWeb"/>
              <w:jc w:val="center"/>
              <w:rPr>
                <w:sz w:val="18"/>
                <w:szCs w:val="18"/>
              </w:rPr>
            </w:pPr>
            <w:r w:rsidRPr="009E084A">
              <w:rPr>
                <w:sz w:val="18"/>
                <w:szCs w:val="18"/>
              </w:rPr>
              <w:t>8.3%</w:t>
            </w:r>
          </w:p>
        </w:tc>
        <w:tc>
          <w:tcPr>
            <w:tcW w:w="1818" w:type="dxa"/>
            <w:hideMark/>
          </w:tcPr>
          <w:p w14:paraId="2AB920E9" w14:textId="77777777" w:rsidR="00E87D5B" w:rsidRPr="009E084A" w:rsidRDefault="00E87D5B" w:rsidP="00F8742F">
            <w:pPr>
              <w:pStyle w:val="NormalWeb"/>
              <w:jc w:val="center"/>
              <w:rPr>
                <w:sz w:val="18"/>
                <w:szCs w:val="18"/>
              </w:rPr>
            </w:pPr>
            <w:r w:rsidRPr="009E084A">
              <w:rPr>
                <w:sz w:val="18"/>
                <w:szCs w:val="18"/>
              </w:rPr>
              <w:t>5.6–12.0%</w:t>
            </w:r>
          </w:p>
        </w:tc>
      </w:tr>
      <w:tr w:rsidR="000A5606" w:rsidRPr="009E084A" w14:paraId="64D59A69" w14:textId="77777777" w:rsidTr="009E084A">
        <w:tc>
          <w:tcPr>
            <w:tcW w:w="0" w:type="auto"/>
            <w:hideMark/>
          </w:tcPr>
          <w:p w14:paraId="27CB7A68" w14:textId="77777777" w:rsidR="00E87D5B" w:rsidRPr="009E084A" w:rsidRDefault="00E87D5B">
            <w:pPr>
              <w:pStyle w:val="NormalWeb"/>
              <w:rPr>
                <w:sz w:val="18"/>
                <w:szCs w:val="18"/>
              </w:rPr>
            </w:pPr>
            <w:r w:rsidRPr="009E084A">
              <w:rPr>
                <w:sz w:val="18"/>
                <w:szCs w:val="18"/>
              </w:rPr>
              <w:t>40–44</w:t>
            </w:r>
          </w:p>
        </w:tc>
        <w:tc>
          <w:tcPr>
            <w:tcW w:w="1402" w:type="dxa"/>
            <w:hideMark/>
          </w:tcPr>
          <w:p w14:paraId="4423A705" w14:textId="77777777" w:rsidR="00E87D5B" w:rsidRPr="009E084A" w:rsidRDefault="00E87D5B" w:rsidP="00F8742F">
            <w:pPr>
              <w:pStyle w:val="NormalWeb"/>
              <w:jc w:val="center"/>
              <w:rPr>
                <w:sz w:val="18"/>
                <w:szCs w:val="18"/>
              </w:rPr>
            </w:pPr>
            <w:r w:rsidRPr="009E084A">
              <w:rPr>
                <w:sz w:val="18"/>
                <w:szCs w:val="18"/>
              </w:rPr>
              <w:t>19</w:t>
            </w:r>
          </w:p>
        </w:tc>
        <w:tc>
          <w:tcPr>
            <w:tcW w:w="1134" w:type="dxa"/>
            <w:hideMark/>
          </w:tcPr>
          <w:p w14:paraId="26CB5059" w14:textId="77777777" w:rsidR="00E87D5B" w:rsidRPr="009E084A" w:rsidRDefault="00E87D5B" w:rsidP="00F8742F">
            <w:pPr>
              <w:pStyle w:val="NormalWeb"/>
              <w:jc w:val="center"/>
              <w:rPr>
                <w:sz w:val="18"/>
                <w:szCs w:val="18"/>
              </w:rPr>
            </w:pPr>
            <w:r w:rsidRPr="009E084A">
              <w:rPr>
                <w:sz w:val="18"/>
                <w:szCs w:val="18"/>
              </w:rPr>
              <w:t>5.3%</w:t>
            </w:r>
          </w:p>
        </w:tc>
        <w:tc>
          <w:tcPr>
            <w:tcW w:w="1131" w:type="dxa"/>
            <w:hideMark/>
          </w:tcPr>
          <w:p w14:paraId="60D61E87" w14:textId="77777777" w:rsidR="00E87D5B" w:rsidRPr="009E084A" w:rsidRDefault="00E87D5B" w:rsidP="00F8742F">
            <w:pPr>
              <w:pStyle w:val="NormalWeb"/>
              <w:jc w:val="center"/>
              <w:rPr>
                <w:sz w:val="18"/>
                <w:szCs w:val="18"/>
              </w:rPr>
            </w:pPr>
            <w:r w:rsidRPr="009E084A">
              <w:rPr>
                <w:sz w:val="18"/>
                <w:szCs w:val="18"/>
              </w:rPr>
              <w:t>0.7–29.4%</w:t>
            </w:r>
          </w:p>
        </w:tc>
        <w:tc>
          <w:tcPr>
            <w:tcW w:w="1413" w:type="dxa"/>
            <w:hideMark/>
          </w:tcPr>
          <w:p w14:paraId="115E03BA" w14:textId="77777777" w:rsidR="00E87D5B" w:rsidRPr="009E084A" w:rsidRDefault="00E87D5B" w:rsidP="00F8742F">
            <w:pPr>
              <w:pStyle w:val="NormalWeb"/>
              <w:jc w:val="center"/>
              <w:rPr>
                <w:sz w:val="18"/>
                <w:szCs w:val="18"/>
              </w:rPr>
            </w:pPr>
            <w:r w:rsidRPr="009E084A">
              <w:rPr>
                <w:sz w:val="18"/>
                <w:szCs w:val="18"/>
              </w:rPr>
              <w:t>84</w:t>
            </w:r>
          </w:p>
        </w:tc>
        <w:tc>
          <w:tcPr>
            <w:tcW w:w="1992" w:type="dxa"/>
            <w:hideMark/>
          </w:tcPr>
          <w:p w14:paraId="5EC1B283" w14:textId="77777777" w:rsidR="00E87D5B" w:rsidRPr="009E084A" w:rsidRDefault="00E87D5B" w:rsidP="00F8742F">
            <w:pPr>
              <w:pStyle w:val="NormalWeb"/>
              <w:jc w:val="center"/>
              <w:rPr>
                <w:sz w:val="18"/>
                <w:szCs w:val="18"/>
              </w:rPr>
            </w:pPr>
            <w:r w:rsidRPr="009E084A">
              <w:rPr>
                <w:sz w:val="18"/>
                <w:szCs w:val="18"/>
              </w:rPr>
              <w:t>8.9%</w:t>
            </w:r>
          </w:p>
        </w:tc>
        <w:tc>
          <w:tcPr>
            <w:tcW w:w="1362" w:type="dxa"/>
            <w:hideMark/>
          </w:tcPr>
          <w:p w14:paraId="47EA316B" w14:textId="77777777" w:rsidR="00E87D5B" w:rsidRPr="009E084A" w:rsidRDefault="00E87D5B" w:rsidP="00F8742F">
            <w:pPr>
              <w:pStyle w:val="NormalWeb"/>
              <w:jc w:val="center"/>
              <w:rPr>
                <w:sz w:val="18"/>
                <w:szCs w:val="18"/>
              </w:rPr>
            </w:pPr>
            <w:r w:rsidRPr="009E084A">
              <w:rPr>
                <w:sz w:val="18"/>
                <w:szCs w:val="18"/>
              </w:rPr>
              <w:t>4.5–16.9%</w:t>
            </w:r>
          </w:p>
        </w:tc>
        <w:tc>
          <w:tcPr>
            <w:tcW w:w="1483" w:type="dxa"/>
            <w:hideMark/>
          </w:tcPr>
          <w:p w14:paraId="7E76A9F0" w14:textId="77777777" w:rsidR="00E87D5B" w:rsidRPr="009E084A" w:rsidRDefault="00E87D5B" w:rsidP="00F8742F">
            <w:pPr>
              <w:pStyle w:val="NormalWeb"/>
              <w:jc w:val="center"/>
              <w:rPr>
                <w:sz w:val="18"/>
                <w:szCs w:val="18"/>
              </w:rPr>
            </w:pPr>
            <w:r w:rsidRPr="009E084A">
              <w:rPr>
                <w:sz w:val="18"/>
                <w:szCs w:val="18"/>
              </w:rPr>
              <w:t>255</w:t>
            </w:r>
          </w:p>
        </w:tc>
        <w:tc>
          <w:tcPr>
            <w:tcW w:w="1770" w:type="dxa"/>
            <w:hideMark/>
          </w:tcPr>
          <w:p w14:paraId="296254C0" w14:textId="77777777" w:rsidR="00E87D5B" w:rsidRPr="009E084A" w:rsidRDefault="00E87D5B" w:rsidP="00F8742F">
            <w:pPr>
              <w:pStyle w:val="NormalWeb"/>
              <w:jc w:val="center"/>
              <w:rPr>
                <w:sz w:val="18"/>
                <w:szCs w:val="18"/>
              </w:rPr>
            </w:pPr>
            <w:r w:rsidRPr="009E084A">
              <w:rPr>
                <w:sz w:val="18"/>
                <w:szCs w:val="18"/>
              </w:rPr>
              <w:t>4.1%</w:t>
            </w:r>
          </w:p>
        </w:tc>
        <w:tc>
          <w:tcPr>
            <w:tcW w:w="1818" w:type="dxa"/>
            <w:hideMark/>
          </w:tcPr>
          <w:p w14:paraId="3C5A0744" w14:textId="77777777" w:rsidR="00E87D5B" w:rsidRPr="009E084A" w:rsidRDefault="00E87D5B" w:rsidP="00F8742F">
            <w:pPr>
              <w:pStyle w:val="NormalWeb"/>
              <w:jc w:val="center"/>
              <w:rPr>
                <w:sz w:val="18"/>
                <w:szCs w:val="18"/>
              </w:rPr>
            </w:pPr>
            <w:r w:rsidRPr="009E084A">
              <w:rPr>
                <w:sz w:val="18"/>
                <w:szCs w:val="18"/>
              </w:rPr>
              <w:t>2.3–7.2%</w:t>
            </w:r>
          </w:p>
        </w:tc>
      </w:tr>
      <w:tr w:rsidR="000A5606" w:rsidRPr="009E084A" w14:paraId="7FCB6F94"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71919EC2" w14:textId="77777777" w:rsidR="00E87D5B" w:rsidRPr="009E084A" w:rsidRDefault="00E87D5B">
            <w:pPr>
              <w:pStyle w:val="NormalWeb"/>
              <w:rPr>
                <w:sz w:val="18"/>
                <w:szCs w:val="18"/>
              </w:rPr>
            </w:pPr>
            <w:r w:rsidRPr="009E084A">
              <w:rPr>
                <w:sz w:val="18"/>
                <w:szCs w:val="18"/>
              </w:rPr>
              <w:t>45–49</w:t>
            </w:r>
          </w:p>
        </w:tc>
        <w:tc>
          <w:tcPr>
            <w:tcW w:w="1402" w:type="dxa"/>
            <w:hideMark/>
          </w:tcPr>
          <w:p w14:paraId="7A8478E7" w14:textId="77777777" w:rsidR="00E87D5B" w:rsidRPr="009E084A" w:rsidRDefault="00E87D5B" w:rsidP="00F8742F">
            <w:pPr>
              <w:pStyle w:val="NormalWeb"/>
              <w:jc w:val="center"/>
              <w:rPr>
                <w:sz w:val="18"/>
                <w:szCs w:val="18"/>
              </w:rPr>
            </w:pPr>
            <w:r w:rsidRPr="009E084A">
              <w:rPr>
                <w:sz w:val="18"/>
                <w:szCs w:val="18"/>
              </w:rPr>
              <w:t>26</w:t>
            </w:r>
          </w:p>
        </w:tc>
        <w:tc>
          <w:tcPr>
            <w:tcW w:w="1134" w:type="dxa"/>
            <w:hideMark/>
          </w:tcPr>
          <w:p w14:paraId="471F1CA5" w14:textId="77777777" w:rsidR="00E87D5B" w:rsidRPr="009E084A" w:rsidRDefault="00E87D5B" w:rsidP="00F8742F">
            <w:pPr>
              <w:pStyle w:val="NormalWeb"/>
              <w:jc w:val="center"/>
              <w:rPr>
                <w:sz w:val="18"/>
                <w:szCs w:val="18"/>
              </w:rPr>
            </w:pPr>
            <w:r w:rsidRPr="009E084A">
              <w:rPr>
                <w:sz w:val="18"/>
                <w:szCs w:val="18"/>
              </w:rPr>
              <w:t>3.8%</w:t>
            </w:r>
          </w:p>
        </w:tc>
        <w:tc>
          <w:tcPr>
            <w:tcW w:w="1131" w:type="dxa"/>
            <w:hideMark/>
          </w:tcPr>
          <w:p w14:paraId="0F9AC0FC" w14:textId="77777777" w:rsidR="00E87D5B" w:rsidRPr="009E084A" w:rsidRDefault="00E87D5B" w:rsidP="00F8742F">
            <w:pPr>
              <w:pStyle w:val="NormalWeb"/>
              <w:jc w:val="center"/>
              <w:rPr>
                <w:sz w:val="18"/>
                <w:szCs w:val="18"/>
              </w:rPr>
            </w:pPr>
            <w:r w:rsidRPr="009E084A">
              <w:rPr>
                <w:sz w:val="18"/>
                <w:szCs w:val="18"/>
              </w:rPr>
              <w:t>0.5–22.8%</w:t>
            </w:r>
          </w:p>
        </w:tc>
        <w:tc>
          <w:tcPr>
            <w:tcW w:w="1413" w:type="dxa"/>
            <w:hideMark/>
          </w:tcPr>
          <w:p w14:paraId="3EEA2B42" w14:textId="77777777" w:rsidR="00E87D5B" w:rsidRPr="009E084A" w:rsidRDefault="00E87D5B" w:rsidP="00F8742F">
            <w:pPr>
              <w:pStyle w:val="NormalWeb"/>
              <w:jc w:val="center"/>
              <w:rPr>
                <w:sz w:val="18"/>
                <w:szCs w:val="18"/>
              </w:rPr>
            </w:pPr>
            <w:r w:rsidRPr="009E084A">
              <w:rPr>
                <w:sz w:val="18"/>
                <w:szCs w:val="18"/>
              </w:rPr>
              <w:t>70</w:t>
            </w:r>
          </w:p>
        </w:tc>
        <w:tc>
          <w:tcPr>
            <w:tcW w:w="1992" w:type="dxa"/>
            <w:hideMark/>
          </w:tcPr>
          <w:p w14:paraId="388A6728" w14:textId="77777777" w:rsidR="00E87D5B" w:rsidRPr="009E084A" w:rsidRDefault="00E87D5B" w:rsidP="00F8742F">
            <w:pPr>
              <w:pStyle w:val="NormalWeb"/>
              <w:jc w:val="center"/>
              <w:rPr>
                <w:sz w:val="18"/>
                <w:szCs w:val="18"/>
              </w:rPr>
            </w:pPr>
            <w:r w:rsidRPr="009E084A">
              <w:rPr>
                <w:sz w:val="18"/>
                <w:szCs w:val="18"/>
              </w:rPr>
              <w:t xml:space="preserve">15.1% </w:t>
            </w:r>
            <w:r w:rsidRPr="009E084A">
              <w:rPr>
                <w:sz w:val="18"/>
                <w:szCs w:val="18"/>
                <w:vertAlign w:val="superscript"/>
              </w:rPr>
              <w:t>a</w:t>
            </w:r>
          </w:p>
        </w:tc>
        <w:tc>
          <w:tcPr>
            <w:tcW w:w="1362" w:type="dxa"/>
            <w:hideMark/>
          </w:tcPr>
          <w:p w14:paraId="30A43DC0" w14:textId="77777777" w:rsidR="00E87D5B" w:rsidRPr="009E084A" w:rsidRDefault="00E87D5B" w:rsidP="00F8742F">
            <w:pPr>
              <w:pStyle w:val="NormalWeb"/>
              <w:jc w:val="center"/>
              <w:rPr>
                <w:sz w:val="18"/>
                <w:szCs w:val="18"/>
              </w:rPr>
            </w:pPr>
            <w:r w:rsidRPr="009E084A">
              <w:rPr>
                <w:sz w:val="18"/>
                <w:szCs w:val="18"/>
              </w:rPr>
              <w:t>8.5–25.4%</w:t>
            </w:r>
          </w:p>
        </w:tc>
        <w:tc>
          <w:tcPr>
            <w:tcW w:w="1483" w:type="dxa"/>
            <w:hideMark/>
          </w:tcPr>
          <w:p w14:paraId="27E1CEE3"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1CCA8FAB" w14:textId="77777777" w:rsidR="00E87D5B" w:rsidRPr="009E084A" w:rsidRDefault="00E87D5B" w:rsidP="00F8742F">
            <w:pPr>
              <w:pStyle w:val="NormalWeb"/>
              <w:jc w:val="center"/>
              <w:rPr>
                <w:sz w:val="18"/>
                <w:szCs w:val="18"/>
              </w:rPr>
            </w:pPr>
            <w:r w:rsidRPr="009E084A">
              <w:rPr>
                <w:sz w:val="18"/>
                <w:szCs w:val="18"/>
              </w:rPr>
              <w:t>5.9%</w:t>
            </w:r>
          </w:p>
        </w:tc>
        <w:tc>
          <w:tcPr>
            <w:tcW w:w="1818" w:type="dxa"/>
            <w:hideMark/>
          </w:tcPr>
          <w:p w14:paraId="21F64540" w14:textId="77777777" w:rsidR="00E87D5B" w:rsidRPr="009E084A" w:rsidRDefault="00E87D5B" w:rsidP="00F8742F">
            <w:pPr>
              <w:pStyle w:val="NormalWeb"/>
              <w:jc w:val="center"/>
              <w:rPr>
                <w:sz w:val="18"/>
                <w:szCs w:val="18"/>
              </w:rPr>
            </w:pPr>
            <w:r w:rsidRPr="009E084A">
              <w:rPr>
                <w:sz w:val="18"/>
                <w:szCs w:val="18"/>
              </w:rPr>
              <w:t>3.4–10.1%</w:t>
            </w:r>
          </w:p>
        </w:tc>
      </w:tr>
      <w:tr w:rsidR="000A5606" w:rsidRPr="009E084A" w14:paraId="7D9253F0" w14:textId="77777777" w:rsidTr="009E084A">
        <w:tc>
          <w:tcPr>
            <w:tcW w:w="0" w:type="auto"/>
            <w:shd w:val="clear" w:color="auto" w:fill="FDE9D9" w:themeFill="accent6" w:themeFillTint="33"/>
            <w:hideMark/>
          </w:tcPr>
          <w:p w14:paraId="3A847DF9" w14:textId="77777777" w:rsidR="00E87D5B" w:rsidRPr="009E084A" w:rsidRDefault="00E87D5B">
            <w:pPr>
              <w:pStyle w:val="NormalWeb"/>
              <w:rPr>
                <w:b/>
                <w:sz w:val="18"/>
                <w:szCs w:val="18"/>
              </w:rPr>
            </w:pPr>
            <w:r w:rsidRPr="009E084A">
              <w:rPr>
                <w:b/>
                <w:sz w:val="18"/>
                <w:szCs w:val="18"/>
              </w:rPr>
              <w:t>All ages</w:t>
            </w:r>
          </w:p>
        </w:tc>
        <w:tc>
          <w:tcPr>
            <w:tcW w:w="1402" w:type="dxa"/>
            <w:shd w:val="clear" w:color="auto" w:fill="FDE9D9" w:themeFill="accent6" w:themeFillTint="33"/>
            <w:hideMark/>
          </w:tcPr>
          <w:p w14:paraId="07E18104" w14:textId="77777777" w:rsidR="00E87D5B" w:rsidRPr="009E084A" w:rsidRDefault="00E87D5B" w:rsidP="00F8742F">
            <w:pPr>
              <w:pStyle w:val="NormalWeb"/>
              <w:jc w:val="center"/>
              <w:rPr>
                <w:b/>
                <w:sz w:val="18"/>
                <w:szCs w:val="18"/>
              </w:rPr>
            </w:pPr>
            <w:r w:rsidRPr="009E084A">
              <w:rPr>
                <w:b/>
                <w:sz w:val="18"/>
                <w:szCs w:val="18"/>
              </w:rPr>
              <w:t>1,915</w:t>
            </w:r>
          </w:p>
        </w:tc>
        <w:tc>
          <w:tcPr>
            <w:tcW w:w="1134" w:type="dxa"/>
            <w:shd w:val="clear" w:color="auto" w:fill="FDE9D9" w:themeFill="accent6" w:themeFillTint="33"/>
            <w:hideMark/>
          </w:tcPr>
          <w:p w14:paraId="711F3BD6" w14:textId="77777777" w:rsidR="00E87D5B" w:rsidRPr="009E084A" w:rsidRDefault="00E87D5B" w:rsidP="00F8742F">
            <w:pPr>
              <w:pStyle w:val="NormalWeb"/>
              <w:jc w:val="center"/>
              <w:rPr>
                <w:b/>
                <w:sz w:val="18"/>
                <w:szCs w:val="18"/>
              </w:rPr>
            </w:pPr>
            <w:r w:rsidRPr="009E084A">
              <w:rPr>
                <w:b/>
                <w:sz w:val="18"/>
                <w:szCs w:val="18"/>
              </w:rPr>
              <w:t>9.2%</w:t>
            </w:r>
          </w:p>
        </w:tc>
        <w:tc>
          <w:tcPr>
            <w:tcW w:w="1131" w:type="dxa"/>
            <w:shd w:val="clear" w:color="auto" w:fill="FDE9D9" w:themeFill="accent6" w:themeFillTint="33"/>
            <w:hideMark/>
          </w:tcPr>
          <w:p w14:paraId="56476239" w14:textId="77777777" w:rsidR="00E87D5B" w:rsidRPr="009E084A" w:rsidRDefault="00E87D5B" w:rsidP="00F8742F">
            <w:pPr>
              <w:pStyle w:val="NormalWeb"/>
              <w:jc w:val="center"/>
              <w:rPr>
                <w:b/>
                <w:sz w:val="18"/>
                <w:szCs w:val="18"/>
              </w:rPr>
            </w:pPr>
            <w:r w:rsidRPr="009E084A">
              <w:rPr>
                <w:b/>
                <w:sz w:val="18"/>
                <w:szCs w:val="18"/>
              </w:rPr>
              <w:t>8.0–10.6%</w:t>
            </w:r>
          </w:p>
        </w:tc>
        <w:tc>
          <w:tcPr>
            <w:tcW w:w="1413" w:type="dxa"/>
            <w:shd w:val="clear" w:color="auto" w:fill="FDE9D9" w:themeFill="accent6" w:themeFillTint="33"/>
            <w:hideMark/>
          </w:tcPr>
          <w:p w14:paraId="0B900AB0" w14:textId="77777777" w:rsidR="00E87D5B" w:rsidRPr="009E084A" w:rsidRDefault="00E87D5B" w:rsidP="00F8742F">
            <w:pPr>
              <w:pStyle w:val="NormalWeb"/>
              <w:jc w:val="center"/>
              <w:rPr>
                <w:b/>
                <w:sz w:val="18"/>
                <w:szCs w:val="18"/>
              </w:rPr>
            </w:pPr>
            <w:r w:rsidRPr="009E084A">
              <w:rPr>
                <w:b/>
                <w:sz w:val="18"/>
                <w:szCs w:val="18"/>
              </w:rPr>
              <w:t>3,396</w:t>
            </w:r>
          </w:p>
        </w:tc>
        <w:tc>
          <w:tcPr>
            <w:tcW w:w="1992" w:type="dxa"/>
            <w:shd w:val="clear" w:color="auto" w:fill="FDE9D9" w:themeFill="accent6" w:themeFillTint="33"/>
            <w:hideMark/>
          </w:tcPr>
          <w:p w14:paraId="2FF6BD95" w14:textId="77777777" w:rsidR="00E87D5B" w:rsidRPr="009E084A" w:rsidRDefault="00E87D5B" w:rsidP="00F8742F">
            <w:pPr>
              <w:pStyle w:val="NormalWeb"/>
              <w:jc w:val="center"/>
              <w:rPr>
                <w:b/>
                <w:sz w:val="18"/>
                <w:szCs w:val="18"/>
              </w:rPr>
            </w:pPr>
            <w:r w:rsidRPr="009E084A">
              <w:rPr>
                <w:b/>
                <w:sz w:val="18"/>
                <w:szCs w:val="18"/>
              </w:rPr>
              <w:t>14.5%</w:t>
            </w:r>
          </w:p>
        </w:tc>
        <w:tc>
          <w:tcPr>
            <w:tcW w:w="1362" w:type="dxa"/>
            <w:shd w:val="clear" w:color="auto" w:fill="FDE9D9" w:themeFill="accent6" w:themeFillTint="33"/>
            <w:hideMark/>
          </w:tcPr>
          <w:p w14:paraId="27D3C716" w14:textId="77777777" w:rsidR="00E87D5B" w:rsidRPr="009E084A" w:rsidRDefault="00E87D5B" w:rsidP="00F8742F">
            <w:pPr>
              <w:pStyle w:val="NormalWeb"/>
              <w:jc w:val="center"/>
              <w:rPr>
                <w:b/>
                <w:sz w:val="18"/>
                <w:szCs w:val="18"/>
              </w:rPr>
            </w:pPr>
            <w:r w:rsidRPr="009E084A">
              <w:rPr>
                <w:b/>
                <w:sz w:val="18"/>
                <w:szCs w:val="18"/>
              </w:rPr>
              <w:t>13.3–15.7%</w:t>
            </w:r>
          </w:p>
        </w:tc>
        <w:tc>
          <w:tcPr>
            <w:tcW w:w="1483" w:type="dxa"/>
            <w:shd w:val="clear" w:color="auto" w:fill="FDE9D9" w:themeFill="accent6" w:themeFillTint="33"/>
            <w:hideMark/>
          </w:tcPr>
          <w:p w14:paraId="02895530" w14:textId="77777777" w:rsidR="00E87D5B" w:rsidRPr="009E084A" w:rsidRDefault="00E87D5B" w:rsidP="00F8742F">
            <w:pPr>
              <w:pStyle w:val="NormalWeb"/>
              <w:jc w:val="center"/>
              <w:rPr>
                <w:b/>
                <w:sz w:val="18"/>
                <w:szCs w:val="18"/>
              </w:rPr>
            </w:pPr>
            <w:r w:rsidRPr="009E084A">
              <w:rPr>
                <w:b/>
                <w:sz w:val="18"/>
                <w:szCs w:val="18"/>
              </w:rPr>
              <w:t>2,729</w:t>
            </w:r>
          </w:p>
        </w:tc>
        <w:tc>
          <w:tcPr>
            <w:tcW w:w="1770" w:type="dxa"/>
            <w:shd w:val="clear" w:color="auto" w:fill="FDE9D9" w:themeFill="accent6" w:themeFillTint="33"/>
            <w:hideMark/>
          </w:tcPr>
          <w:p w14:paraId="6995BCC5" w14:textId="77777777" w:rsidR="00E87D5B" w:rsidRPr="009E084A" w:rsidRDefault="00E87D5B" w:rsidP="00F8742F">
            <w:pPr>
              <w:pStyle w:val="NormalWeb"/>
              <w:jc w:val="center"/>
              <w:rPr>
                <w:b/>
                <w:sz w:val="18"/>
                <w:szCs w:val="18"/>
              </w:rPr>
            </w:pPr>
            <w:r w:rsidRPr="009E084A">
              <w:rPr>
                <w:b/>
                <w:sz w:val="18"/>
                <w:szCs w:val="18"/>
              </w:rPr>
              <w:t>10.9%</w:t>
            </w:r>
          </w:p>
        </w:tc>
        <w:tc>
          <w:tcPr>
            <w:tcW w:w="1818" w:type="dxa"/>
            <w:shd w:val="clear" w:color="auto" w:fill="FDE9D9" w:themeFill="accent6" w:themeFillTint="33"/>
            <w:hideMark/>
          </w:tcPr>
          <w:p w14:paraId="3077C376" w14:textId="77777777" w:rsidR="00E87D5B" w:rsidRPr="009E084A" w:rsidRDefault="00E87D5B" w:rsidP="00F8742F">
            <w:pPr>
              <w:pStyle w:val="NormalWeb"/>
              <w:jc w:val="center"/>
              <w:rPr>
                <w:b/>
                <w:sz w:val="18"/>
                <w:szCs w:val="18"/>
              </w:rPr>
            </w:pPr>
            <w:r w:rsidRPr="009E084A">
              <w:rPr>
                <w:b/>
                <w:sz w:val="18"/>
                <w:szCs w:val="18"/>
              </w:rPr>
              <w:t>9.8–12.2%</w:t>
            </w:r>
          </w:p>
        </w:tc>
      </w:tr>
      <w:tr w:rsidR="00A13725" w:rsidRPr="009E084A" w14:paraId="4E46623A" w14:textId="77777777" w:rsidTr="009E084A">
        <w:trPr>
          <w:cnfStyle w:val="000000010000" w:firstRow="0" w:lastRow="0" w:firstColumn="0" w:lastColumn="0" w:oddVBand="0" w:evenVBand="0" w:oddHBand="0" w:evenHBand="1" w:firstRowFirstColumn="0" w:firstRowLastColumn="0" w:lastRowFirstColumn="0" w:lastRowLastColumn="0"/>
        </w:trPr>
        <w:tc>
          <w:tcPr>
            <w:tcW w:w="14938" w:type="dxa"/>
            <w:gridSpan w:val="10"/>
            <w:shd w:val="clear" w:color="auto" w:fill="808080" w:themeFill="background1" w:themeFillShade="80"/>
            <w:hideMark/>
          </w:tcPr>
          <w:p w14:paraId="71AB28BA" w14:textId="77777777" w:rsidR="00E87D5B" w:rsidRPr="009E084A" w:rsidRDefault="00E87D5B" w:rsidP="00A13725">
            <w:pPr>
              <w:pStyle w:val="NormalWeb"/>
              <w:rPr>
                <w:b/>
                <w:color w:val="FFFFFF" w:themeColor="background1"/>
                <w:sz w:val="18"/>
                <w:szCs w:val="18"/>
              </w:rPr>
            </w:pPr>
            <w:r w:rsidRPr="009E084A">
              <w:rPr>
                <w:b/>
                <w:color w:val="FFFFFF" w:themeColor="background1"/>
                <w:sz w:val="18"/>
                <w:szCs w:val="18"/>
              </w:rPr>
              <w:t>Negative</w:t>
            </w:r>
          </w:p>
        </w:tc>
      </w:tr>
      <w:tr w:rsidR="000A5606" w:rsidRPr="009E084A" w14:paraId="00FECCB4" w14:textId="77777777" w:rsidTr="009E084A">
        <w:tc>
          <w:tcPr>
            <w:tcW w:w="0" w:type="auto"/>
            <w:hideMark/>
          </w:tcPr>
          <w:p w14:paraId="7D33323E" w14:textId="77777777" w:rsidR="00E87D5B" w:rsidRPr="009E084A" w:rsidRDefault="00E87D5B">
            <w:pPr>
              <w:pStyle w:val="NormalWeb"/>
              <w:rPr>
                <w:sz w:val="18"/>
                <w:szCs w:val="18"/>
              </w:rPr>
            </w:pPr>
            <w:r w:rsidRPr="009E084A">
              <w:rPr>
                <w:sz w:val="18"/>
                <w:szCs w:val="18"/>
              </w:rPr>
              <w:t>1</w:t>
            </w:r>
          </w:p>
        </w:tc>
        <w:tc>
          <w:tcPr>
            <w:tcW w:w="1402" w:type="dxa"/>
            <w:hideMark/>
          </w:tcPr>
          <w:p w14:paraId="301B794C" w14:textId="77777777" w:rsidR="00E87D5B" w:rsidRPr="009E084A" w:rsidRDefault="00E87D5B" w:rsidP="00F8742F">
            <w:pPr>
              <w:pStyle w:val="NormalWeb"/>
              <w:jc w:val="center"/>
              <w:rPr>
                <w:sz w:val="18"/>
                <w:szCs w:val="18"/>
              </w:rPr>
            </w:pPr>
            <w:r w:rsidRPr="009E084A">
              <w:rPr>
                <w:sz w:val="18"/>
                <w:szCs w:val="18"/>
              </w:rPr>
              <w:t>333</w:t>
            </w:r>
          </w:p>
        </w:tc>
        <w:tc>
          <w:tcPr>
            <w:tcW w:w="1134" w:type="dxa"/>
            <w:hideMark/>
          </w:tcPr>
          <w:p w14:paraId="29092D5B" w14:textId="77777777" w:rsidR="00E87D5B" w:rsidRPr="009E084A" w:rsidRDefault="00E87D5B" w:rsidP="00F8742F">
            <w:pPr>
              <w:pStyle w:val="NormalWeb"/>
              <w:jc w:val="center"/>
              <w:rPr>
                <w:sz w:val="18"/>
                <w:szCs w:val="18"/>
              </w:rPr>
            </w:pPr>
            <w:r w:rsidRPr="009E084A">
              <w:rPr>
                <w:sz w:val="18"/>
                <w:szCs w:val="18"/>
              </w:rPr>
              <w:t>42.3%</w:t>
            </w:r>
          </w:p>
        </w:tc>
        <w:tc>
          <w:tcPr>
            <w:tcW w:w="1131" w:type="dxa"/>
            <w:hideMark/>
          </w:tcPr>
          <w:p w14:paraId="601DC03E" w14:textId="77777777" w:rsidR="00E87D5B" w:rsidRPr="009E084A" w:rsidRDefault="00E87D5B" w:rsidP="00F8742F">
            <w:pPr>
              <w:pStyle w:val="NormalWeb"/>
              <w:jc w:val="center"/>
              <w:rPr>
                <w:sz w:val="18"/>
                <w:szCs w:val="18"/>
              </w:rPr>
            </w:pPr>
            <w:r w:rsidRPr="009E084A">
              <w:rPr>
                <w:sz w:val="18"/>
                <w:szCs w:val="18"/>
              </w:rPr>
              <w:t>37.1–47.7%</w:t>
            </w:r>
          </w:p>
        </w:tc>
        <w:tc>
          <w:tcPr>
            <w:tcW w:w="1413" w:type="dxa"/>
            <w:hideMark/>
          </w:tcPr>
          <w:p w14:paraId="7064EF99" w14:textId="77777777" w:rsidR="00E87D5B" w:rsidRPr="009E084A" w:rsidRDefault="00E87D5B" w:rsidP="00F8742F">
            <w:pPr>
              <w:pStyle w:val="NormalWeb"/>
              <w:jc w:val="center"/>
              <w:rPr>
                <w:sz w:val="18"/>
                <w:szCs w:val="18"/>
              </w:rPr>
            </w:pPr>
            <w:r w:rsidRPr="009E084A">
              <w:rPr>
                <w:sz w:val="18"/>
                <w:szCs w:val="18"/>
              </w:rPr>
              <w:t>208</w:t>
            </w:r>
          </w:p>
        </w:tc>
        <w:tc>
          <w:tcPr>
            <w:tcW w:w="1992" w:type="dxa"/>
            <w:hideMark/>
          </w:tcPr>
          <w:p w14:paraId="6B48C20E" w14:textId="77777777" w:rsidR="00E87D5B" w:rsidRPr="009E084A" w:rsidRDefault="00E87D5B" w:rsidP="00F8742F">
            <w:pPr>
              <w:pStyle w:val="NormalWeb"/>
              <w:jc w:val="center"/>
              <w:rPr>
                <w:sz w:val="18"/>
                <w:szCs w:val="18"/>
              </w:rPr>
            </w:pPr>
            <w:r w:rsidRPr="009E084A">
              <w:rPr>
                <w:sz w:val="18"/>
                <w:szCs w:val="18"/>
              </w:rPr>
              <w:t>51.6%</w:t>
            </w:r>
          </w:p>
        </w:tc>
        <w:tc>
          <w:tcPr>
            <w:tcW w:w="1362" w:type="dxa"/>
            <w:hideMark/>
          </w:tcPr>
          <w:p w14:paraId="61498E7E" w14:textId="77777777" w:rsidR="00E87D5B" w:rsidRPr="009E084A" w:rsidRDefault="00E87D5B" w:rsidP="00F8742F">
            <w:pPr>
              <w:pStyle w:val="NormalWeb"/>
              <w:jc w:val="center"/>
              <w:rPr>
                <w:sz w:val="18"/>
                <w:szCs w:val="18"/>
              </w:rPr>
            </w:pPr>
            <w:r w:rsidRPr="009E084A">
              <w:rPr>
                <w:sz w:val="18"/>
                <w:szCs w:val="18"/>
              </w:rPr>
              <w:t>44.4–58.7%</w:t>
            </w:r>
          </w:p>
        </w:tc>
        <w:tc>
          <w:tcPr>
            <w:tcW w:w="1483" w:type="dxa"/>
            <w:hideMark/>
          </w:tcPr>
          <w:p w14:paraId="5DEC57E8" w14:textId="77777777" w:rsidR="00E87D5B" w:rsidRPr="009E084A" w:rsidRDefault="00E87D5B" w:rsidP="00F8742F">
            <w:pPr>
              <w:pStyle w:val="NormalWeb"/>
              <w:jc w:val="center"/>
              <w:rPr>
                <w:sz w:val="18"/>
                <w:szCs w:val="18"/>
              </w:rPr>
            </w:pPr>
            <w:r w:rsidRPr="009E084A">
              <w:rPr>
                <w:sz w:val="18"/>
                <w:szCs w:val="18"/>
              </w:rPr>
              <w:t>183</w:t>
            </w:r>
          </w:p>
        </w:tc>
        <w:tc>
          <w:tcPr>
            <w:tcW w:w="1770" w:type="dxa"/>
            <w:hideMark/>
          </w:tcPr>
          <w:p w14:paraId="4EF53AD8" w14:textId="77777777" w:rsidR="00E87D5B" w:rsidRPr="009E084A" w:rsidRDefault="00E87D5B" w:rsidP="00F8742F">
            <w:pPr>
              <w:pStyle w:val="NormalWeb"/>
              <w:jc w:val="center"/>
              <w:rPr>
                <w:sz w:val="18"/>
                <w:szCs w:val="18"/>
              </w:rPr>
            </w:pPr>
            <w:r w:rsidRPr="009E084A">
              <w:rPr>
                <w:sz w:val="18"/>
                <w:szCs w:val="18"/>
              </w:rPr>
              <w:t>33.9%</w:t>
            </w:r>
          </w:p>
        </w:tc>
        <w:tc>
          <w:tcPr>
            <w:tcW w:w="1818" w:type="dxa"/>
            <w:hideMark/>
          </w:tcPr>
          <w:p w14:paraId="30DF48F6" w14:textId="77777777" w:rsidR="00E87D5B" w:rsidRPr="009E084A" w:rsidRDefault="00E87D5B" w:rsidP="00F8742F">
            <w:pPr>
              <w:pStyle w:val="NormalWeb"/>
              <w:jc w:val="center"/>
              <w:rPr>
                <w:sz w:val="18"/>
                <w:szCs w:val="18"/>
              </w:rPr>
            </w:pPr>
            <w:r w:rsidRPr="009E084A">
              <w:rPr>
                <w:sz w:val="18"/>
                <w:szCs w:val="18"/>
              </w:rPr>
              <w:t>26.9–41.6%</w:t>
            </w:r>
          </w:p>
        </w:tc>
      </w:tr>
      <w:tr w:rsidR="000A5606" w:rsidRPr="009E084A" w14:paraId="7DABF04C"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49FFC5DE" w14:textId="77777777" w:rsidR="00E87D5B" w:rsidRPr="009E084A" w:rsidRDefault="00E87D5B">
            <w:pPr>
              <w:pStyle w:val="NormalWeb"/>
              <w:rPr>
                <w:sz w:val="18"/>
                <w:szCs w:val="18"/>
              </w:rPr>
            </w:pPr>
            <w:r w:rsidRPr="009E084A">
              <w:rPr>
                <w:sz w:val="18"/>
                <w:szCs w:val="18"/>
              </w:rPr>
              <w:t>2–4</w:t>
            </w:r>
          </w:p>
        </w:tc>
        <w:tc>
          <w:tcPr>
            <w:tcW w:w="1402" w:type="dxa"/>
            <w:hideMark/>
          </w:tcPr>
          <w:p w14:paraId="7456C37E" w14:textId="77777777" w:rsidR="00E87D5B" w:rsidRPr="009E084A" w:rsidRDefault="00E87D5B" w:rsidP="00F8742F">
            <w:pPr>
              <w:pStyle w:val="NormalWeb"/>
              <w:jc w:val="center"/>
              <w:rPr>
                <w:sz w:val="18"/>
                <w:szCs w:val="18"/>
              </w:rPr>
            </w:pPr>
            <w:r w:rsidRPr="009E084A">
              <w:rPr>
                <w:sz w:val="18"/>
                <w:szCs w:val="18"/>
              </w:rPr>
              <w:t>439</w:t>
            </w:r>
          </w:p>
        </w:tc>
        <w:tc>
          <w:tcPr>
            <w:tcW w:w="1134" w:type="dxa"/>
            <w:hideMark/>
          </w:tcPr>
          <w:p w14:paraId="3F96A904" w14:textId="77777777" w:rsidR="00E87D5B" w:rsidRPr="009E084A" w:rsidRDefault="00E87D5B" w:rsidP="00F8742F">
            <w:pPr>
              <w:pStyle w:val="NormalWeb"/>
              <w:jc w:val="center"/>
              <w:rPr>
                <w:sz w:val="18"/>
                <w:szCs w:val="18"/>
              </w:rPr>
            </w:pPr>
            <w:r w:rsidRPr="009E084A">
              <w:rPr>
                <w:sz w:val="18"/>
                <w:szCs w:val="18"/>
              </w:rPr>
              <w:t>28.9%</w:t>
            </w:r>
          </w:p>
        </w:tc>
        <w:tc>
          <w:tcPr>
            <w:tcW w:w="1131" w:type="dxa"/>
            <w:hideMark/>
          </w:tcPr>
          <w:p w14:paraId="11DEDC31" w14:textId="77777777" w:rsidR="00E87D5B" w:rsidRPr="009E084A" w:rsidRDefault="00E87D5B" w:rsidP="00F8742F">
            <w:pPr>
              <w:pStyle w:val="NormalWeb"/>
              <w:jc w:val="center"/>
              <w:rPr>
                <w:sz w:val="18"/>
                <w:szCs w:val="18"/>
              </w:rPr>
            </w:pPr>
            <w:r w:rsidRPr="009E084A">
              <w:rPr>
                <w:sz w:val="18"/>
                <w:szCs w:val="18"/>
              </w:rPr>
              <w:t>24.9–33.4%</w:t>
            </w:r>
          </w:p>
        </w:tc>
        <w:tc>
          <w:tcPr>
            <w:tcW w:w="1413" w:type="dxa"/>
            <w:hideMark/>
          </w:tcPr>
          <w:p w14:paraId="2DB20032" w14:textId="77777777" w:rsidR="00E87D5B" w:rsidRPr="009E084A" w:rsidRDefault="00E87D5B" w:rsidP="00F8742F">
            <w:pPr>
              <w:pStyle w:val="NormalWeb"/>
              <w:jc w:val="center"/>
              <w:rPr>
                <w:sz w:val="18"/>
                <w:szCs w:val="18"/>
              </w:rPr>
            </w:pPr>
            <w:r w:rsidRPr="009E084A">
              <w:rPr>
                <w:sz w:val="18"/>
                <w:szCs w:val="18"/>
              </w:rPr>
              <w:t>601</w:t>
            </w:r>
          </w:p>
        </w:tc>
        <w:tc>
          <w:tcPr>
            <w:tcW w:w="1992" w:type="dxa"/>
            <w:hideMark/>
          </w:tcPr>
          <w:p w14:paraId="20BE4114" w14:textId="77777777" w:rsidR="00E87D5B" w:rsidRPr="009E084A" w:rsidRDefault="00E87D5B" w:rsidP="00F8742F">
            <w:pPr>
              <w:pStyle w:val="NormalWeb"/>
              <w:jc w:val="center"/>
              <w:rPr>
                <w:sz w:val="18"/>
                <w:szCs w:val="18"/>
              </w:rPr>
            </w:pPr>
            <w:r w:rsidRPr="009E084A">
              <w:rPr>
                <w:sz w:val="18"/>
                <w:szCs w:val="18"/>
              </w:rPr>
              <w:t>25.1%</w:t>
            </w:r>
          </w:p>
        </w:tc>
        <w:tc>
          <w:tcPr>
            <w:tcW w:w="1362" w:type="dxa"/>
            <w:hideMark/>
          </w:tcPr>
          <w:p w14:paraId="3DD3579C" w14:textId="77777777" w:rsidR="00E87D5B" w:rsidRPr="009E084A" w:rsidRDefault="00E87D5B" w:rsidP="00F8742F">
            <w:pPr>
              <w:pStyle w:val="NormalWeb"/>
              <w:jc w:val="center"/>
              <w:rPr>
                <w:sz w:val="18"/>
                <w:szCs w:val="18"/>
              </w:rPr>
            </w:pPr>
            <w:r w:rsidRPr="009E084A">
              <w:rPr>
                <w:sz w:val="18"/>
                <w:szCs w:val="18"/>
              </w:rPr>
              <w:t>21.5–29.0%</w:t>
            </w:r>
          </w:p>
        </w:tc>
        <w:tc>
          <w:tcPr>
            <w:tcW w:w="1483" w:type="dxa"/>
            <w:hideMark/>
          </w:tcPr>
          <w:p w14:paraId="6FD4D01D" w14:textId="77777777" w:rsidR="00E87D5B" w:rsidRPr="009E084A" w:rsidRDefault="00E87D5B" w:rsidP="00F8742F">
            <w:pPr>
              <w:pStyle w:val="NormalWeb"/>
              <w:jc w:val="center"/>
              <w:rPr>
                <w:sz w:val="18"/>
                <w:szCs w:val="18"/>
              </w:rPr>
            </w:pPr>
            <w:r w:rsidRPr="009E084A">
              <w:rPr>
                <w:sz w:val="18"/>
                <w:szCs w:val="18"/>
              </w:rPr>
              <w:t>287</w:t>
            </w:r>
          </w:p>
        </w:tc>
        <w:tc>
          <w:tcPr>
            <w:tcW w:w="1770" w:type="dxa"/>
            <w:hideMark/>
          </w:tcPr>
          <w:p w14:paraId="5240DD93" w14:textId="77777777" w:rsidR="00E87D5B" w:rsidRPr="009E084A" w:rsidRDefault="00E87D5B" w:rsidP="00F8742F">
            <w:pPr>
              <w:pStyle w:val="NormalWeb"/>
              <w:jc w:val="center"/>
              <w:rPr>
                <w:sz w:val="18"/>
                <w:szCs w:val="18"/>
              </w:rPr>
            </w:pPr>
            <w:r w:rsidRPr="009E084A">
              <w:rPr>
                <w:sz w:val="18"/>
                <w:szCs w:val="18"/>
              </w:rPr>
              <w:t>19.2%</w:t>
            </w:r>
          </w:p>
        </w:tc>
        <w:tc>
          <w:tcPr>
            <w:tcW w:w="1818" w:type="dxa"/>
            <w:hideMark/>
          </w:tcPr>
          <w:p w14:paraId="1D811FC1" w14:textId="77777777" w:rsidR="00E87D5B" w:rsidRPr="009E084A" w:rsidRDefault="00E87D5B" w:rsidP="00F8742F">
            <w:pPr>
              <w:pStyle w:val="NormalWeb"/>
              <w:jc w:val="center"/>
              <w:rPr>
                <w:sz w:val="18"/>
                <w:szCs w:val="18"/>
              </w:rPr>
            </w:pPr>
            <w:r w:rsidRPr="009E084A">
              <w:rPr>
                <w:sz w:val="18"/>
                <w:szCs w:val="18"/>
              </w:rPr>
              <w:t>15.1–24.2%</w:t>
            </w:r>
          </w:p>
        </w:tc>
      </w:tr>
      <w:tr w:rsidR="000A5606" w:rsidRPr="009E084A" w14:paraId="6A3CC573" w14:textId="77777777" w:rsidTr="009E084A">
        <w:tc>
          <w:tcPr>
            <w:tcW w:w="0" w:type="auto"/>
            <w:hideMark/>
          </w:tcPr>
          <w:p w14:paraId="482E94DC" w14:textId="77777777" w:rsidR="00E87D5B" w:rsidRPr="009E084A" w:rsidRDefault="00E87D5B">
            <w:pPr>
              <w:pStyle w:val="NormalWeb"/>
              <w:rPr>
                <w:sz w:val="18"/>
                <w:szCs w:val="18"/>
              </w:rPr>
            </w:pPr>
            <w:r w:rsidRPr="009E084A">
              <w:rPr>
                <w:sz w:val="18"/>
                <w:szCs w:val="18"/>
              </w:rPr>
              <w:t>5–9</w:t>
            </w:r>
          </w:p>
        </w:tc>
        <w:tc>
          <w:tcPr>
            <w:tcW w:w="1402" w:type="dxa"/>
            <w:hideMark/>
          </w:tcPr>
          <w:p w14:paraId="3E11A280" w14:textId="77777777" w:rsidR="00E87D5B" w:rsidRPr="009E084A" w:rsidRDefault="00E87D5B" w:rsidP="00F8742F">
            <w:pPr>
              <w:pStyle w:val="NormalWeb"/>
              <w:jc w:val="center"/>
              <w:rPr>
                <w:sz w:val="18"/>
                <w:szCs w:val="18"/>
              </w:rPr>
            </w:pPr>
            <w:r w:rsidRPr="009E084A">
              <w:rPr>
                <w:sz w:val="18"/>
                <w:szCs w:val="18"/>
              </w:rPr>
              <w:t>315</w:t>
            </w:r>
          </w:p>
        </w:tc>
        <w:tc>
          <w:tcPr>
            <w:tcW w:w="1134" w:type="dxa"/>
            <w:hideMark/>
          </w:tcPr>
          <w:p w14:paraId="4593D587" w14:textId="77777777" w:rsidR="00E87D5B" w:rsidRPr="009E084A" w:rsidRDefault="00E87D5B" w:rsidP="00F8742F">
            <w:pPr>
              <w:pStyle w:val="NormalWeb"/>
              <w:jc w:val="center"/>
              <w:rPr>
                <w:sz w:val="18"/>
                <w:szCs w:val="18"/>
              </w:rPr>
            </w:pPr>
            <w:r w:rsidRPr="009E084A">
              <w:rPr>
                <w:sz w:val="18"/>
                <w:szCs w:val="18"/>
              </w:rPr>
              <w:t>20.6%</w:t>
            </w:r>
          </w:p>
        </w:tc>
        <w:tc>
          <w:tcPr>
            <w:tcW w:w="1131" w:type="dxa"/>
            <w:hideMark/>
          </w:tcPr>
          <w:p w14:paraId="53736B64" w14:textId="77777777" w:rsidR="00E87D5B" w:rsidRPr="009E084A" w:rsidRDefault="00E87D5B" w:rsidP="00F8742F">
            <w:pPr>
              <w:pStyle w:val="NormalWeb"/>
              <w:jc w:val="center"/>
              <w:rPr>
                <w:sz w:val="18"/>
                <w:szCs w:val="18"/>
              </w:rPr>
            </w:pPr>
            <w:r w:rsidRPr="009E084A">
              <w:rPr>
                <w:sz w:val="18"/>
                <w:szCs w:val="18"/>
              </w:rPr>
              <w:t>16.5–25.5%</w:t>
            </w:r>
          </w:p>
        </w:tc>
        <w:tc>
          <w:tcPr>
            <w:tcW w:w="1413" w:type="dxa"/>
            <w:hideMark/>
          </w:tcPr>
          <w:p w14:paraId="0DEBC2E2" w14:textId="77777777" w:rsidR="00E87D5B" w:rsidRPr="009E084A" w:rsidRDefault="00E87D5B" w:rsidP="00F8742F">
            <w:pPr>
              <w:pStyle w:val="NormalWeb"/>
              <w:jc w:val="center"/>
              <w:rPr>
                <w:sz w:val="18"/>
                <w:szCs w:val="18"/>
              </w:rPr>
            </w:pPr>
            <w:r w:rsidRPr="009E084A">
              <w:rPr>
                <w:sz w:val="18"/>
                <w:szCs w:val="18"/>
              </w:rPr>
              <w:t>464</w:t>
            </w:r>
          </w:p>
        </w:tc>
        <w:tc>
          <w:tcPr>
            <w:tcW w:w="1992" w:type="dxa"/>
            <w:hideMark/>
          </w:tcPr>
          <w:p w14:paraId="28A00CA1" w14:textId="77777777" w:rsidR="00E87D5B" w:rsidRPr="009E084A" w:rsidRDefault="00E87D5B" w:rsidP="00F8742F">
            <w:pPr>
              <w:pStyle w:val="NormalWeb"/>
              <w:jc w:val="center"/>
              <w:rPr>
                <w:sz w:val="18"/>
                <w:szCs w:val="18"/>
              </w:rPr>
            </w:pPr>
            <w:r w:rsidRPr="009E084A">
              <w:rPr>
                <w:sz w:val="18"/>
                <w:szCs w:val="18"/>
              </w:rPr>
              <w:t>15.8%</w:t>
            </w:r>
          </w:p>
        </w:tc>
        <w:tc>
          <w:tcPr>
            <w:tcW w:w="1362" w:type="dxa"/>
            <w:hideMark/>
          </w:tcPr>
          <w:p w14:paraId="1F113CA1" w14:textId="77777777" w:rsidR="00E87D5B" w:rsidRPr="009E084A" w:rsidRDefault="00E87D5B" w:rsidP="00F8742F">
            <w:pPr>
              <w:pStyle w:val="NormalWeb"/>
              <w:jc w:val="center"/>
              <w:rPr>
                <w:sz w:val="18"/>
                <w:szCs w:val="18"/>
              </w:rPr>
            </w:pPr>
            <w:r w:rsidRPr="009E084A">
              <w:rPr>
                <w:sz w:val="18"/>
                <w:szCs w:val="18"/>
              </w:rPr>
              <w:t>12.8–19.4%</w:t>
            </w:r>
          </w:p>
        </w:tc>
        <w:tc>
          <w:tcPr>
            <w:tcW w:w="1483" w:type="dxa"/>
            <w:hideMark/>
          </w:tcPr>
          <w:p w14:paraId="734FB28B" w14:textId="77777777" w:rsidR="00E87D5B" w:rsidRPr="009E084A" w:rsidRDefault="00E87D5B" w:rsidP="00F8742F">
            <w:pPr>
              <w:pStyle w:val="NormalWeb"/>
              <w:jc w:val="center"/>
              <w:rPr>
                <w:sz w:val="18"/>
                <w:szCs w:val="18"/>
              </w:rPr>
            </w:pPr>
            <w:r w:rsidRPr="009E084A">
              <w:rPr>
                <w:sz w:val="18"/>
                <w:szCs w:val="18"/>
              </w:rPr>
              <w:t>199</w:t>
            </w:r>
          </w:p>
        </w:tc>
        <w:tc>
          <w:tcPr>
            <w:tcW w:w="1770" w:type="dxa"/>
            <w:hideMark/>
          </w:tcPr>
          <w:p w14:paraId="53817854" w14:textId="77777777" w:rsidR="00E87D5B" w:rsidRPr="009E084A" w:rsidRDefault="00E87D5B" w:rsidP="00F8742F">
            <w:pPr>
              <w:pStyle w:val="NormalWeb"/>
              <w:jc w:val="center"/>
              <w:rPr>
                <w:sz w:val="18"/>
                <w:szCs w:val="18"/>
              </w:rPr>
            </w:pPr>
            <w:r w:rsidRPr="009E084A">
              <w:rPr>
                <w:sz w:val="18"/>
                <w:szCs w:val="18"/>
              </w:rPr>
              <w:t>11.7%</w:t>
            </w:r>
          </w:p>
        </w:tc>
        <w:tc>
          <w:tcPr>
            <w:tcW w:w="1818" w:type="dxa"/>
            <w:hideMark/>
          </w:tcPr>
          <w:p w14:paraId="28F215D8" w14:textId="77777777" w:rsidR="00E87D5B" w:rsidRPr="009E084A" w:rsidRDefault="00E87D5B" w:rsidP="00F8742F">
            <w:pPr>
              <w:pStyle w:val="NormalWeb"/>
              <w:jc w:val="center"/>
              <w:rPr>
                <w:sz w:val="18"/>
                <w:szCs w:val="18"/>
              </w:rPr>
            </w:pPr>
            <w:r w:rsidRPr="009E084A">
              <w:rPr>
                <w:sz w:val="18"/>
                <w:szCs w:val="18"/>
              </w:rPr>
              <w:t>7.9–16.9%</w:t>
            </w:r>
          </w:p>
        </w:tc>
      </w:tr>
      <w:tr w:rsidR="000A5606" w:rsidRPr="009E084A" w14:paraId="73FA55BB"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386FBFA5" w14:textId="77777777" w:rsidR="00E87D5B" w:rsidRPr="009E084A" w:rsidRDefault="00E87D5B">
            <w:pPr>
              <w:pStyle w:val="NormalWeb"/>
              <w:rPr>
                <w:sz w:val="18"/>
                <w:szCs w:val="18"/>
              </w:rPr>
            </w:pPr>
            <w:r w:rsidRPr="009E084A">
              <w:rPr>
                <w:sz w:val="18"/>
                <w:szCs w:val="18"/>
              </w:rPr>
              <w:t>10–14</w:t>
            </w:r>
          </w:p>
        </w:tc>
        <w:tc>
          <w:tcPr>
            <w:tcW w:w="1402" w:type="dxa"/>
            <w:hideMark/>
          </w:tcPr>
          <w:p w14:paraId="3217E1E0" w14:textId="77777777" w:rsidR="00E87D5B" w:rsidRPr="009E084A" w:rsidRDefault="00E87D5B" w:rsidP="00F8742F">
            <w:pPr>
              <w:pStyle w:val="NormalWeb"/>
              <w:jc w:val="center"/>
              <w:rPr>
                <w:sz w:val="18"/>
                <w:szCs w:val="18"/>
              </w:rPr>
            </w:pPr>
            <w:r w:rsidRPr="009E084A">
              <w:rPr>
                <w:sz w:val="18"/>
                <w:szCs w:val="18"/>
              </w:rPr>
              <w:t>197</w:t>
            </w:r>
          </w:p>
        </w:tc>
        <w:tc>
          <w:tcPr>
            <w:tcW w:w="1134" w:type="dxa"/>
            <w:hideMark/>
          </w:tcPr>
          <w:p w14:paraId="59412C69" w14:textId="77777777" w:rsidR="00E87D5B" w:rsidRPr="009E084A" w:rsidRDefault="00E87D5B" w:rsidP="00F8742F">
            <w:pPr>
              <w:pStyle w:val="NormalWeb"/>
              <w:jc w:val="center"/>
              <w:rPr>
                <w:sz w:val="18"/>
                <w:szCs w:val="18"/>
              </w:rPr>
            </w:pPr>
            <w:r w:rsidRPr="009E084A">
              <w:rPr>
                <w:sz w:val="18"/>
                <w:szCs w:val="18"/>
              </w:rPr>
              <w:t>20.3%</w:t>
            </w:r>
          </w:p>
        </w:tc>
        <w:tc>
          <w:tcPr>
            <w:tcW w:w="1131" w:type="dxa"/>
            <w:hideMark/>
          </w:tcPr>
          <w:p w14:paraId="34519069" w14:textId="77777777" w:rsidR="00E87D5B" w:rsidRPr="009E084A" w:rsidRDefault="00E87D5B" w:rsidP="00F8742F">
            <w:pPr>
              <w:pStyle w:val="NormalWeb"/>
              <w:jc w:val="center"/>
              <w:rPr>
                <w:sz w:val="18"/>
                <w:szCs w:val="18"/>
              </w:rPr>
            </w:pPr>
            <w:r w:rsidRPr="009E084A">
              <w:rPr>
                <w:sz w:val="18"/>
                <w:szCs w:val="18"/>
              </w:rPr>
              <w:t>15.3–26.5%</w:t>
            </w:r>
          </w:p>
        </w:tc>
        <w:tc>
          <w:tcPr>
            <w:tcW w:w="1413" w:type="dxa"/>
            <w:hideMark/>
          </w:tcPr>
          <w:p w14:paraId="381DE4EF" w14:textId="77777777" w:rsidR="00E87D5B" w:rsidRPr="009E084A" w:rsidRDefault="00E87D5B" w:rsidP="00F8742F">
            <w:pPr>
              <w:pStyle w:val="NormalWeb"/>
              <w:jc w:val="center"/>
              <w:rPr>
                <w:sz w:val="18"/>
                <w:szCs w:val="18"/>
              </w:rPr>
            </w:pPr>
            <w:r w:rsidRPr="009E084A">
              <w:rPr>
                <w:sz w:val="18"/>
                <w:szCs w:val="18"/>
              </w:rPr>
              <w:t>239</w:t>
            </w:r>
          </w:p>
        </w:tc>
        <w:tc>
          <w:tcPr>
            <w:tcW w:w="1992" w:type="dxa"/>
            <w:hideMark/>
          </w:tcPr>
          <w:p w14:paraId="6DE48807" w14:textId="77777777" w:rsidR="00E87D5B" w:rsidRPr="009E084A" w:rsidRDefault="00E87D5B" w:rsidP="00F8742F">
            <w:pPr>
              <w:pStyle w:val="NormalWeb"/>
              <w:jc w:val="center"/>
              <w:rPr>
                <w:sz w:val="18"/>
                <w:szCs w:val="18"/>
              </w:rPr>
            </w:pPr>
            <w:r w:rsidRPr="009E084A">
              <w:rPr>
                <w:sz w:val="18"/>
                <w:szCs w:val="18"/>
              </w:rPr>
              <w:t>23.4%</w:t>
            </w:r>
          </w:p>
        </w:tc>
        <w:tc>
          <w:tcPr>
            <w:tcW w:w="1362" w:type="dxa"/>
            <w:hideMark/>
          </w:tcPr>
          <w:p w14:paraId="73436143" w14:textId="77777777" w:rsidR="00E87D5B" w:rsidRPr="009E084A" w:rsidRDefault="00E87D5B" w:rsidP="00F8742F">
            <w:pPr>
              <w:pStyle w:val="NormalWeb"/>
              <w:jc w:val="center"/>
              <w:rPr>
                <w:sz w:val="18"/>
                <w:szCs w:val="18"/>
              </w:rPr>
            </w:pPr>
            <w:r w:rsidRPr="009E084A">
              <w:rPr>
                <w:sz w:val="18"/>
                <w:szCs w:val="18"/>
              </w:rPr>
              <w:t>18.5–29.2%</w:t>
            </w:r>
          </w:p>
        </w:tc>
        <w:tc>
          <w:tcPr>
            <w:tcW w:w="1483" w:type="dxa"/>
            <w:hideMark/>
          </w:tcPr>
          <w:p w14:paraId="7AF736C1"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78FC8E35" w14:textId="77777777" w:rsidR="00E87D5B" w:rsidRPr="009E084A" w:rsidRDefault="00E87D5B" w:rsidP="00F8742F">
            <w:pPr>
              <w:pStyle w:val="NormalWeb"/>
              <w:jc w:val="center"/>
              <w:rPr>
                <w:sz w:val="18"/>
                <w:szCs w:val="18"/>
              </w:rPr>
            </w:pPr>
            <w:r w:rsidRPr="009E084A">
              <w:rPr>
                <w:sz w:val="18"/>
                <w:szCs w:val="18"/>
              </w:rPr>
              <w:t>18.8%</w:t>
            </w:r>
          </w:p>
        </w:tc>
        <w:tc>
          <w:tcPr>
            <w:tcW w:w="1818" w:type="dxa"/>
            <w:hideMark/>
          </w:tcPr>
          <w:p w14:paraId="0BE89073" w14:textId="77777777" w:rsidR="00E87D5B" w:rsidRPr="009E084A" w:rsidRDefault="00E87D5B" w:rsidP="00F8742F">
            <w:pPr>
              <w:pStyle w:val="NormalWeb"/>
              <w:jc w:val="center"/>
              <w:rPr>
                <w:sz w:val="18"/>
                <w:szCs w:val="18"/>
              </w:rPr>
            </w:pPr>
            <w:r w:rsidRPr="009E084A">
              <w:rPr>
                <w:sz w:val="18"/>
                <w:szCs w:val="18"/>
              </w:rPr>
              <w:t>14.6–23.9%</w:t>
            </w:r>
          </w:p>
        </w:tc>
      </w:tr>
      <w:tr w:rsidR="000A5606" w:rsidRPr="009E084A" w14:paraId="2DF39EE1" w14:textId="77777777" w:rsidTr="009E084A">
        <w:tc>
          <w:tcPr>
            <w:tcW w:w="0" w:type="auto"/>
            <w:hideMark/>
          </w:tcPr>
          <w:p w14:paraId="65B7CB7C" w14:textId="77777777" w:rsidR="00E87D5B" w:rsidRPr="009E084A" w:rsidRDefault="00E87D5B">
            <w:pPr>
              <w:pStyle w:val="NormalWeb"/>
              <w:rPr>
                <w:sz w:val="18"/>
                <w:szCs w:val="18"/>
              </w:rPr>
            </w:pPr>
            <w:r w:rsidRPr="009E084A">
              <w:rPr>
                <w:sz w:val="18"/>
                <w:szCs w:val="18"/>
              </w:rPr>
              <w:t>15–19</w:t>
            </w:r>
          </w:p>
        </w:tc>
        <w:tc>
          <w:tcPr>
            <w:tcW w:w="1402" w:type="dxa"/>
            <w:hideMark/>
          </w:tcPr>
          <w:p w14:paraId="57064B42" w14:textId="77777777" w:rsidR="00E87D5B" w:rsidRPr="009E084A" w:rsidRDefault="00E87D5B" w:rsidP="00F8742F">
            <w:pPr>
              <w:pStyle w:val="NormalWeb"/>
              <w:jc w:val="center"/>
              <w:rPr>
                <w:sz w:val="18"/>
                <w:szCs w:val="18"/>
              </w:rPr>
            </w:pPr>
            <w:r w:rsidRPr="009E084A">
              <w:rPr>
                <w:sz w:val="18"/>
                <w:szCs w:val="18"/>
              </w:rPr>
              <w:t>266</w:t>
            </w:r>
          </w:p>
        </w:tc>
        <w:tc>
          <w:tcPr>
            <w:tcW w:w="1134" w:type="dxa"/>
            <w:hideMark/>
          </w:tcPr>
          <w:p w14:paraId="2781FC71" w14:textId="77777777" w:rsidR="00E87D5B" w:rsidRPr="009E084A" w:rsidRDefault="00E87D5B" w:rsidP="00F8742F">
            <w:pPr>
              <w:pStyle w:val="NormalWeb"/>
              <w:jc w:val="center"/>
              <w:rPr>
                <w:sz w:val="18"/>
                <w:szCs w:val="18"/>
              </w:rPr>
            </w:pPr>
            <w:r w:rsidRPr="009E084A">
              <w:rPr>
                <w:sz w:val="18"/>
                <w:szCs w:val="18"/>
              </w:rPr>
              <w:t>32.0%</w:t>
            </w:r>
          </w:p>
        </w:tc>
        <w:tc>
          <w:tcPr>
            <w:tcW w:w="1131" w:type="dxa"/>
            <w:hideMark/>
          </w:tcPr>
          <w:p w14:paraId="40BE503F" w14:textId="77777777" w:rsidR="00E87D5B" w:rsidRPr="009E084A" w:rsidRDefault="00E87D5B" w:rsidP="00F8742F">
            <w:pPr>
              <w:pStyle w:val="NormalWeb"/>
              <w:jc w:val="center"/>
              <w:rPr>
                <w:sz w:val="18"/>
                <w:szCs w:val="18"/>
              </w:rPr>
            </w:pPr>
            <w:r w:rsidRPr="009E084A">
              <w:rPr>
                <w:sz w:val="18"/>
                <w:szCs w:val="18"/>
              </w:rPr>
              <w:t>26.6–37.8%</w:t>
            </w:r>
          </w:p>
        </w:tc>
        <w:tc>
          <w:tcPr>
            <w:tcW w:w="1413" w:type="dxa"/>
            <w:hideMark/>
          </w:tcPr>
          <w:p w14:paraId="60194884" w14:textId="77777777" w:rsidR="00E87D5B" w:rsidRPr="009E084A" w:rsidRDefault="00E87D5B" w:rsidP="00F8742F">
            <w:pPr>
              <w:pStyle w:val="NormalWeb"/>
              <w:jc w:val="center"/>
              <w:rPr>
                <w:sz w:val="18"/>
                <w:szCs w:val="18"/>
              </w:rPr>
            </w:pPr>
            <w:r w:rsidRPr="009E084A">
              <w:rPr>
                <w:sz w:val="18"/>
                <w:szCs w:val="18"/>
              </w:rPr>
              <w:t>196</w:t>
            </w:r>
          </w:p>
        </w:tc>
        <w:tc>
          <w:tcPr>
            <w:tcW w:w="1992" w:type="dxa"/>
            <w:hideMark/>
          </w:tcPr>
          <w:p w14:paraId="44FFE2AB" w14:textId="77777777" w:rsidR="00E87D5B" w:rsidRPr="009E084A" w:rsidRDefault="00E87D5B" w:rsidP="00F8742F">
            <w:pPr>
              <w:pStyle w:val="NormalWeb"/>
              <w:jc w:val="center"/>
              <w:rPr>
                <w:sz w:val="18"/>
                <w:szCs w:val="18"/>
              </w:rPr>
            </w:pPr>
            <w:r w:rsidRPr="009E084A">
              <w:rPr>
                <w:sz w:val="18"/>
                <w:szCs w:val="18"/>
              </w:rPr>
              <w:t>25.0%</w:t>
            </w:r>
          </w:p>
        </w:tc>
        <w:tc>
          <w:tcPr>
            <w:tcW w:w="1362" w:type="dxa"/>
            <w:hideMark/>
          </w:tcPr>
          <w:p w14:paraId="27A7977C" w14:textId="77777777" w:rsidR="00E87D5B" w:rsidRPr="009E084A" w:rsidRDefault="00E87D5B" w:rsidP="00F8742F">
            <w:pPr>
              <w:pStyle w:val="NormalWeb"/>
              <w:jc w:val="center"/>
              <w:rPr>
                <w:sz w:val="18"/>
                <w:szCs w:val="18"/>
              </w:rPr>
            </w:pPr>
            <w:r w:rsidRPr="009E084A">
              <w:rPr>
                <w:sz w:val="18"/>
                <w:szCs w:val="18"/>
              </w:rPr>
              <w:t>19.4–31.5%</w:t>
            </w:r>
          </w:p>
        </w:tc>
        <w:tc>
          <w:tcPr>
            <w:tcW w:w="1483" w:type="dxa"/>
            <w:hideMark/>
          </w:tcPr>
          <w:p w14:paraId="636B2FF5" w14:textId="77777777" w:rsidR="00E87D5B" w:rsidRPr="009E084A" w:rsidRDefault="00E87D5B" w:rsidP="00F8742F">
            <w:pPr>
              <w:pStyle w:val="NormalWeb"/>
              <w:jc w:val="center"/>
              <w:rPr>
                <w:sz w:val="18"/>
                <w:szCs w:val="18"/>
              </w:rPr>
            </w:pPr>
            <w:r w:rsidRPr="009E084A">
              <w:rPr>
                <w:sz w:val="18"/>
                <w:szCs w:val="18"/>
              </w:rPr>
              <w:t>270</w:t>
            </w:r>
          </w:p>
        </w:tc>
        <w:tc>
          <w:tcPr>
            <w:tcW w:w="1770" w:type="dxa"/>
            <w:hideMark/>
          </w:tcPr>
          <w:p w14:paraId="221BC7E3" w14:textId="77777777" w:rsidR="00E87D5B" w:rsidRPr="009E084A" w:rsidRDefault="00E87D5B" w:rsidP="00F8742F">
            <w:pPr>
              <w:pStyle w:val="NormalWeb"/>
              <w:jc w:val="center"/>
              <w:rPr>
                <w:sz w:val="18"/>
                <w:szCs w:val="18"/>
              </w:rPr>
            </w:pPr>
            <w:r w:rsidRPr="009E084A">
              <w:rPr>
                <w:sz w:val="18"/>
                <w:szCs w:val="18"/>
              </w:rPr>
              <w:t>17.4%</w:t>
            </w:r>
          </w:p>
        </w:tc>
        <w:tc>
          <w:tcPr>
            <w:tcW w:w="1818" w:type="dxa"/>
            <w:hideMark/>
          </w:tcPr>
          <w:p w14:paraId="1ED008F0" w14:textId="77777777" w:rsidR="00E87D5B" w:rsidRPr="009E084A" w:rsidRDefault="00E87D5B" w:rsidP="00F8742F">
            <w:pPr>
              <w:pStyle w:val="NormalWeb"/>
              <w:jc w:val="center"/>
              <w:rPr>
                <w:sz w:val="18"/>
                <w:szCs w:val="18"/>
              </w:rPr>
            </w:pPr>
            <w:r w:rsidRPr="009E084A">
              <w:rPr>
                <w:sz w:val="18"/>
                <w:szCs w:val="18"/>
              </w:rPr>
              <w:t>13.3–22.4%</w:t>
            </w:r>
          </w:p>
        </w:tc>
      </w:tr>
      <w:tr w:rsidR="000A5606" w:rsidRPr="009E084A" w14:paraId="0284B7BF"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7622E059" w14:textId="77777777" w:rsidR="00E87D5B" w:rsidRPr="009E084A" w:rsidRDefault="00E87D5B">
            <w:pPr>
              <w:pStyle w:val="NormalWeb"/>
              <w:rPr>
                <w:sz w:val="18"/>
                <w:szCs w:val="18"/>
              </w:rPr>
            </w:pPr>
            <w:r w:rsidRPr="009E084A">
              <w:rPr>
                <w:sz w:val="18"/>
                <w:szCs w:val="18"/>
              </w:rPr>
              <w:t>20–24</w:t>
            </w:r>
          </w:p>
        </w:tc>
        <w:tc>
          <w:tcPr>
            <w:tcW w:w="1402" w:type="dxa"/>
            <w:hideMark/>
          </w:tcPr>
          <w:p w14:paraId="3305A288" w14:textId="77777777" w:rsidR="00E87D5B" w:rsidRPr="009E084A" w:rsidRDefault="00E87D5B" w:rsidP="00F8742F">
            <w:pPr>
              <w:pStyle w:val="NormalWeb"/>
              <w:jc w:val="center"/>
              <w:rPr>
                <w:sz w:val="18"/>
                <w:szCs w:val="18"/>
              </w:rPr>
            </w:pPr>
            <w:r w:rsidRPr="009E084A">
              <w:rPr>
                <w:sz w:val="18"/>
                <w:szCs w:val="18"/>
              </w:rPr>
              <w:t>96</w:t>
            </w:r>
          </w:p>
        </w:tc>
        <w:tc>
          <w:tcPr>
            <w:tcW w:w="1134" w:type="dxa"/>
            <w:hideMark/>
          </w:tcPr>
          <w:p w14:paraId="7A38F9F8" w14:textId="77777777" w:rsidR="00E87D5B" w:rsidRPr="009E084A" w:rsidRDefault="00E87D5B" w:rsidP="00F8742F">
            <w:pPr>
              <w:pStyle w:val="NormalWeb"/>
              <w:jc w:val="center"/>
              <w:rPr>
                <w:sz w:val="18"/>
                <w:szCs w:val="18"/>
              </w:rPr>
            </w:pPr>
            <w:r w:rsidRPr="009E084A">
              <w:rPr>
                <w:sz w:val="18"/>
                <w:szCs w:val="18"/>
              </w:rPr>
              <w:t>20.8%</w:t>
            </w:r>
          </w:p>
        </w:tc>
        <w:tc>
          <w:tcPr>
            <w:tcW w:w="1131" w:type="dxa"/>
            <w:hideMark/>
          </w:tcPr>
          <w:p w14:paraId="76DA92A1" w14:textId="77777777" w:rsidR="00E87D5B" w:rsidRPr="009E084A" w:rsidRDefault="00E87D5B" w:rsidP="00F8742F">
            <w:pPr>
              <w:pStyle w:val="NormalWeb"/>
              <w:jc w:val="center"/>
              <w:rPr>
                <w:sz w:val="18"/>
                <w:szCs w:val="18"/>
              </w:rPr>
            </w:pPr>
            <w:r w:rsidRPr="009E084A">
              <w:rPr>
                <w:sz w:val="18"/>
                <w:szCs w:val="18"/>
              </w:rPr>
              <w:t>13.8–30.1%</w:t>
            </w:r>
          </w:p>
        </w:tc>
        <w:tc>
          <w:tcPr>
            <w:tcW w:w="1413" w:type="dxa"/>
            <w:hideMark/>
          </w:tcPr>
          <w:p w14:paraId="3A382E4A" w14:textId="77777777" w:rsidR="00E87D5B" w:rsidRPr="009E084A" w:rsidRDefault="00E87D5B" w:rsidP="00F8742F">
            <w:pPr>
              <w:pStyle w:val="NormalWeb"/>
              <w:jc w:val="center"/>
              <w:rPr>
                <w:sz w:val="18"/>
                <w:szCs w:val="18"/>
              </w:rPr>
            </w:pPr>
            <w:r w:rsidRPr="009E084A">
              <w:rPr>
                <w:sz w:val="18"/>
                <w:szCs w:val="18"/>
              </w:rPr>
              <w:t>210</w:t>
            </w:r>
          </w:p>
        </w:tc>
        <w:tc>
          <w:tcPr>
            <w:tcW w:w="1992" w:type="dxa"/>
            <w:hideMark/>
          </w:tcPr>
          <w:p w14:paraId="185493D8" w14:textId="77777777" w:rsidR="00E87D5B" w:rsidRPr="009E084A" w:rsidRDefault="00E87D5B" w:rsidP="00F8742F">
            <w:pPr>
              <w:pStyle w:val="NormalWeb"/>
              <w:jc w:val="center"/>
              <w:rPr>
                <w:sz w:val="18"/>
                <w:szCs w:val="18"/>
              </w:rPr>
            </w:pPr>
            <w:r w:rsidRPr="009E084A">
              <w:rPr>
                <w:sz w:val="18"/>
                <w:szCs w:val="18"/>
              </w:rPr>
              <w:t>21.9%</w:t>
            </w:r>
          </w:p>
        </w:tc>
        <w:tc>
          <w:tcPr>
            <w:tcW w:w="1362" w:type="dxa"/>
            <w:hideMark/>
          </w:tcPr>
          <w:p w14:paraId="7FB87977" w14:textId="77777777" w:rsidR="00E87D5B" w:rsidRPr="009E084A" w:rsidRDefault="00E87D5B" w:rsidP="00F8742F">
            <w:pPr>
              <w:pStyle w:val="NormalWeb"/>
              <w:jc w:val="center"/>
              <w:rPr>
                <w:sz w:val="18"/>
                <w:szCs w:val="18"/>
              </w:rPr>
            </w:pPr>
            <w:r w:rsidRPr="009E084A">
              <w:rPr>
                <w:sz w:val="18"/>
                <w:szCs w:val="18"/>
              </w:rPr>
              <w:t>16.8–28.0%</w:t>
            </w:r>
          </w:p>
        </w:tc>
        <w:tc>
          <w:tcPr>
            <w:tcW w:w="1483" w:type="dxa"/>
            <w:hideMark/>
          </w:tcPr>
          <w:p w14:paraId="6318CCAE" w14:textId="77777777" w:rsidR="00E87D5B" w:rsidRPr="009E084A" w:rsidRDefault="00E87D5B" w:rsidP="00F8742F">
            <w:pPr>
              <w:pStyle w:val="NormalWeb"/>
              <w:jc w:val="center"/>
              <w:rPr>
                <w:sz w:val="18"/>
                <w:szCs w:val="18"/>
              </w:rPr>
            </w:pPr>
            <w:r w:rsidRPr="009E084A">
              <w:rPr>
                <w:sz w:val="18"/>
                <w:szCs w:val="18"/>
              </w:rPr>
              <w:t>250</w:t>
            </w:r>
          </w:p>
        </w:tc>
        <w:tc>
          <w:tcPr>
            <w:tcW w:w="1770" w:type="dxa"/>
            <w:hideMark/>
          </w:tcPr>
          <w:p w14:paraId="49711231" w14:textId="77777777" w:rsidR="00E87D5B" w:rsidRPr="009E084A" w:rsidRDefault="00E87D5B" w:rsidP="00F8742F">
            <w:pPr>
              <w:pStyle w:val="NormalWeb"/>
              <w:jc w:val="center"/>
              <w:rPr>
                <w:sz w:val="18"/>
                <w:szCs w:val="18"/>
              </w:rPr>
            </w:pPr>
            <w:r w:rsidRPr="009E084A">
              <w:rPr>
                <w:sz w:val="18"/>
                <w:szCs w:val="18"/>
              </w:rPr>
              <w:t>19.4%</w:t>
            </w:r>
          </w:p>
        </w:tc>
        <w:tc>
          <w:tcPr>
            <w:tcW w:w="1818" w:type="dxa"/>
            <w:hideMark/>
          </w:tcPr>
          <w:p w14:paraId="11D3B99F" w14:textId="77777777" w:rsidR="00E87D5B" w:rsidRPr="009E084A" w:rsidRDefault="00E87D5B" w:rsidP="00F8742F">
            <w:pPr>
              <w:pStyle w:val="NormalWeb"/>
              <w:jc w:val="center"/>
              <w:rPr>
                <w:sz w:val="18"/>
                <w:szCs w:val="18"/>
              </w:rPr>
            </w:pPr>
            <w:r w:rsidRPr="009E084A">
              <w:rPr>
                <w:sz w:val="18"/>
                <w:szCs w:val="18"/>
              </w:rPr>
              <w:t>14.9–25.0%</w:t>
            </w:r>
          </w:p>
        </w:tc>
      </w:tr>
      <w:tr w:rsidR="000A5606" w:rsidRPr="009E084A" w14:paraId="0EC523F0" w14:textId="77777777" w:rsidTr="009E084A">
        <w:tc>
          <w:tcPr>
            <w:tcW w:w="0" w:type="auto"/>
            <w:hideMark/>
          </w:tcPr>
          <w:p w14:paraId="3889C998" w14:textId="77777777" w:rsidR="00E87D5B" w:rsidRPr="009E084A" w:rsidRDefault="00E87D5B">
            <w:pPr>
              <w:pStyle w:val="NormalWeb"/>
              <w:rPr>
                <w:sz w:val="18"/>
                <w:szCs w:val="18"/>
              </w:rPr>
            </w:pPr>
            <w:r w:rsidRPr="009E084A">
              <w:rPr>
                <w:sz w:val="18"/>
                <w:szCs w:val="18"/>
              </w:rPr>
              <w:t>25–29</w:t>
            </w:r>
          </w:p>
        </w:tc>
        <w:tc>
          <w:tcPr>
            <w:tcW w:w="1402" w:type="dxa"/>
            <w:hideMark/>
          </w:tcPr>
          <w:p w14:paraId="19079055" w14:textId="77777777" w:rsidR="00E87D5B" w:rsidRPr="009E084A" w:rsidRDefault="00E87D5B" w:rsidP="00F8742F">
            <w:pPr>
              <w:pStyle w:val="NormalWeb"/>
              <w:jc w:val="center"/>
              <w:rPr>
                <w:sz w:val="18"/>
                <w:szCs w:val="18"/>
              </w:rPr>
            </w:pPr>
            <w:r w:rsidRPr="009E084A">
              <w:rPr>
                <w:sz w:val="18"/>
                <w:szCs w:val="18"/>
              </w:rPr>
              <w:t>138</w:t>
            </w:r>
          </w:p>
        </w:tc>
        <w:tc>
          <w:tcPr>
            <w:tcW w:w="1134" w:type="dxa"/>
            <w:hideMark/>
          </w:tcPr>
          <w:p w14:paraId="5238DBA1" w14:textId="77777777" w:rsidR="00E87D5B" w:rsidRPr="009E084A" w:rsidRDefault="00E87D5B" w:rsidP="00F8742F">
            <w:pPr>
              <w:pStyle w:val="NormalWeb"/>
              <w:jc w:val="center"/>
              <w:rPr>
                <w:sz w:val="18"/>
                <w:szCs w:val="18"/>
              </w:rPr>
            </w:pPr>
            <w:r w:rsidRPr="009E084A">
              <w:rPr>
                <w:sz w:val="18"/>
                <w:szCs w:val="18"/>
              </w:rPr>
              <w:t>15.2%</w:t>
            </w:r>
          </w:p>
        </w:tc>
        <w:tc>
          <w:tcPr>
            <w:tcW w:w="1131" w:type="dxa"/>
            <w:hideMark/>
          </w:tcPr>
          <w:p w14:paraId="6A4E85A7" w14:textId="77777777" w:rsidR="00E87D5B" w:rsidRPr="009E084A" w:rsidRDefault="00E87D5B" w:rsidP="00F8742F">
            <w:pPr>
              <w:pStyle w:val="NormalWeb"/>
              <w:jc w:val="center"/>
              <w:rPr>
                <w:sz w:val="18"/>
                <w:szCs w:val="18"/>
              </w:rPr>
            </w:pPr>
            <w:r w:rsidRPr="009E084A">
              <w:rPr>
                <w:sz w:val="18"/>
                <w:szCs w:val="18"/>
              </w:rPr>
              <w:t>10.1–22.2%</w:t>
            </w:r>
          </w:p>
        </w:tc>
        <w:tc>
          <w:tcPr>
            <w:tcW w:w="1413" w:type="dxa"/>
            <w:hideMark/>
          </w:tcPr>
          <w:p w14:paraId="616A5386" w14:textId="77777777" w:rsidR="00E87D5B" w:rsidRPr="009E084A" w:rsidRDefault="00E87D5B" w:rsidP="00F8742F">
            <w:pPr>
              <w:pStyle w:val="NormalWeb"/>
              <w:jc w:val="center"/>
              <w:rPr>
                <w:sz w:val="18"/>
                <w:szCs w:val="18"/>
              </w:rPr>
            </w:pPr>
            <w:r w:rsidRPr="009E084A">
              <w:rPr>
                <w:sz w:val="18"/>
                <w:szCs w:val="18"/>
              </w:rPr>
              <w:t>640</w:t>
            </w:r>
          </w:p>
        </w:tc>
        <w:tc>
          <w:tcPr>
            <w:tcW w:w="1992" w:type="dxa"/>
            <w:hideMark/>
          </w:tcPr>
          <w:p w14:paraId="47131F2F" w14:textId="77777777" w:rsidR="00E87D5B" w:rsidRPr="009E084A" w:rsidRDefault="00E87D5B" w:rsidP="00F8742F">
            <w:pPr>
              <w:pStyle w:val="NormalWeb"/>
              <w:jc w:val="center"/>
              <w:rPr>
                <w:sz w:val="18"/>
                <w:szCs w:val="18"/>
              </w:rPr>
            </w:pPr>
            <w:r w:rsidRPr="009E084A">
              <w:rPr>
                <w:sz w:val="18"/>
                <w:szCs w:val="18"/>
              </w:rPr>
              <w:t>30.8%</w:t>
            </w:r>
          </w:p>
        </w:tc>
        <w:tc>
          <w:tcPr>
            <w:tcW w:w="1362" w:type="dxa"/>
            <w:hideMark/>
          </w:tcPr>
          <w:p w14:paraId="43A0304E" w14:textId="77777777" w:rsidR="00E87D5B" w:rsidRPr="009E084A" w:rsidRDefault="00E87D5B" w:rsidP="00F8742F">
            <w:pPr>
              <w:pStyle w:val="NormalWeb"/>
              <w:jc w:val="center"/>
              <w:rPr>
                <w:sz w:val="18"/>
                <w:szCs w:val="18"/>
              </w:rPr>
            </w:pPr>
            <w:r w:rsidRPr="009E084A">
              <w:rPr>
                <w:sz w:val="18"/>
                <w:szCs w:val="18"/>
              </w:rPr>
              <w:t>27.3–34.5%</w:t>
            </w:r>
          </w:p>
        </w:tc>
        <w:tc>
          <w:tcPr>
            <w:tcW w:w="1483" w:type="dxa"/>
            <w:hideMark/>
          </w:tcPr>
          <w:p w14:paraId="7369FF31" w14:textId="77777777" w:rsidR="00E87D5B" w:rsidRPr="009E084A" w:rsidRDefault="00E87D5B" w:rsidP="00F8742F">
            <w:pPr>
              <w:pStyle w:val="NormalWeb"/>
              <w:jc w:val="center"/>
              <w:rPr>
                <w:sz w:val="18"/>
                <w:szCs w:val="18"/>
              </w:rPr>
            </w:pPr>
            <w:r w:rsidRPr="009E084A">
              <w:rPr>
                <w:sz w:val="18"/>
                <w:szCs w:val="18"/>
              </w:rPr>
              <w:t>320</w:t>
            </w:r>
          </w:p>
        </w:tc>
        <w:tc>
          <w:tcPr>
            <w:tcW w:w="1770" w:type="dxa"/>
            <w:hideMark/>
          </w:tcPr>
          <w:p w14:paraId="446FF95B" w14:textId="77777777" w:rsidR="00E87D5B" w:rsidRPr="009E084A" w:rsidRDefault="00E87D5B" w:rsidP="00F8742F">
            <w:pPr>
              <w:pStyle w:val="NormalWeb"/>
              <w:jc w:val="center"/>
              <w:rPr>
                <w:sz w:val="18"/>
                <w:szCs w:val="18"/>
              </w:rPr>
            </w:pPr>
            <w:r w:rsidRPr="009E084A">
              <w:rPr>
                <w:sz w:val="18"/>
                <w:szCs w:val="18"/>
              </w:rPr>
              <w:t>13.6%</w:t>
            </w:r>
          </w:p>
        </w:tc>
        <w:tc>
          <w:tcPr>
            <w:tcW w:w="1818" w:type="dxa"/>
            <w:hideMark/>
          </w:tcPr>
          <w:p w14:paraId="16BDE9F5" w14:textId="77777777" w:rsidR="00E87D5B" w:rsidRPr="009E084A" w:rsidRDefault="00E87D5B" w:rsidP="00F8742F">
            <w:pPr>
              <w:pStyle w:val="NormalWeb"/>
              <w:jc w:val="center"/>
              <w:rPr>
                <w:sz w:val="18"/>
                <w:szCs w:val="18"/>
              </w:rPr>
            </w:pPr>
            <w:r w:rsidRPr="009E084A">
              <w:rPr>
                <w:sz w:val="18"/>
                <w:szCs w:val="18"/>
              </w:rPr>
              <w:t>10.2–17.8%</w:t>
            </w:r>
          </w:p>
        </w:tc>
      </w:tr>
      <w:tr w:rsidR="000A5606" w:rsidRPr="009E084A" w14:paraId="109AC613"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3C00700D" w14:textId="77777777" w:rsidR="00E87D5B" w:rsidRPr="009E084A" w:rsidRDefault="00E87D5B">
            <w:pPr>
              <w:pStyle w:val="NormalWeb"/>
              <w:rPr>
                <w:sz w:val="18"/>
                <w:szCs w:val="18"/>
              </w:rPr>
            </w:pPr>
            <w:r w:rsidRPr="009E084A">
              <w:rPr>
                <w:sz w:val="18"/>
                <w:szCs w:val="18"/>
              </w:rPr>
              <w:t>30–34</w:t>
            </w:r>
          </w:p>
        </w:tc>
        <w:tc>
          <w:tcPr>
            <w:tcW w:w="1402" w:type="dxa"/>
            <w:hideMark/>
          </w:tcPr>
          <w:p w14:paraId="77D76F99" w14:textId="77777777" w:rsidR="00E87D5B" w:rsidRPr="009E084A" w:rsidRDefault="00E87D5B" w:rsidP="00F8742F">
            <w:pPr>
              <w:pStyle w:val="NormalWeb"/>
              <w:jc w:val="center"/>
              <w:rPr>
                <w:sz w:val="18"/>
                <w:szCs w:val="18"/>
              </w:rPr>
            </w:pPr>
            <w:r w:rsidRPr="009E084A">
              <w:rPr>
                <w:sz w:val="18"/>
                <w:szCs w:val="18"/>
              </w:rPr>
              <w:t>41</w:t>
            </w:r>
          </w:p>
        </w:tc>
        <w:tc>
          <w:tcPr>
            <w:tcW w:w="1134" w:type="dxa"/>
            <w:hideMark/>
          </w:tcPr>
          <w:p w14:paraId="1EE1285C" w14:textId="77777777" w:rsidR="00E87D5B" w:rsidRPr="009E084A" w:rsidRDefault="00E87D5B" w:rsidP="00F8742F">
            <w:pPr>
              <w:pStyle w:val="NormalWeb"/>
              <w:jc w:val="center"/>
              <w:rPr>
                <w:sz w:val="18"/>
                <w:szCs w:val="18"/>
              </w:rPr>
            </w:pPr>
            <w:r w:rsidRPr="009E084A">
              <w:rPr>
                <w:sz w:val="18"/>
                <w:szCs w:val="18"/>
              </w:rPr>
              <w:t>26.8%</w:t>
            </w:r>
          </w:p>
        </w:tc>
        <w:tc>
          <w:tcPr>
            <w:tcW w:w="1131" w:type="dxa"/>
            <w:hideMark/>
          </w:tcPr>
          <w:p w14:paraId="3ED61AED" w14:textId="77777777" w:rsidR="00E87D5B" w:rsidRPr="009E084A" w:rsidRDefault="00E87D5B" w:rsidP="00F8742F">
            <w:pPr>
              <w:pStyle w:val="NormalWeb"/>
              <w:jc w:val="center"/>
              <w:rPr>
                <w:sz w:val="18"/>
                <w:szCs w:val="18"/>
              </w:rPr>
            </w:pPr>
            <w:r w:rsidRPr="009E084A">
              <w:rPr>
                <w:sz w:val="18"/>
                <w:szCs w:val="18"/>
              </w:rPr>
              <w:t>15.5–42.3%</w:t>
            </w:r>
          </w:p>
        </w:tc>
        <w:tc>
          <w:tcPr>
            <w:tcW w:w="1413" w:type="dxa"/>
            <w:hideMark/>
          </w:tcPr>
          <w:p w14:paraId="36D3D735" w14:textId="77777777" w:rsidR="00E87D5B" w:rsidRPr="009E084A" w:rsidRDefault="00E87D5B" w:rsidP="00F8742F">
            <w:pPr>
              <w:pStyle w:val="NormalWeb"/>
              <w:jc w:val="center"/>
              <w:rPr>
                <w:sz w:val="18"/>
                <w:szCs w:val="18"/>
              </w:rPr>
            </w:pPr>
            <w:r w:rsidRPr="009E084A">
              <w:rPr>
                <w:sz w:val="18"/>
                <w:szCs w:val="18"/>
              </w:rPr>
              <w:t>591</w:t>
            </w:r>
          </w:p>
        </w:tc>
        <w:tc>
          <w:tcPr>
            <w:tcW w:w="1992" w:type="dxa"/>
            <w:hideMark/>
          </w:tcPr>
          <w:p w14:paraId="77F3CF50" w14:textId="77777777" w:rsidR="00E87D5B" w:rsidRPr="009E084A" w:rsidRDefault="00E87D5B" w:rsidP="00F8742F">
            <w:pPr>
              <w:pStyle w:val="NormalWeb"/>
              <w:jc w:val="center"/>
              <w:rPr>
                <w:sz w:val="18"/>
                <w:szCs w:val="18"/>
              </w:rPr>
            </w:pPr>
            <w:r w:rsidRPr="009E084A">
              <w:rPr>
                <w:sz w:val="18"/>
                <w:szCs w:val="18"/>
              </w:rPr>
              <w:t>16.6%</w:t>
            </w:r>
          </w:p>
        </w:tc>
        <w:tc>
          <w:tcPr>
            <w:tcW w:w="1362" w:type="dxa"/>
            <w:hideMark/>
          </w:tcPr>
          <w:p w14:paraId="5F651FB4" w14:textId="77777777" w:rsidR="00E87D5B" w:rsidRPr="009E084A" w:rsidRDefault="00E87D5B" w:rsidP="00F8742F">
            <w:pPr>
              <w:pStyle w:val="NormalWeb"/>
              <w:jc w:val="center"/>
              <w:rPr>
                <w:sz w:val="18"/>
                <w:szCs w:val="18"/>
              </w:rPr>
            </w:pPr>
            <w:r w:rsidRPr="009E084A">
              <w:rPr>
                <w:sz w:val="18"/>
                <w:szCs w:val="18"/>
              </w:rPr>
              <w:t>13.8–19.8%</w:t>
            </w:r>
          </w:p>
        </w:tc>
        <w:tc>
          <w:tcPr>
            <w:tcW w:w="1483" w:type="dxa"/>
            <w:hideMark/>
          </w:tcPr>
          <w:p w14:paraId="457E2F1B"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14E1FC2C" w14:textId="77777777" w:rsidR="00E87D5B" w:rsidRPr="009E084A" w:rsidRDefault="00E87D5B" w:rsidP="00F8742F">
            <w:pPr>
              <w:pStyle w:val="NormalWeb"/>
              <w:jc w:val="center"/>
              <w:rPr>
                <w:sz w:val="18"/>
                <w:szCs w:val="18"/>
              </w:rPr>
            </w:pPr>
            <w:r w:rsidRPr="009E084A">
              <w:rPr>
                <w:sz w:val="18"/>
                <w:szCs w:val="18"/>
              </w:rPr>
              <w:t>24.4%</w:t>
            </w:r>
          </w:p>
        </w:tc>
        <w:tc>
          <w:tcPr>
            <w:tcW w:w="1818" w:type="dxa"/>
            <w:hideMark/>
          </w:tcPr>
          <w:p w14:paraId="3C93E3E6" w14:textId="77777777" w:rsidR="00E87D5B" w:rsidRPr="009E084A" w:rsidRDefault="00E87D5B" w:rsidP="00F8742F">
            <w:pPr>
              <w:pStyle w:val="NormalWeb"/>
              <w:jc w:val="center"/>
              <w:rPr>
                <w:sz w:val="18"/>
                <w:szCs w:val="18"/>
              </w:rPr>
            </w:pPr>
            <w:r w:rsidRPr="009E084A">
              <w:rPr>
                <w:sz w:val="18"/>
                <w:szCs w:val="18"/>
              </w:rPr>
              <w:t>18.9–30.9%</w:t>
            </w:r>
          </w:p>
        </w:tc>
      </w:tr>
      <w:tr w:rsidR="000A5606" w:rsidRPr="009E084A" w14:paraId="18DCEEB9" w14:textId="77777777" w:rsidTr="009E084A">
        <w:tc>
          <w:tcPr>
            <w:tcW w:w="0" w:type="auto"/>
            <w:hideMark/>
          </w:tcPr>
          <w:p w14:paraId="1CAD8060" w14:textId="77777777" w:rsidR="00E87D5B" w:rsidRPr="009E084A" w:rsidRDefault="00E87D5B">
            <w:pPr>
              <w:pStyle w:val="NormalWeb"/>
              <w:rPr>
                <w:sz w:val="18"/>
                <w:szCs w:val="18"/>
              </w:rPr>
            </w:pPr>
            <w:r w:rsidRPr="009E084A">
              <w:rPr>
                <w:sz w:val="18"/>
                <w:szCs w:val="18"/>
              </w:rPr>
              <w:t>35–39</w:t>
            </w:r>
          </w:p>
        </w:tc>
        <w:tc>
          <w:tcPr>
            <w:tcW w:w="1402" w:type="dxa"/>
            <w:hideMark/>
          </w:tcPr>
          <w:p w14:paraId="4722A290" w14:textId="77777777" w:rsidR="00E87D5B" w:rsidRPr="009E084A" w:rsidRDefault="00E87D5B" w:rsidP="00F8742F">
            <w:pPr>
              <w:pStyle w:val="NormalWeb"/>
              <w:jc w:val="center"/>
              <w:rPr>
                <w:sz w:val="18"/>
                <w:szCs w:val="18"/>
              </w:rPr>
            </w:pPr>
            <w:r w:rsidRPr="009E084A">
              <w:rPr>
                <w:sz w:val="18"/>
                <w:szCs w:val="18"/>
              </w:rPr>
              <w:t>45</w:t>
            </w:r>
          </w:p>
        </w:tc>
        <w:tc>
          <w:tcPr>
            <w:tcW w:w="1134" w:type="dxa"/>
            <w:hideMark/>
          </w:tcPr>
          <w:p w14:paraId="16C3574A" w14:textId="77777777" w:rsidR="00E87D5B" w:rsidRPr="009E084A" w:rsidRDefault="00E87D5B" w:rsidP="00F8742F">
            <w:pPr>
              <w:pStyle w:val="NormalWeb"/>
              <w:jc w:val="center"/>
              <w:rPr>
                <w:sz w:val="18"/>
                <w:szCs w:val="18"/>
              </w:rPr>
            </w:pPr>
            <w:r w:rsidRPr="009E084A">
              <w:rPr>
                <w:sz w:val="18"/>
                <w:szCs w:val="18"/>
              </w:rPr>
              <w:t>24.4%</w:t>
            </w:r>
          </w:p>
        </w:tc>
        <w:tc>
          <w:tcPr>
            <w:tcW w:w="1131" w:type="dxa"/>
            <w:hideMark/>
          </w:tcPr>
          <w:p w14:paraId="5EF877B7" w14:textId="77777777" w:rsidR="00E87D5B" w:rsidRPr="009E084A" w:rsidRDefault="00E87D5B" w:rsidP="00F8742F">
            <w:pPr>
              <w:pStyle w:val="NormalWeb"/>
              <w:jc w:val="center"/>
              <w:rPr>
                <w:sz w:val="18"/>
                <w:szCs w:val="18"/>
              </w:rPr>
            </w:pPr>
            <w:r w:rsidRPr="009E084A">
              <w:rPr>
                <w:sz w:val="18"/>
                <w:szCs w:val="18"/>
              </w:rPr>
              <w:t>14.1–39.0%</w:t>
            </w:r>
          </w:p>
        </w:tc>
        <w:tc>
          <w:tcPr>
            <w:tcW w:w="1413" w:type="dxa"/>
            <w:hideMark/>
          </w:tcPr>
          <w:p w14:paraId="7D158C68" w14:textId="77777777" w:rsidR="00E87D5B" w:rsidRPr="009E084A" w:rsidRDefault="00E87D5B" w:rsidP="00F8742F">
            <w:pPr>
              <w:pStyle w:val="NormalWeb"/>
              <w:jc w:val="center"/>
              <w:rPr>
                <w:sz w:val="18"/>
                <w:szCs w:val="18"/>
              </w:rPr>
            </w:pPr>
            <w:r w:rsidRPr="009E084A">
              <w:rPr>
                <w:sz w:val="18"/>
                <w:szCs w:val="18"/>
              </w:rPr>
              <w:t>93</w:t>
            </w:r>
          </w:p>
        </w:tc>
        <w:tc>
          <w:tcPr>
            <w:tcW w:w="1992" w:type="dxa"/>
            <w:hideMark/>
          </w:tcPr>
          <w:p w14:paraId="3EB86552" w14:textId="77777777" w:rsidR="00E87D5B" w:rsidRPr="009E084A" w:rsidRDefault="00E87D5B" w:rsidP="00F8742F">
            <w:pPr>
              <w:pStyle w:val="NormalWeb"/>
              <w:jc w:val="center"/>
              <w:rPr>
                <w:sz w:val="18"/>
                <w:szCs w:val="18"/>
              </w:rPr>
            </w:pPr>
            <w:r w:rsidRPr="009E084A">
              <w:rPr>
                <w:sz w:val="18"/>
                <w:szCs w:val="18"/>
              </w:rPr>
              <w:t>24.6%</w:t>
            </w:r>
          </w:p>
        </w:tc>
        <w:tc>
          <w:tcPr>
            <w:tcW w:w="1362" w:type="dxa"/>
            <w:hideMark/>
          </w:tcPr>
          <w:p w14:paraId="4313D83A" w14:textId="77777777" w:rsidR="00E87D5B" w:rsidRPr="009E084A" w:rsidRDefault="00E87D5B" w:rsidP="00F8742F">
            <w:pPr>
              <w:pStyle w:val="NormalWeb"/>
              <w:jc w:val="center"/>
              <w:rPr>
                <w:sz w:val="18"/>
                <w:szCs w:val="18"/>
              </w:rPr>
            </w:pPr>
            <w:r w:rsidRPr="009E084A">
              <w:rPr>
                <w:sz w:val="18"/>
                <w:szCs w:val="18"/>
              </w:rPr>
              <w:t>16.9–34.3%</w:t>
            </w:r>
          </w:p>
        </w:tc>
        <w:tc>
          <w:tcPr>
            <w:tcW w:w="1483" w:type="dxa"/>
            <w:hideMark/>
          </w:tcPr>
          <w:p w14:paraId="6B5AEFF3" w14:textId="77777777" w:rsidR="00E87D5B" w:rsidRPr="009E084A" w:rsidRDefault="00E87D5B" w:rsidP="00F8742F">
            <w:pPr>
              <w:pStyle w:val="NormalWeb"/>
              <w:jc w:val="center"/>
              <w:rPr>
                <w:sz w:val="18"/>
                <w:szCs w:val="18"/>
              </w:rPr>
            </w:pPr>
            <w:r w:rsidRPr="009E084A">
              <w:rPr>
                <w:sz w:val="18"/>
                <w:szCs w:val="18"/>
              </w:rPr>
              <w:t>285</w:t>
            </w:r>
          </w:p>
        </w:tc>
        <w:tc>
          <w:tcPr>
            <w:tcW w:w="1770" w:type="dxa"/>
            <w:hideMark/>
          </w:tcPr>
          <w:p w14:paraId="1AB4370A" w14:textId="77777777" w:rsidR="00E87D5B" w:rsidRPr="009E084A" w:rsidRDefault="00E87D5B" w:rsidP="00F8742F">
            <w:pPr>
              <w:pStyle w:val="NormalWeb"/>
              <w:jc w:val="center"/>
              <w:rPr>
                <w:sz w:val="18"/>
                <w:szCs w:val="18"/>
              </w:rPr>
            </w:pPr>
            <w:r w:rsidRPr="009E084A">
              <w:rPr>
                <w:sz w:val="18"/>
                <w:szCs w:val="18"/>
              </w:rPr>
              <w:t>14.9%</w:t>
            </w:r>
          </w:p>
        </w:tc>
        <w:tc>
          <w:tcPr>
            <w:tcW w:w="1818" w:type="dxa"/>
            <w:hideMark/>
          </w:tcPr>
          <w:p w14:paraId="0EB0348E" w14:textId="77777777" w:rsidR="00E87D5B" w:rsidRPr="009E084A" w:rsidRDefault="00E87D5B" w:rsidP="00F8742F">
            <w:pPr>
              <w:pStyle w:val="NormalWeb"/>
              <w:jc w:val="center"/>
              <w:rPr>
                <w:sz w:val="18"/>
                <w:szCs w:val="18"/>
              </w:rPr>
            </w:pPr>
            <w:r w:rsidRPr="009E084A">
              <w:rPr>
                <w:sz w:val="18"/>
                <w:szCs w:val="18"/>
              </w:rPr>
              <w:t>11.1–19.7%</w:t>
            </w:r>
          </w:p>
        </w:tc>
      </w:tr>
      <w:tr w:rsidR="000A5606" w:rsidRPr="009E084A" w14:paraId="054E835A"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hideMark/>
          </w:tcPr>
          <w:p w14:paraId="6EBEFF74" w14:textId="77777777" w:rsidR="00E87D5B" w:rsidRPr="009E084A" w:rsidRDefault="00E87D5B">
            <w:pPr>
              <w:pStyle w:val="NormalWeb"/>
              <w:rPr>
                <w:sz w:val="18"/>
                <w:szCs w:val="18"/>
              </w:rPr>
            </w:pPr>
            <w:r w:rsidRPr="009E084A">
              <w:rPr>
                <w:sz w:val="18"/>
                <w:szCs w:val="18"/>
              </w:rPr>
              <w:t>40–44</w:t>
            </w:r>
          </w:p>
        </w:tc>
        <w:tc>
          <w:tcPr>
            <w:tcW w:w="1402" w:type="dxa"/>
            <w:hideMark/>
          </w:tcPr>
          <w:p w14:paraId="305AF396" w14:textId="77777777" w:rsidR="00E87D5B" w:rsidRPr="009E084A" w:rsidRDefault="00E87D5B" w:rsidP="00F8742F">
            <w:pPr>
              <w:pStyle w:val="NormalWeb"/>
              <w:jc w:val="center"/>
              <w:rPr>
                <w:sz w:val="18"/>
                <w:szCs w:val="18"/>
              </w:rPr>
            </w:pPr>
            <w:r w:rsidRPr="009E084A">
              <w:rPr>
                <w:sz w:val="18"/>
                <w:szCs w:val="18"/>
              </w:rPr>
              <w:t>19</w:t>
            </w:r>
          </w:p>
        </w:tc>
        <w:tc>
          <w:tcPr>
            <w:tcW w:w="1134" w:type="dxa"/>
            <w:hideMark/>
          </w:tcPr>
          <w:p w14:paraId="2C3F9171" w14:textId="77777777" w:rsidR="00E87D5B" w:rsidRPr="009E084A" w:rsidRDefault="00E87D5B" w:rsidP="00F8742F">
            <w:pPr>
              <w:pStyle w:val="NormalWeb"/>
              <w:jc w:val="center"/>
              <w:rPr>
                <w:sz w:val="18"/>
                <w:szCs w:val="18"/>
              </w:rPr>
            </w:pPr>
            <w:r w:rsidRPr="009E084A">
              <w:rPr>
                <w:sz w:val="18"/>
                <w:szCs w:val="18"/>
              </w:rPr>
              <w:t>10.5%</w:t>
            </w:r>
          </w:p>
        </w:tc>
        <w:tc>
          <w:tcPr>
            <w:tcW w:w="1131" w:type="dxa"/>
            <w:hideMark/>
          </w:tcPr>
          <w:p w14:paraId="1DBB6EA0" w14:textId="77777777" w:rsidR="00E87D5B" w:rsidRPr="009E084A" w:rsidRDefault="00E87D5B" w:rsidP="00F8742F">
            <w:pPr>
              <w:pStyle w:val="NormalWeb"/>
              <w:jc w:val="center"/>
              <w:rPr>
                <w:sz w:val="18"/>
                <w:szCs w:val="18"/>
              </w:rPr>
            </w:pPr>
            <w:r w:rsidRPr="009E084A">
              <w:rPr>
                <w:sz w:val="18"/>
                <w:szCs w:val="18"/>
              </w:rPr>
              <w:t>2.6–33.8%</w:t>
            </w:r>
          </w:p>
        </w:tc>
        <w:tc>
          <w:tcPr>
            <w:tcW w:w="1413" w:type="dxa"/>
            <w:hideMark/>
          </w:tcPr>
          <w:p w14:paraId="3A8FAA0C" w14:textId="77777777" w:rsidR="00E87D5B" w:rsidRPr="009E084A" w:rsidRDefault="00E87D5B" w:rsidP="00F8742F">
            <w:pPr>
              <w:pStyle w:val="NormalWeb"/>
              <w:jc w:val="center"/>
              <w:rPr>
                <w:sz w:val="18"/>
                <w:szCs w:val="18"/>
              </w:rPr>
            </w:pPr>
            <w:r w:rsidRPr="009E084A">
              <w:rPr>
                <w:sz w:val="18"/>
                <w:szCs w:val="18"/>
              </w:rPr>
              <w:t>84</w:t>
            </w:r>
          </w:p>
        </w:tc>
        <w:tc>
          <w:tcPr>
            <w:tcW w:w="1992" w:type="dxa"/>
            <w:hideMark/>
          </w:tcPr>
          <w:p w14:paraId="347B517F" w14:textId="77777777" w:rsidR="00E87D5B" w:rsidRPr="009E084A" w:rsidRDefault="00E87D5B" w:rsidP="00F8742F">
            <w:pPr>
              <w:pStyle w:val="NormalWeb"/>
              <w:jc w:val="center"/>
              <w:rPr>
                <w:sz w:val="18"/>
                <w:szCs w:val="18"/>
              </w:rPr>
            </w:pPr>
            <w:r w:rsidRPr="009E084A">
              <w:rPr>
                <w:sz w:val="18"/>
                <w:szCs w:val="18"/>
              </w:rPr>
              <w:t>22.4%</w:t>
            </w:r>
          </w:p>
        </w:tc>
        <w:tc>
          <w:tcPr>
            <w:tcW w:w="1362" w:type="dxa"/>
            <w:hideMark/>
          </w:tcPr>
          <w:p w14:paraId="79F24562" w14:textId="77777777" w:rsidR="00E87D5B" w:rsidRPr="009E084A" w:rsidRDefault="00E87D5B" w:rsidP="00F8742F">
            <w:pPr>
              <w:pStyle w:val="NormalWeb"/>
              <w:jc w:val="center"/>
              <w:rPr>
                <w:sz w:val="18"/>
                <w:szCs w:val="18"/>
              </w:rPr>
            </w:pPr>
            <w:r w:rsidRPr="009E084A">
              <w:rPr>
                <w:sz w:val="18"/>
                <w:szCs w:val="18"/>
              </w:rPr>
              <w:t>14.9–32.4%</w:t>
            </w:r>
          </w:p>
        </w:tc>
        <w:tc>
          <w:tcPr>
            <w:tcW w:w="1483" w:type="dxa"/>
            <w:hideMark/>
          </w:tcPr>
          <w:p w14:paraId="5E5CAF0B" w14:textId="77777777" w:rsidR="00E87D5B" w:rsidRPr="009E084A" w:rsidRDefault="00E87D5B" w:rsidP="00F8742F">
            <w:pPr>
              <w:pStyle w:val="NormalWeb"/>
              <w:jc w:val="center"/>
              <w:rPr>
                <w:sz w:val="18"/>
                <w:szCs w:val="18"/>
              </w:rPr>
            </w:pPr>
            <w:r w:rsidRPr="009E084A">
              <w:rPr>
                <w:sz w:val="18"/>
                <w:szCs w:val="18"/>
              </w:rPr>
              <w:t>255</w:t>
            </w:r>
          </w:p>
        </w:tc>
        <w:tc>
          <w:tcPr>
            <w:tcW w:w="1770" w:type="dxa"/>
            <w:hideMark/>
          </w:tcPr>
          <w:p w14:paraId="24B42F4F" w14:textId="77777777" w:rsidR="00E87D5B" w:rsidRPr="009E084A" w:rsidRDefault="00E87D5B" w:rsidP="00F8742F">
            <w:pPr>
              <w:pStyle w:val="NormalWeb"/>
              <w:jc w:val="center"/>
              <w:rPr>
                <w:sz w:val="18"/>
                <w:szCs w:val="18"/>
              </w:rPr>
            </w:pPr>
            <w:r w:rsidRPr="009E084A">
              <w:rPr>
                <w:sz w:val="18"/>
                <w:szCs w:val="18"/>
              </w:rPr>
              <w:t>16.0%</w:t>
            </w:r>
          </w:p>
        </w:tc>
        <w:tc>
          <w:tcPr>
            <w:tcW w:w="1818" w:type="dxa"/>
            <w:hideMark/>
          </w:tcPr>
          <w:p w14:paraId="2F87BC46" w14:textId="77777777" w:rsidR="00E87D5B" w:rsidRPr="009E084A" w:rsidRDefault="00E87D5B" w:rsidP="00F8742F">
            <w:pPr>
              <w:pStyle w:val="NormalWeb"/>
              <w:jc w:val="center"/>
              <w:rPr>
                <w:sz w:val="18"/>
                <w:szCs w:val="18"/>
              </w:rPr>
            </w:pPr>
            <w:r w:rsidRPr="009E084A">
              <w:rPr>
                <w:sz w:val="18"/>
                <w:szCs w:val="18"/>
              </w:rPr>
              <w:t>11.9–21.2%</w:t>
            </w:r>
          </w:p>
        </w:tc>
      </w:tr>
      <w:tr w:rsidR="000A5606" w:rsidRPr="009E084A" w14:paraId="2B086A2B" w14:textId="77777777" w:rsidTr="009E084A">
        <w:tc>
          <w:tcPr>
            <w:tcW w:w="0" w:type="auto"/>
            <w:hideMark/>
          </w:tcPr>
          <w:p w14:paraId="3011D6D5" w14:textId="77777777" w:rsidR="00E87D5B" w:rsidRPr="009E084A" w:rsidRDefault="00E87D5B">
            <w:pPr>
              <w:pStyle w:val="NormalWeb"/>
              <w:rPr>
                <w:sz w:val="18"/>
                <w:szCs w:val="18"/>
              </w:rPr>
            </w:pPr>
            <w:r w:rsidRPr="009E084A">
              <w:rPr>
                <w:sz w:val="18"/>
                <w:szCs w:val="18"/>
              </w:rPr>
              <w:t>45–49</w:t>
            </w:r>
          </w:p>
        </w:tc>
        <w:tc>
          <w:tcPr>
            <w:tcW w:w="1402" w:type="dxa"/>
            <w:hideMark/>
          </w:tcPr>
          <w:p w14:paraId="376B79A1" w14:textId="77777777" w:rsidR="00E87D5B" w:rsidRPr="009E084A" w:rsidRDefault="00E87D5B" w:rsidP="00F8742F">
            <w:pPr>
              <w:pStyle w:val="NormalWeb"/>
              <w:jc w:val="center"/>
              <w:rPr>
                <w:sz w:val="18"/>
                <w:szCs w:val="18"/>
              </w:rPr>
            </w:pPr>
            <w:r w:rsidRPr="009E084A">
              <w:rPr>
                <w:sz w:val="18"/>
                <w:szCs w:val="18"/>
              </w:rPr>
              <w:t>26</w:t>
            </w:r>
          </w:p>
        </w:tc>
        <w:tc>
          <w:tcPr>
            <w:tcW w:w="1134" w:type="dxa"/>
            <w:hideMark/>
          </w:tcPr>
          <w:p w14:paraId="3125DD92" w14:textId="77777777" w:rsidR="00E87D5B" w:rsidRPr="009E084A" w:rsidRDefault="00E87D5B" w:rsidP="00F8742F">
            <w:pPr>
              <w:pStyle w:val="NormalWeb"/>
              <w:jc w:val="center"/>
              <w:rPr>
                <w:sz w:val="18"/>
                <w:szCs w:val="18"/>
              </w:rPr>
            </w:pPr>
            <w:r w:rsidRPr="009E084A">
              <w:rPr>
                <w:sz w:val="18"/>
                <w:szCs w:val="18"/>
              </w:rPr>
              <w:t>15.4%</w:t>
            </w:r>
          </w:p>
        </w:tc>
        <w:tc>
          <w:tcPr>
            <w:tcW w:w="1131" w:type="dxa"/>
            <w:hideMark/>
          </w:tcPr>
          <w:p w14:paraId="14B1F9D7" w14:textId="77777777" w:rsidR="00E87D5B" w:rsidRPr="009E084A" w:rsidRDefault="00E87D5B" w:rsidP="00F8742F">
            <w:pPr>
              <w:pStyle w:val="NormalWeb"/>
              <w:jc w:val="center"/>
              <w:rPr>
                <w:sz w:val="18"/>
                <w:szCs w:val="18"/>
              </w:rPr>
            </w:pPr>
            <w:r w:rsidRPr="009E084A">
              <w:rPr>
                <w:sz w:val="18"/>
                <w:szCs w:val="18"/>
              </w:rPr>
              <w:t>5.9–34.6%</w:t>
            </w:r>
          </w:p>
        </w:tc>
        <w:tc>
          <w:tcPr>
            <w:tcW w:w="1413" w:type="dxa"/>
            <w:hideMark/>
          </w:tcPr>
          <w:p w14:paraId="0ACA71BE" w14:textId="77777777" w:rsidR="00E87D5B" w:rsidRPr="009E084A" w:rsidRDefault="00E87D5B" w:rsidP="00F8742F">
            <w:pPr>
              <w:pStyle w:val="NormalWeb"/>
              <w:jc w:val="center"/>
              <w:rPr>
                <w:sz w:val="18"/>
                <w:szCs w:val="18"/>
              </w:rPr>
            </w:pPr>
            <w:r w:rsidRPr="009E084A">
              <w:rPr>
                <w:sz w:val="18"/>
                <w:szCs w:val="18"/>
              </w:rPr>
              <w:t>70</w:t>
            </w:r>
          </w:p>
        </w:tc>
        <w:tc>
          <w:tcPr>
            <w:tcW w:w="1992" w:type="dxa"/>
            <w:hideMark/>
          </w:tcPr>
          <w:p w14:paraId="137A4830" w14:textId="77777777" w:rsidR="00E87D5B" w:rsidRPr="009E084A" w:rsidRDefault="00E87D5B" w:rsidP="00F8742F">
            <w:pPr>
              <w:pStyle w:val="NormalWeb"/>
              <w:jc w:val="center"/>
              <w:rPr>
                <w:sz w:val="18"/>
                <w:szCs w:val="18"/>
              </w:rPr>
            </w:pPr>
            <w:r w:rsidRPr="009E084A">
              <w:rPr>
                <w:sz w:val="18"/>
                <w:szCs w:val="18"/>
              </w:rPr>
              <w:t>16.4%</w:t>
            </w:r>
          </w:p>
        </w:tc>
        <w:tc>
          <w:tcPr>
            <w:tcW w:w="1362" w:type="dxa"/>
            <w:hideMark/>
          </w:tcPr>
          <w:p w14:paraId="55301BD3" w14:textId="77777777" w:rsidR="00E87D5B" w:rsidRPr="009E084A" w:rsidRDefault="00E87D5B" w:rsidP="00F8742F">
            <w:pPr>
              <w:pStyle w:val="NormalWeb"/>
              <w:jc w:val="center"/>
              <w:rPr>
                <w:sz w:val="18"/>
                <w:szCs w:val="18"/>
              </w:rPr>
            </w:pPr>
            <w:r w:rsidRPr="009E084A">
              <w:rPr>
                <w:sz w:val="18"/>
                <w:szCs w:val="18"/>
              </w:rPr>
              <w:t>9.3–27.3%</w:t>
            </w:r>
          </w:p>
        </w:tc>
        <w:tc>
          <w:tcPr>
            <w:tcW w:w="1483" w:type="dxa"/>
            <w:hideMark/>
          </w:tcPr>
          <w:p w14:paraId="31A844F2" w14:textId="77777777" w:rsidR="00E87D5B" w:rsidRPr="009E084A" w:rsidRDefault="00E87D5B" w:rsidP="00F8742F">
            <w:pPr>
              <w:pStyle w:val="NormalWeb"/>
              <w:jc w:val="center"/>
              <w:rPr>
                <w:sz w:val="18"/>
                <w:szCs w:val="18"/>
              </w:rPr>
            </w:pPr>
            <w:r w:rsidRPr="009E084A">
              <w:rPr>
                <w:sz w:val="18"/>
                <w:szCs w:val="18"/>
              </w:rPr>
              <w:t>205</w:t>
            </w:r>
          </w:p>
        </w:tc>
        <w:tc>
          <w:tcPr>
            <w:tcW w:w="1770" w:type="dxa"/>
            <w:hideMark/>
          </w:tcPr>
          <w:p w14:paraId="1F69C2D8" w14:textId="77777777" w:rsidR="00E87D5B" w:rsidRPr="009E084A" w:rsidRDefault="00E87D5B" w:rsidP="00F8742F">
            <w:pPr>
              <w:pStyle w:val="NormalWeb"/>
              <w:jc w:val="center"/>
              <w:rPr>
                <w:sz w:val="18"/>
                <w:szCs w:val="18"/>
              </w:rPr>
            </w:pPr>
            <w:r w:rsidRPr="009E084A">
              <w:rPr>
                <w:sz w:val="18"/>
                <w:szCs w:val="18"/>
              </w:rPr>
              <w:t>12.7%</w:t>
            </w:r>
          </w:p>
        </w:tc>
        <w:tc>
          <w:tcPr>
            <w:tcW w:w="1818" w:type="dxa"/>
            <w:hideMark/>
          </w:tcPr>
          <w:p w14:paraId="3764A486" w14:textId="77777777" w:rsidR="00E87D5B" w:rsidRPr="009E084A" w:rsidRDefault="00E87D5B" w:rsidP="00F8742F">
            <w:pPr>
              <w:pStyle w:val="NormalWeb"/>
              <w:jc w:val="center"/>
              <w:rPr>
                <w:sz w:val="18"/>
                <w:szCs w:val="18"/>
              </w:rPr>
            </w:pPr>
            <w:r w:rsidRPr="009E084A">
              <w:rPr>
                <w:sz w:val="18"/>
                <w:szCs w:val="18"/>
              </w:rPr>
              <w:t>8.7–18.0%</w:t>
            </w:r>
          </w:p>
        </w:tc>
      </w:tr>
      <w:tr w:rsidR="000A5606" w:rsidRPr="009E084A" w14:paraId="209743C6" w14:textId="77777777" w:rsidTr="009E084A">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CDDC404" w14:textId="77777777" w:rsidR="00E87D5B" w:rsidRPr="009E084A" w:rsidRDefault="00E87D5B">
            <w:pPr>
              <w:pStyle w:val="NormalWeb"/>
              <w:rPr>
                <w:b/>
                <w:sz w:val="18"/>
                <w:szCs w:val="18"/>
              </w:rPr>
            </w:pPr>
            <w:r w:rsidRPr="009E084A">
              <w:rPr>
                <w:b/>
                <w:sz w:val="18"/>
                <w:szCs w:val="18"/>
              </w:rPr>
              <w:t>All ages</w:t>
            </w:r>
          </w:p>
        </w:tc>
        <w:tc>
          <w:tcPr>
            <w:tcW w:w="1402" w:type="dxa"/>
            <w:shd w:val="clear" w:color="auto" w:fill="FDE9D9" w:themeFill="accent6" w:themeFillTint="33"/>
            <w:hideMark/>
          </w:tcPr>
          <w:p w14:paraId="62B5C9D5" w14:textId="77777777" w:rsidR="00E87D5B" w:rsidRPr="009E084A" w:rsidRDefault="00E87D5B" w:rsidP="00F8742F">
            <w:pPr>
              <w:pStyle w:val="NormalWeb"/>
              <w:jc w:val="center"/>
              <w:rPr>
                <w:b/>
                <w:sz w:val="18"/>
                <w:szCs w:val="18"/>
              </w:rPr>
            </w:pPr>
            <w:r w:rsidRPr="009E084A">
              <w:rPr>
                <w:b/>
                <w:sz w:val="18"/>
                <w:szCs w:val="18"/>
              </w:rPr>
              <w:t>1,915</w:t>
            </w:r>
          </w:p>
        </w:tc>
        <w:tc>
          <w:tcPr>
            <w:tcW w:w="1134" w:type="dxa"/>
            <w:shd w:val="clear" w:color="auto" w:fill="FDE9D9" w:themeFill="accent6" w:themeFillTint="33"/>
            <w:hideMark/>
          </w:tcPr>
          <w:p w14:paraId="730CDE4C" w14:textId="77777777" w:rsidR="00E87D5B" w:rsidRPr="009E084A" w:rsidRDefault="00E87D5B" w:rsidP="00F8742F">
            <w:pPr>
              <w:pStyle w:val="NormalWeb"/>
              <w:jc w:val="center"/>
              <w:rPr>
                <w:b/>
                <w:sz w:val="18"/>
                <w:szCs w:val="18"/>
              </w:rPr>
            </w:pPr>
            <w:r w:rsidRPr="009E084A">
              <w:rPr>
                <w:b/>
                <w:sz w:val="18"/>
                <w:szCs w:val="18"/>
              </w:rPr>
              <w:t>27.5%</w:t>
            </w:r>
          </w:p>
        </w:tc>
        <w:tc>
          <w:tcPr>
            <w:tcW w:w="1131" w:type="dxa"/>
            <w:shd w:val="clear" w:color="auto" w:fill="FDE9D9" w:themeFill="accent6" w:themeFillTint="33"/>
            <w:hideMark/>
          </w:tcPr>
          <w:p w14:paraId="4FB8F55B" w14:textId="77777777" w:rsidR="00E87D5B" w:rsidRPr="009E084A" w:rsidRDefault="00E87D5B" w:rsidP="00F8742F">
            <w:pPr>
              <w:pStyle w:val="NormalWeb"/>
              <w:jc w:val="center"/>
              <w:rPr>
                <w:b/>
                <w:sz w:val="18"/>
                <w:szCs w:val="18"/>
              </w:rPr>
            </w:pPr>
            <w:r w:rsidRPr="009E084A">
              <w:rPr>
                <w:b/>
                <w:sz w:val="18"/>
                <w:szCs w:val="18"/>
              </w:rPr>
              <w:t>25.6–29.6%</w:t>
            </w:r>
          </w:p>
        </w:tc>
        <w:tc>
          <w:tcPr>
            <w:tcW w:w="1413" w:type="dxa"/>
            <w:shd w:val="clear" w:color="auto" w:fill="FDE9D9" w:themeFill="accent6" w:themeFillTint="33"/>
            <w:hideMark/>
          </w:tcPr>
          <w:p w14:paraId="05A985B2" w14:textId="77777777" w:rsidR="00E87D5B" w:rsidRPr="009E084A" w:rsidRDefault="00E87D5B" w:rsidP="00F8742F">
            <w:pPr>
              <w:pStyle w:val="NormalWeb"/>
              <w:jc w:val="center"/>
              <w:rPr>
                <w:b/>
                <w:sz w:val="18"/>
                <w:szCs w:val="18"/>
              </w:rPr>
            </w:pPr>
            <w:r w:rsidRPr="009E084A">
              <w:rPr>
                <w:b/>
                <w:sz w:val="18"/>
                <w:szCs w:val="18"/>
              </w:rPr>
              <w:t>3,396</w:t>
            </w:r>
          </w:p>
        </w:tc>
        <w:tc>
          <w:tcPr>
            <w:tcW w:w="1992" w:type="dxa"/>
            <w:shd w:val="clear" w:color="auto" w:fill="FDE9D9" w:themeFill="accent6" w:themeFillTint="33"/>
            <w:hideMark/>
          </w:tcPr>
          <w:p w14:paraId="537AA4C7" w14:textId="77777777" w:rsidR="00E87D5B" w:rsidRPr="009E084A" w:rsidRDefault="00E87D5B" w:rsidP="00F8742F">
            <w:pPr>
              <w:pStyle w:val="NormalWeb"/>
              <w:jc w:val="center"/>
              <w:rPr>
                <w:b/>
                <w:sz w:val="18"/>
                <w:szCs w:val="18"/>
              </w:rPr>
            </w:pPr>
            <w:r w:rsidRPr="009E084A">
              <w:rPr>
                <w:b/>
                <w:sz w:val="18"/>
                <w:szCs w:val="18"/>
              </w:rPr>
              <w:t>24.5%</w:t>
            </w:r>
          </w:p>
        </w:tc>
        <w:tc>
          <w:tcPr>
            <w:tcW w:w="1362" w:type="dxa"/>
            <w:shd w:val="clear" w:color="auto" w:fill="FDE9D9" w:themeFill="accent6" w:themeFillTint="33"/>
            <w:hideMark/>
          </w:tcPr>
          <w:p w14:paraId="23103917" w14:textId="77777777" w:rsidR="00E87D5B" w:rsidRPr="009E084A" w:rsidRDefault="00E87D5B" w:rsidP="00F8742F">
            <w:pPr>
              <w:pStyle w:val="NormalWeb"/>
              <w:jc w:val="center"/>
              <w:rPr>
                <w:b/>
                <w:sz w:val="18"/>
                <w:szCs w:val="18"/>
              </w:rPr>
            </w:pPr>
            <w:r w:rsidRPr="009E084A">
              <w:rPr>
                <w:b/>
                <w:sz w:val="18"/>
                <w:szCs w:val="18"/>
              </w:rPr>
              <w:t>23.1–26.0%</w:t>
            </w:r>
          </w:p>
        </w:tc>
        <w:tc>
          <w:tcPr>
            <w:tcW w:w="1483" w:type="dxa"/>
            <w:shd w:val="clear" w:color="auto" w:fill="FDE9D9" w:themeFill="accent6" w:themeFillTint="33"/>
            <w:hideMark/>
          </w:tcPr>
          <w:p w14:paraId="406AF62E" w14:textId="77777777" w:rsidR="00E87D5B" w:rsidRPr="009E084A" w:rsidRDefault="00E87D5B" w:rsidP="00F8742F">
            <w:pPr>
              <w:pStyle w:val="NormalWeb"/>
              <w:jc w:val="center"/>
              <w:rPr>
                <w:b/>
                <w:sz w:val="18"/>
                <w:szCs w:val="18"/>
              </w:rPr>
            </w:pPr>
            <w:r w:rsidRPr="009E084A">
              <w:rPr>
                <w:b/>
                <w:sz w:val="18"/>
                <w:szCs w:val="18"/>
              </w:rPr>
              <w:t>2,729</w:t>
            </w:r>
          </w:p>
        </w:tc>
        <w:tc>
          <w:tcPr>
            <w:tcW w:w="1770" w:type="dxa"/>
            <w:shd w:val="clear" w:color="auto" w:fill="FDE9D9" w:themeFill="accent6" w:themeFillTint="33"/>
            <w:hideMark/>
          </w:tcPr>
          <w:p w14:paraId="62731FD8" w14:textId="77777777" w:rsidR="00E87D5B" w:rsidRPr="009E084A" w:rsidRDefault="00E87D5B" w:rsidP="00F8742F">
            <w:pPr>
              <w:pStyle w:val="NormalWeb"/>
              <w:jc w:val="center"/>
              <w:rPr>
                <w:b/>
                <w:sz w:val="18"/>
                <w:szCs w:val="18"/>
              </w:rPr>
            </w:pPr>
            <w:r w:rsidRPr="009E084A">
              <w:rPr>
                <w:b/>
                <w:sz w:val="18"/>
                <w:szCs w:val="18"/>
              </w:rPr>
              <w:t>17.9%</w:t>
            </w:r>
          </w:p>
        </w:tc>
        <w:tc>
          <w:tcPr>
            <w:tcW w:w="1818" w:type="dxa"/>
            <w:shd w:val="clear" w:color="auto" w:fill="FDE9D9" w:themeFill="accent6" w:themeFillTint="33"/>
            <w:hideMark/>
          </w:tcPr>
          <w:p w14:paraId="75999934" w14:textId="77777777" w:rsidR="00E87D5B" w:rsidRPr="009E084A" w:rsidRDefault="00E87D5B" w:rsidP="00F8742F">
            <w:pPr>
              <w:pStyle w:val="NormalWeb"/>
              <w:jc w:val="center"/>
              <w:rPr>
                <w:b/>
                <w:sz w:val="18"/>
                <w:szCs w:val="18"/>
              </w:rPr>
            </w:pPr>
            <w:r w:rsidRPr="009E084A">
              <w:rPr>
                <w:b/>
                <w:sz w:val="18"/>
                <w:szCs w:val="18"/>
              </w:rPr>
              <w:t>16.5–19.4%</w:t>
            </w:r>
          </w:p>
        </w:tc>
      </w:tr>
    </w:tbl>
    <w:p w14:paraId="660FBB59" w14:textId="77777777" w:rsidR="00E87D5B" w:rsidRDefault="00E87D5B" w:rsidP="00450689">
      <w:pPr>
        <w:pStyle w:val="CDIfootnotes"/>
      </w:pPr>
      <w:r>
        <w:t>a</w:t>
      </w:r>
      <w:r>
        <w:tab/>
        <w:t xml:space="preserve">Indicates that the difference in the proportion seropositive, </w:t>
      </w:r>
      <w:proofErr w:type="gramStart"/>
      <w:r>
        <w:t>equivocal</w:t>
      </w:r>
      <w:proofErr w:type="gramEnd"/>
      <w:r>
        <w:t xml:space="preserve"> or combined (either seropositive or equivocal), compared to the 2012 serosurvey, is significant (</w:t>
      </w:r>
      <w:r w:rsidRPr="007E6560">
        <w:rPr>
          <w:i/>
        </w:rPr>
        <w:t>p</w:t>
      </w:r>
      <w:r>
        <w:t xml:space="preserve"> &lt; 0.05) for that age group.</w:t>
      </w:r>
    </w:p>
    <w:p w14:paraId="04933CEC" w14:textId="77777777" w:rsidR="008B5348" w:rsidRDefault="008B5348">
      <w:pPr>
        <w:rPr>
          <w:rStyle w:val="A10"/>
        </w:rPr>
        <w:sectPr w:rsidR="008B5348" w:rsidSect="00913477">
          <w:headerReference w:type="default" r:id="rId16"/>
          <w:pgSz w:w="16838" w:h="11906" w:orient="landscape"/>
          <w:pgMar w:top="720" w:right="720" w:bottom="720" w:left="1134" w:header="709" w:footer="284" w:gutter="0"/>
          <w:cols w:space="708"/>
          <w:titlePg/>
          <w:docGrid w:linePitch="360"/>
        </w:sectPr>
      </w:pPr>
    </w:p>
    <w:p w14:paraId="1F94D95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C61B90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C0397F5" w14:textId="77777777" w:rsidR="000A5F42" w:rsidRPr="000606CC" w:rsidRDefault="000A5F42" w:rsidP="000A5F42">
      <w:pPr>
        <w:pStyle w:val="NoSpacing"/>
        <w:rPr>
          <w:rStyle w:val="URI"/>
          <w:rFonts w:cstheme="minorHAnsi"/>
          <w:sz w:val="20"/>
          <w:szCs w:val="18"/>
        </w:rPr>
      </w:pPr>
    </w:p>
    <w:p w14:paraId="70E9731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6F1E299" w14:textId="77777777" w:rsidR="000A5F42" w:rsidRPr="000606CC" w:rsidRDefault="000A5F42" w:rsidP="000A5F42">
      <w:pPr>
        <w:pStyle w:val="NoSpacing"/>
        <w:rPr>
          <w:rStyle w:val="Strong"/>
          <w:rFonts w:cstheme="minorHAnsi"/>
          <w:sz w:val="20"/>
          <w:szCs w:val="18"/>
        </w:rPr>
      </w:pPr>
    </w:p>
    <w:p w14:paraId="488ED0F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9F25A5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18146B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783161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AF3B6B1" w14:textId="77777777" w:rsidR="000A5F42" w:rsidRPr="000606CC" w:rsidRDefault="000A5F42" w:rsidP="000A5F42">
      <w:pPr>
        <w:pStyle w:val="NoSpacing"/>
        <w:rPr>
          <w:rStyle w:val="Strong"/>
          <w:rFonts w:cstheme="minorHAnsi"/>
          <w:sz w:val="20"/>
          <w:szCs w:val="18"/>
        </w:rPr>
      </w:pPr>
    </w:p>
    <w:p w14:paraId="62B47692" w14:textId="0CB10DA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035A9D0" w14:textId="77777777" w:rsidR="000A5F42" w:rsidRPr="000606CC" w:rsidRDefault="000A5F42" w:rsidP="000A5F42">
      <w:pPr>
        <w:pStyle w:val="NoSpacing"/>
        <w:rPr>
          <w:rStyle w:val="Strong"/>
          <w:rFonts w:cstheme="minorHAnsi"/>
          <w:sz w:val="20"/>
          <w:szCs w:val="18"/>
        </w:rPr>
      </w:pPr>
    </w:p>
    <w:p w14:paraId="65C0642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0D02DD3" w14:textId="77777777" w:rsidR="000A5F42" w:rsidRPr="000606CC" w:rsidRDefault="000A5F42" w:rsidP="000A5F42">
      <w:pPr>
        <w:pStyle w:val="NoSpacing"/>
        <w:rPr>
          <w:rStyle w:val="Strong"/>
          <w:rFonts w:cstheme="minorHAnsi"/>
          <w:sz w:val="20"/>
          <w:szCs w:val="18"/>
        </w:rPr>
      </w:pPr>
    </w:p>
    <w:p w14:paraId="6D7ACDD1" w14:textId="600FCDA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B36C6C9" w14:textId="77777777" w:rsidR="000A5F42" w:rsidRPr="000606CC" w:rsidRDefault="000A5F42" w:rsidP="000A5F42">
      <w:pPr>
        <w:pStyle w:val="NoSpacing"/>
        <w:rPr>
          <w:rStyle w:val="Strong"/>
          <w:rFonts w:cstheme="minorHAnsi"/>
          <w:sz w:val="20"/>
          <w:szCs w:val="18"/>
        </w:rPr>
      </w:pPr>
    </w:p>
    <w:p w14:paraId="1F74CA3D" w14:textId="7787A05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E7F48FF" w14:textId="35B31E1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54203960" w14:textId="77777777" w:rsidR="000A5F42" w:rsidRPr="000606CC" w:rsidRDefault="000A5F42" w:rsidP="000A5F42">
      <w:pPr>
        <w:pStyle w:val="NoSpacing"/>
        <w:pBdr>
          <w:bottom w:val="single" w:sz="6" w:space="1" w:color="auto"/>
        </w:pBdr>
        <w:rPr>
          <w:rStyle w:val="Strong"/>
          <w:rFonts w:cstheme="minorHAnsi"/>
          <w:sz w:val="12"/>
          <w:szCs w:val="18"/>
        </w:rPr>
      </w:pPr>
    </w:p>
    <w:p w14:paraId="7345F070" w14:textId="77777777" w:rsidR="000A5F42" w:rsidRPr="000606CC" w:rsidRDefault="000A5F42" w:rsidP="000A5F42">
      <w:pPr>
        <w:pStyle w:val="NoSpacing"/>
        <w:rPr>
          <w:rFonts w:cstheme="minorHAnsi"/>
          <w:sz w:val="20"/>
          <w:szCs w:val="18"/>
        </w:rPr>
      </w:pPr>
    </w:p>
    <w:p w14:paraId="5D25ED5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30F687F" w14:textId="77777777" w:rsidR="000A5F42" w:rsidRPr="000606CC" w:rsidRDefault="000A5F42" w:rsidP="000A5F42">
      <w:pPr>
        <w:pStyle w:val="NoSpacing"/>
        <w:rPr>
          <w:rFonts w:cstheme="minorHAnsi"/>
          <w:sz w:val="20"/>
          <w:szCs w:val="18"/>
        </w:rPr>
      </w:pPr>
    </w:p>
    <w:p w14:paraId="5128789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8A762B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882FE37" w14:textId="70A0D68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45F67DD" w14:textId="77777777" w:rsidR="000A5F42" w:rsidRPr="000606CC" w:rsidRDefault="000A5F42" w:rsidP="000A5F42">
      <w:pPr>
        <w:pStyle w:val="NoSpacing"/>
        <w:rPr>
          <w:rFonts w:cstheme="minorHAnsi"/>
          <w:sz w:val="20"/>
          <w:szCs w:val="18"/>
        </w:rPr>
      </w:pPr>
    </w:p>
    <w:p w14:paraId="5B2041A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F82AE1A" w14:textId="592F2E2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35E1BD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C6020B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ED4CD9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4E13A3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F83D1CE" w14:textId="77777777" w:rsidR="000A5F42" w:rsidRPr="000606CC" w:rsidRDefault="000A5F42" w:rsidP="000A5F42">
      <w:pPr>
        <w:pStyle w:val="NoSpacing"/>
        <w:rPr>
          <w:rStyle w:val="Strong"/>
          <w:rFonts w:cstheme="minorHAnsi"/>
          <w:sz w:val="20"/>
          <w:szCs w:val="18"/>
        </w:rPr>
      </w:pPr>
    </w:p>
    <w:p w14:paraId="7F14CD1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C0CAB91" w14:textId="77777777" w:rsidR="000A5F42" w:rsidRPr="000606CC" w:rsidRDefault="000A5F42" w:rsidP="000A5F42">
      <w:pPr>
        <w:pStyle w:val="NoSpacing"/>
        <w:rPr>
          <w:rStyle w:val="Strong"/>
          <w:rFonts w:cstheme="minorHAnsi"/>
          <w:sz w:val="20"/>
          <w:szCs w:val="18"/>
        </w:rPr>
      </w:pPr>
    </w:p>
    <w:p w14:paraId="6D1ECD23" w14:textId="0A516C5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1B0B465" w14:textId="77777777" w:rsidR="000A5F42" w:rsidRPr="000606CC" w:rsidRDefault="000A5F42" w:rsidP="000A5F42">
      <w:pPr>
        <w:pStyle w:val="NoSpacing"/>
        <w:rPr>
          <w:rStyle w:val="URI"/>
          <w:rFonts w:cstheme="minorHAnsi"/>
          <w:sz w:val="20"/>
          <w:szCs w:val="18"/>
        </w:rPr>
      </w:pPr>
    </w:p>
    <w:p w14:paraId="03056A20" w14:textId="2868C45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01C50287"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23048" w14:textId="77777777" w:rsidR="00367FE9" w:rsidRDefault="00367FE9" w:rsidP="00E54DBA">
      <w:r>
        <w:separator/>
      </w:r>
    </w:p>
    <w:p w14:paraId="05C2E58B" w14:textId="77777777" w:rsidR="00367FE9" w:rsidRDefault="00367FE9"/>
    <w:p w14:paraId="20ECBF7E" w14:textId="77777777" w:rsidR="00367FE9" w:rsidRDefault="00367FE9" w:rsidP="008714B0"/>
  </w:endnote>
  <w:endnote w:type="continuationSeparator" w:id="0">
    <w:p w14:paraId="4CF699DD" w14:textId="77777777" w:rsidR="00367FE9" w:rsidRDefault="00367FE9" w:rsidP="00E54DBA">
      <w:r>
        <w:continuationSeparator/>
      </w:r>
    </w:p>
    <w:p w14:paraId="2B79A21B" w14:textId="77777777" w:rsidR="00367FE9" w:rsidRDefault="00367FE9"/>
    <w:p w14:paraId="744CB215" w14:textId="77777777" w:rsidR="00367FE9" w:rsidRDefault="00367FE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B354" w14:textId="16A52861" w:rsidR="00367FE9" w:rsidRPr="0042435E" w:rsidRDefault="00367FE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611E8">
      <w:rPr>
        <w:noProof/>
        <w:sz w:val="18"/>
      </w:rPr>
      <w:t>17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611E8">
      <w:rPr>
        <w:noProof/>
        <w:sz w:val="18"/>
      </w:rPr>
      <w:t>20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F065F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611E8">
      <w:rPr>
        <w:sz w:val="18"/>
      </w:rPr>
      <w:t>https://doi.org/10.33321/cdi.2020.44.67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0C403B">
      <w:rPr>
        <w:sz w:val="18"/>
      </w:rPr>
      <w:t>17/8/2020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7ABD" w14:textId="4F4D65C6" w:rsidR="00367FE9" w:rsidRPr="00BB5378" w:rsidRDefault="00367FE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611E8">
      <w:rPr>
        <w:noProof/>
        <w:sz w:val="18"/>
      </w:rPr>
      <w:t>18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611E8">
      <w:rPr>
        <w:noProof/>
        <w:sz w:val="18"/>
      </w:rPr>
      <w:t>20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F065F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611E8">
      <w:rPr>
        <w:sz w:val="18"/>
      </w:rPr>
      <w:t>https://doi.org/10.33321/cdi.2020.44.67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0C403B">
      <w:rPr>
        <w:sz w:val="18"/>
      </w:rPr>
      <w:t>17/8/2020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F31FF" w14:textId="77777777" w:rsidR="00367FE9" w:rsidRDefault="00367FE9" w:rsidP="00E54DBA">
      <w:r>
        <w:separator/>
      </w:r>
    </w:p>
  </w:footnote>
  <w:footnote w:type="continuationSeparator" w:id="0">
    <w:p w14:paraId="7A208E71" w14:textId="77777777" w:rsidR="00367FE9" w:rsidRDefault="00367FE9" w:rsidP="00E54DBA">
      <w:r>
        <w:continuationSeparator/>
      </w:r>
    </w:p>
  </w:footnote>
  <w:footnote w:type="continuationNotice" w:id="1">
    <w:p w14:paraId="454E9AEE" w14:textId="77777777" w:rsidR="00367FE9" w:rsidRPr="00224EFF" w:rsidRDefault="00367FE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5B614" w14:textId="77777777" w:rsidR="00367FE9" w:rsidRPr="00A153B6" w:rsidRDefault="00794F8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67FE9">
          <w:t>Original article</w:t>
        </w:r>
      </w:sdtContent>
    </w:sdt>
    <w:r w:rsidR="00367FE9">
      <w:ptab w:relativeTo="margin" w:alignment="right" w:leader="none"/>
    </w:r>
    <w:r w:rsidR="00367FE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BF2C6" w14:textId="77777777" w:rsidR="007E6560" w:rsidRPr="00A153B6" w:rsidRDefault="00794F8D" w:rsidP="00A153B6">
    <w:pPr>
      <w:pStyle w:val="Header"/>
      <w:pBdr>
        <w:bottom w:val="single" w:sz="6" w:space="1" w:color="auto"/>
      </w:pBdr>
    </w:pPr>
    <w:sdt>
      <w:sdtPr>
        <w:alias w:val="Category"/>
        <w:tag w:val=""/>
        <w:id w:val="837817533"/>
        <w:dataBinding w:prefixMappings="xmlns:ns0='http://purl.org/dc/elements/1.1/' xmlns:ns1='http://schemas.openxmlformats.org/package/2006/metadata/core-properties' " w:xpath="/ns1:coreProperties[1]/ns1:category[1]" w:storeItemID="{6C3C8BC8-F283-45AE-878A-BAB7291924A1}"/>
        <w:text/>
      </w:sdtPr>
      <w:sdtEndPr/>
      <w:sdtContent>
        <w:r w:rsidR="007E6560">
          <w:t>Original article</w:t>
        </w:r>
      </w:sdtContent>
    </w:sdt>
    <w:r w:rsidR="007E6560">
      <w:ptab w:relativeTo="margin" w:alignment="right" w:leader="none"/>
    </w:r>
    <w:r w:rsidR="007E6560"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B285" w14:textId="77777777" w:rsidR="00367FE9" w:rsidRPr="000A5F42" w:rsidRDefault="00367FE9" w:rsidP="000A5F42">
    <w:pPr>
      <w:pStyle w:val="Header"/>
      <w:jc w:val="center"/>
      <w:rPr>
        <w:b/>
      </w:rPr>
    </w:pPr>
    <w:r w:rsidRPr="00E810C5">
      <w:rPr>
        <w:rFonts w:cs="Myriad Pro"/>
        <w:noProof/>
        <w:color w:val="211D1E"/>
        <w:sz w:val="16"/>
      </w:rPr>
      <w:drawing>
        <wp:inline distT="0" distB="0" distL="0" distR="0" wp14:anchorId="2DFBCDB2" wp14:editId="300F00C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6C0"/>
    <w:multiLevelType w:val="hybridMultilevel"/>
    <w:tmpl w:val="7576C0B8"/>
    <w:lvl w:ilvl="0" w:tplc="43FEFCCA">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5952C7"/>
    <w:multiLevelType w:val="hybridMultilevel"/>
    <w:tmpl w:val="B00EB0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1E7997"/>
    <w:multiLevelType w:val="hybridMultilevel"/>
    <w:tmpl w:val="C30C4A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C5047A"/>
    <w:multiLevelType w:val="hybridMultilevel"/>
    <w:tmpl w:val="E9421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A263DFF"/>
    <w:multiLevelType w:val="multilevel"/>
    <w:tmpl w:val="22A22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7998652">
    <w:abstractNumId w:val="2"/>
  </w:num>
  <w:num w:numId="2" w16cid:durableId="719210385">
    <w:abstractNumId w:val="4"/>
  </w:num>
  <w:num w:numId="3" w16cid:durableId="1899901946">
    <w:abstractNumId w:val="5"/>
  </w:num>
  <w:num w:numId="4" w16cid:durableId="994534387">
    <w:abstractNumId w:val="1"/>
  </w:num>
  <w:num w:numId="5" w16cid:durableId="185288373">
    <w:abstractNumId w:val="9"/>
  </w:num>
  <w:num w:numId="6" w16cid:durableId="1857423425">
    <w:abstractNumId w:val="10"/>
  </w:num>
  <w:num w:numId="7" w16cid:durableId="226695138">
    <w:abstractNumId w:val="8"/>
  </w:num>
  <w:num w:numId="8" w16cid:durableId="1571454527">
    <w:abstractNumId w:val="7"/>
  </w:num>
  <w:num w:numId="9" w16cid:durableId="1622758794">
    <w:abstractNumId w:val="0"/>
  </w:num>
  <w:num w:numId="10" w16cid:durableId="625816079">
    <w:abstractNumId w:val="6"/>
  </w:num>
  <w:num w:numId="11" w16cid:durableId="690182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C17"/>
    <w:rsid w:val="00000B5B"/>
    <w:rsid w:val="00001611"/>
    <w:rsid w:val="00002F0B"/>
    <w:rsid w:val="000104A8"/>
    <w:rsid w:val="0001246E"/>
    <w:rsid w:val="000124B1"/>
    <w:rsid w:val="00016FE6"/>
    <w:rsid w:val="00031064"/>
    <w:rsid w:val="00031692"/>
    <w:rsid w:val="00032531"/>
    <w:rsid w:val="00034A58"/>
    <w:rsid w:val="000471BF"/>
    <w:rsid w:val="00047B68"/>
    <w:rsid w:val="00052600"/>
    <w:rsid w:val="000542E4"/>
    <w:rsid w:val="0005643C"/>
    <w:rsid w:val="00057F94"/>
    <w:rsid w:val="0006264A"/>
    <w:rsid w:val="00073D77"/>
    <w:rsid w:val="00077AF6"/>
    <w:rsid w:val="00081655"/>
    <w:rsid w:val="000864E0"/>
    <w:rsid w:val="000969B3"/>
    <w:rsid w:val="000A5606"/>
    <w:rsid w:val="000A5F42"/>
    <w:rsid w:val="000C403B"/>
    <w:rsid w:val="000D4B4D"/>
    <w:rsid w:val="000E4F38"/>
    <w:rsid w:val="00113D58"/>
    <w:rsid w:val="001200CB"/>
    <w:rsid w:val="0012166C"/>
    <w:rsid w:val="001378A3"/>
    <w:rsid w:val="00144EA8"/>
    <w:rsid w:val="00155582"/>
    <w:rsid w:val="00161590"/>
    <w:rsid w:val="00162373"/>
    <w:rsid w:val="00167BD2"/>
    <w:rsid w:val="00171CC0"/>
    <w:rsid w:val="00175494"/>
    <w:rsid w:val="00175629"/>
    <w:rsid w:val="00182677"/>
    <w:rsid w:val="001830EC"/>
    <w:rsid w:val="00183534"/>
    <w:rsid w:val="001A4A96"/>
    <w:rsid w:val="001A5D05"/>
    <w:rsid w:val="001A796C"/>
    <w:rsid w:val="001B05FC"/>
    <w:rsid w:val="001B2614"/>
    <w:rsid w:val="001B37B8"/>
    <w:rsid w:val="001B552F"/>
    <w:rsid w:val="001C0893"/>
    <w:rsid w:val="001C1303"/>
    <w:rsid w:val="001C70B2"/>
    <w:rsid w:val="001D37C7"/>
    <w:rsid w:val="001D6888"/>
    <w:rsid w:val="001E3A51"/>
    <w:rsid w:val="00202FA0"/>
    <w:rsid w:val="0020630A"/>
    <w:rsid w:val="00215500"/>
    <w:rsid w:val="00224EFF"/>
    <w:rsid w:val="0022662D"/>
    <w:rsid w:val="002276DC"/>
    <w:rsid w:val="00227E00"/>
    <w:rsid w:val="002307CB"/>
    <w:rsid w:val="00231046"/>
    <w:rsid w:val="00234F21"/>
    <w:rsid w:val="00242659"/>
    <w:rsid w:val="002428F7"/>
    <w:rsid w:val="0024315F"/>
    <w:rsid w:val="00252C9A"/>
    <w:rsid w:val="00256309"/>
    <w:rsid w:val="00257484"/>
    <w:rsid w:val="00260636"/>
    <w:rsid w:val="00275C78"/>
    <w:rsid w:val="0027735D"/>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09F3"/>
    <w:rsid w:val="00301626"/>
    <w:rsid w:val="003059EC"/>
    <w:rsid w:val="00316CCD"/>
    <w:rsid w:val="00324F7E"/>
    <w:rsid w:val="003323BC"/>
    <w:rsid w:val="00346D42"/>
    <w:rsid w:val="00346E11"/>
    <w:rsid w:val="003601C0"/>
    <w:rsid w:val="003635F5"/>
    <w:rsid w:val="00367FE9"/>
    <w:rsid w:val="00370B39"/>
    <w:rsid w:val="00372A88"/>
    <w:rsid w:val="00381A0F"/>
    <w:rsid w:val="003A1B3A"/>
    <w:rsid w:val="003A40F5"/>
    <w:rsid w:val="003B5B8C"/>
    <w:rsid w:val="003C2E29"/>
    <w:rsid w:val="003D79B1"/>
    <w:rsid w:val="003E6CDA"/>
    <w:rsid w:val="003E74EE"/>
    <w:rsid w:val="003F0552"/>
    <w:rsid w:val="003F3BC2"/>
    <w:rsid w:val="00401ED1"/>
    <w:rsid w:val="0040224C"/>
    <w:rsid w:val="00413EE1"/>
    <w:rsid w:val="004164BB"/>
    <w:rsid w:val="00421ECE"/>
    <w:rsid w:val="00422A01"/>
    <w:rsid w:val="00422FEB"/>
    <w:rsid w:val="0042435E"/>
    <w:rsid w:val="004315F5"/>
    <w:rsid w:val="00433456"/>
    <w:rsid w:val="00433DFA"/>
    <w:rsid w:val="00435D67"/>
    <w:rsid w:val="00443B1C"/>
    <w:rsid w:val="00450689"/>
    <w:rsid w:val="004611E8"/>
    <w:rsid w:val="00464A58"/>
    <w:rsid w:val="00473D2D"/>
    <w:rsid w:val="004838D2"/>
    <w:rsid w:val="004A2125"/>
    <w:rsid w:val="004A38F6"/>
    <w:rsid w:val="004B4EB6"/>
    <w:rsid w:val="004C083C"/>
    <w:rsid w:val="004C67C6"/>
    <w:rsid w:val="004D29DE"/>
    <w:rsid w:val="004F2B64"/>
    <w:rsid w:val="00510EAC"/>
    <w:rsid w:val="00514446"/>
    <w:rsid w:val="00542A57"/>
    <w:rsid w:val="00565974"/>
    <w:rsid w:val="00570397"/>
    <w:rsid w:val="005732C0"/>
    <w:rsid w:val="0057336D"/>
    <w:rsid w:val="0057489A"/>
    <w:rsid w:val="00574ACF"/>
    <w:rsid w:val="0057738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0385"/>
    <w:rsid w:val="00656427"/>
    <w:rsid w:val="00660255"/>
    <w:rsid w:val="006770A1"/>
    <w:rsid w:val="00684816"/>
    <w:rsid w:val="006971F3"/>
    <w:rsid w:val="006B4C9F"/>
    <w:rsid w:val="006C15B0"/>
    <w:rsid w:val="006C74A3"/>
    <w:rsid w:val="006D1381"/>
    <w:rsid w:val="006D31BC"/>
    <w:rsid w:val="006E005C"/>
    <w:rsid w:val="006E7943"/>
    <w:rsid w:val="006F24EA"/>
    <w:rsid w:val="006F29B3"/>
    <w:rsid w:val="00704CA9"/>
    <w:rsid w:val="0071048D"/>
    <w:rsid w:val="00710F86"/>
    <w:rsid w:val="007111A8"/>
    <w:rsid w:val="0072561B"/>
    <w:rsid w:val="00731BC3"/>
    <w:rsid w:val="00741192"/>
    <w:rsid w:val="00743A33"/>
    <w:rsid w:val="00746080"/>
    <w:rsid w:val="0075144A"/>
    <w:rsid w:val="00786329"/>
    <w:rsid w:val="00792C7D"/>
    <w:rsid w:val="00794A4D"/>
    <w:rsid w:val="00794F8D"/>
    <w:rsid w:val="007A5234"/>
    <w:rsid w:val="007A6632"/>
    <w:rsid w:val="007B7854"/>
    <w:rsid w:val="007C56A1"/>
    <w:rsid w:val="007C6454"/>
    <w:rsid w:val="007E01E0"/>
    <w:rsid w:val="007E6560"/>
    <w:rsid w:val="007F0B93"/>
    <w:rsid w:val="007F2ECA"/>
    <w:rsid w:val="00811708"/>
    <w:rsid w:val="008153CD"/>
    <w:rsid w:val="00816B90"/>
    <w:rsid w:val="00817799"/>
    <w:rsid w:val="00822053"/>
    <w:rsid w:val="00822F5F"/>
    <w:rsid w:val="00824FD3"/>
    <w:rsid w:val="00826589"/>
    <w:rsid w:val="00834BCC"/>
    <w:rsid w:val="00835F08"/>
    <w:rsid w:val="00850D54"/>
    <w:rsid w:val="008714B0"/>
    <w:rsid w:val="00876331"/>
    <w:rsid w:val="00880726"/>
    <w:rsid w:val="00896608"/>
    <w:rsid w:val="008A3544"/>
    <w:rsid w:val="008B48B8"/>
    <w:rsid w:val="008B5348"/>
    <w:rsid w:val="008B58F8"/>
    <w:rsid w:val="008C0712"/>
    <w:rsid w:val="008C4520"/>
    <w:rsid w:val="008C5212"/>
    <w:rsid w:val="008C5F09"/>
    <w:rsid w:val="008D470F"/>
    <w:rsid w:val="008E0B49"/>
    <w:rsid w:val="008E1F8F"/>
    <w:rsid w:val="008E4768"/>
    <w:rsid w:val="008E5E1C"/>
    <w:rsid w:val="008E761E"/>
    <w:rsid w:val="008F77B3"/>
    <w:rsid w:val="009008F5"/>
    <w:rsid w:val="00904CC1"/>
    <w:rsid w:val="009066AF"/>
    <w:rsid w:val="00912050"/>
    <w:rsid w:val="00912E48"/>
    <w:rsid w:val="00913477"/>
    <w:rsid w:val="00921249"/>
    <w:rsid w:val="0092746F"/>
    <w:rsid w:val="00935DC9"/>
    <w:rsid w:val="009446C0"/>
    <w:rsid w:val="0096082E"/>
    <w:rsid w:val="00961347"/>
    <w:rsid w:val="00967410"/>
    <w:rsid w:val="00967D73"/>
    <w:rsid w:val="00972A79"/>
    <w:rsid w:val="0098119A"/>
    <w:rsid w:val="00984AAF"/>
    <w:rsid w:val="00991B09"/>
    <w:rsid w:val="00993CB2"/>
    <w:rsid w:val="009A16C5"/>
    <w:rsid w:val="009A5166"/>
    <w:rsid w:val="009A76F8"/>
    <w:rsid w:val="009B0422"/>
    <w:rsid w:val="009B2B83"/>
    <w:rsid w:val="009C49F8"/>
    <w:rsid w:val="009D77CC"/>
    <w:rsid w:val="009E084A"/>
    <w:rsid w:val="009E2423"/>
    <w:rsid w:val="009E55D7"/>
    <w:rsid w:val="009F4150"/>
    <w:rsid w:val="009F5665"/>
    <w:rsid w:val="009F5DAD"/>
    <w:rsid w:val="00A01BCA"/>
    <w:rsid w:val="00A10458"/>
    <w:rsid w:val="00A13725"/>
    <w:rsid w:val="00A153B6"/>
    <w:rsid w:val="00A164D5"/>
    <w:rsid w:val="00A273C3"/>
    <w:rsid w:val="00A30C37"/>
    <w:rsid w:val="00A36C65"/>
    <w:rsid w:val="00A41BBE"/>
    <w:rsid w:val="00A45BDD"/>
    <w:rsid w:val="00A46A0A"/>
    <w:rsid w:val="00A553F8"/>
    <w:rsid w:val="00A6708F"/>
    <w:rsid w:val="00A71BF6"/>
    <w:rsid w:val="00A71ED3"/>
    <w:rsid w:val="00A86F9A"/>
    <w:rsid w:val="00AA35E6"/>
    <w:rsid w:val="00AA50B6"/>
    <w:rsid w:val="00AB0910"/>
    <w:rsid w:val="00AB3472"/>
    <w:rsid w:val="00AB4D0A"/>
    <w:rsid w:val="00AD0762"/>
    <w:rsid w:val="00AE4452"/>
    <w:rsid w:val="00AE7C38"/>
    <w:rsid w:val="00B01F99"/>
    <w:rsid w:val="00B02B37"/>
    <w:rsid w:val="00B05276"/>
    <w:rsid w:val="00B132DB"/>
    <w:rsid w:val="00B24FD7"/>
    <w:rsid w:val="00B31427"/>
    <w:rsid w:val="00B33861"/>
    <w:rsid w:val="00B40DE2"/>
    <w:rsid w:val="00B50210"/>
    <w:rsid w:val="00B53955"/>
    <w:rsid w:val="00B6408A"/>
    <w:rsid w:val="00B6521C"/>
    <w:rsid w:val="00B714B8"/>
    <w:rsid w:val="00B82C2C"/>
    <w:rsid w:val="00B8720B"/>
    <w:rsid w:val="00B876EF"/>
    <w:rsid w:val="00BA4697"/>
    <w:rsid w:val="00BB43BA"/>
    <w:rsid w:val="00BB5378"/>
    <w:rsid w:val="00BC0BD3"/>
    <w:rsid w:val="00BC3F24"/>
    <w:rsid w:val="00BD0107"/>
    <w:rsid w:val="00BD6A04"/>
    <w:rsid w:val="00BE0C33"/>
    <w:rsid w:val="00BE262C"/>
    <w:rsid w:val="00BE3426"/>
    <w:rsid w:val="00BE6C3D"/>
    <w:rsid w:val="00C07606"/>
    <w:rsid w:val="00C110DD"/>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C0AC2"/>
    <w:rsid w:val="00CD1A87"/>
    <w:rsid w:val="00CD35F3"/>
    <w:rsid w:val="00CD5C93"/>
    <w:rsid w:val="00CE342B"/>
    <w:rsid w:val="00CF320C"/>
    <w:rsid w:val="00CF3A4B"/>
    <w:rsid w:val="00CF4001"/>
    <w:rsid w:val="00D00BDE"/>
    <w:rsid w:val="00D05837"/>
    <w:rsid w:val="00D12D8A"/>
    <w:rsid w:val="00D13E0C"/>
    <w:rsid w:val="00D25896"/>
    <w:rsid w:val="00D373A1"/>
    <w:rsid w:val="00D37C0F"/>
    <w:rsid w:val="00D45661"/>
    <w:rsid w:val="00D45943"/>
    <w:rsid w:val="00D47D22"/>
    <w:rsid w:val="00D51865"/>
    <w:rsid w:val="00D51D0C"/>
    <w:rsid w:val="00D536E8"/>
    <w:rsid w:val="00D73FB4"/>
    <w:rsid w:val="00D74140"/>
    <w:rsid w:val="00DA2CCE"/>
    <w:rsid w:val="00DA31C2"/>
    <w:rsid w:val="00DA6E56"/>
    <w:rsid w:val="00DB3970"/>
    <w:rsid w:val="00DB6169"/>
    <w:rsid w:val="00DC1B66"/>
    <w:rsid w:val="00DC6705"/>
    <w:rsid w:val="00DD2DE8"/>
    <w:rsid w:val="00DE38B4"/>
    <w:rsid w:val="00DE5D02"/>
    <w:rsid w:val="00E005A9"/>
    <w:rsid w:val="00E1166E"/>
    <w:rsid w:val="00E24DC0"/>
    <w:rsid w:val="00E2519C"/>
    <w:rsid w:val="00E25F2A"/>
    <w:rsid w:val="00E41455"/>
    <w:rsid w:val="00E42AD2"/>
    <w:rsid w:val="00E431A6"/>
    <w:rsid w:val="00E50856"/>
    <w:rsid w:val="00E538CC"/>
    <w:rsid w:val="00E54DBA"/>
    <w:rsid w:val="00E63D7C"/>
    <w:rsid w:val="00E640D5"/>
    <w:rsid w:val="00E66E2E"/>
    <w:rsid w:val="00E67691"/>
    <w:rsid w:val="00E87D5B"/>
    <w:rsid w:val="00E92237"/>
    <w:rsid w:val="00E951EF"/>
    <w:rsid w:val="00E95C25"/>
    <w:rsid w:val="00EA3D54"/>
    <w:rsid w:val="00EA56D9"/>
    <w:rsid w:val="00EA5CE3"/>
    <w:rsid w:val="00EB51C1"/>
    <w:rsid w:val="00EB5AE1"/>
    <w:rsid w:val="00EB5E0B"/>
    <w:rsid w:val="00EC2171"/>
    <w:rsid w:val="00ED442D"/>
    <w:rsid w:val="00ED70C2"/>
    <w:rsid w:val="00EE18FF"/>
    <w:rsid w:val="00EE489F"/>
    <w:rsid w:val="00F0647F"/>
    <w:rsid w:val="00F065FF"/>
    <w:rsid w:val="00F10CE3"/>
    <w:rsid w:val="00F14F3B"/>
    <w:rsid w:val="00F16362"/>
    <w:rsid w:val="00F207C7"/>
    <w:rsid w:val="00F22AF5"/>
    <w:rsid w:val="00F3066D"/>
    <w:rsid w:val="00F33D70"/>
    <w:rsid w:val="00F36B6D"/>
    <w:rsid w:val="00F43FA3"/>
    <w:rsid w:val="00F55648"/>
    <w:rsid w:val="00F70046"/>
    <w:rsid w:val="00F70C9F"/>
    <w:rsid w:val="00F748C2"/>
    <w:rsid w:val="00F76C5C"/>
    <w:rsid w:val="00F81EF3"/>
    <w:rsid w:val="00F84496"/>
    <w:rsid w:val="00F85DCB"/>
    <w:rsid w:val="00F86F9C"/>
    <w:rsid w:val="00F8742F"/>
    <w:rsid w:val="00F90D76"/>
    <w:rsid w:val="00FB28C1"/>
    <w:rsid w:val="00FC002E"/>
    <w:rsid w:val="00FC046B"/>
    <w:rsid w:val="00FC4C23"/>
    <w:rsid w:val="00FC642E"/>
    <w:rsid w:val="00FE2AE4"/>
    <w:rsid w:val="00FE5C17"/>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9795491"/>
  <w15:docId w15:val="{46629497-F22C-48B1-B067-7A6EF290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560"/>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E87D5B"/>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838D2"/>
    <w:rPr>
      <w:sz w:val="16"/>
      <w:szCs w:val="16"/>
    </w:rPr>
  </w:style>
  <w:style w:type="paragraph" w:styleId="CommentText">
    <w:name w:val="annotation text"/>
    <w:basedOn w:val="Normal"/>
    <w:link w:val="CommentTextChar"/>
    <w:uiPriority w:val="99"/>
    <w:semiHidden/>
    <w:unhideWhenUsed/>
    <w:rsid w:val="004838D2"/>
    <w:pPr>
      <w:spacing w:line="240" w:lineRule="auto"/>
    </w:pPr>
    <w:rPr>
      <w:sz w:val="20"/>
      <w:szCs w:val="20"/>
    </w:rPr>
  </w:style>
  <w:style w:type="character" w:customStyle="1" w:styleId="CommentTextChar">
    <w:name w:val="Comment Text Char"/>
    <w:basedOn w:val="DefaultParagraphFont"/>
    <w:link w:val="CommentText"/>
    <w:uiPriority w:val="99"/>
    <w:semiHidden/>
    <w:rsid w:val="004838D2"/>
    <w:rPr>
      <w:sz w:val="20"/>
      <w:szCs w:val="20"/>
    </w:rPr>
  </w:style>
  <w:style w:type="paragraph" w:styleId="CommentSubject">
    <w:name w:val="annotation subject"/>
    <w:basedOn w:val="CommentText"/>
    <w:next w:val="CommentText"/>
    <w:link w:val="CommentSubjectChar"/>
    <w:uiPriority w:val="99"/>
    <w:semiHidden/>
    <w:unhideWhenUsed/>
    <w:rsid w:val="004838D2"/>
    <w:rPr>
      <w:b/>
      <w:bCs/>
    </w:rPr>
  </w:style>
  <w:style w:type="character" w:customStyle="1" w:styleId="CommentSubjectChar">
    <w:name w:val="Comment Subject Char"/>
    <w:basedOn w:val="CommentTextChar"/>
    <w:link w:val="CommentSubject"/>
    <w:uiPriority w:val="99"/>
    <w:semiHidden/>
    <w:rsid w:val="004838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health.gov.au/cdi"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footer" Target="foot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7F471F-3B94-4E9D-89D2-5FD2835F2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7227</Words>
  <Characters>40693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Communicable Diseases Intelligence 2020 - Australian mumps serosurvey 2012–2013: any cause for concern?</vt:lpstr>
    </vt:vector>
  </TitlesOfParts>
  <Company>Australian Government, Department of Health</Company>
  <LinksUpToDate>false</LinksUpToDate>
  <CharactersWithSpaces>47825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mumps serosurvey 2012–2013: any cause for concern?</dc:title>
  <dc:subject>Serosurveillance allows for assessment of population immunity and identification of age cohorts with lower levels of seroprotection and potential susceptibility to infection. This study presents data from a national mumps serosurvey conducted in Australia in 2012–2013, and compares trends with similar national serosurveys conducted in 1997–1998 and 2007–2008.</dc:subject>
  <dc:creator>Cyra Patel;Frank Beard;Alexandra Hendry;Helen Quinn;Aditi Dey;Kristine Macartney;Linda Hueston;Dominic E Dwyer;Peter McIntyre</dc:creator>
  <cp:keywords>mumps; vaccine preventable disease; surveillance; serosurveillance; immunity</cp:keywords>
  <dc:description>© Commonwealth of Australia CC BY-NC-ND ISSN: 2209-6051 (Online)</dc:description>
  <cp:lastPrinted>2018-05-10T02:19:00Z</cp:lastPrinted>
  <dcterms:created xsi:type="dcterms:W3CDTF">2024-08-29T02:56:00Z</dcterms:created>
  <dcterms:modified xsi:type="dcterms:W3CDTF">2024-08-29T02:56:00Z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17/8/2020</vt:lpwstr>
  </property>
  <property fmtid="{D5CDD505-2E9C-101B-9397-08002B2CF9AE}" pid="5" name="DOI">
    <vt:lpwstr>https://doi.org/10.33321/cdi.2020.44.67</vt:lpwstr>
  </property>
</Properties>
</file>