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5E1A4" w14:textId="77777777" w:rsidR="00510214" w:rsidRDefault="00510214" w:rsidP="003C7146">
      <w:pPr>
        <w:pStyle w:val="Title"/>
        <w:rPr>
          <w:sz w:val="24"/>
          <w:szCs w:val="24"/>
        </w:rPr>
      </w:pPr>
      <w:r>
        <w:t xml:space="preserve">Retrospective analysis of multidrug-resistant tuberculosis case notifications in Australia (1999–2018) </w:t>
      </w:r>
    </w:p>
    <w:p w14:paraId="616E1C54" w14:textId="77777777" w:rsidR="00510214" w:rsidRDefault="00510214" w:rsidP="003C7146">
      <w:r>
        <w:t xml:space="preserve">Hendrik S Camphor, Kerri Viney, Ben Polkinghorne, Kate Pennington </w:t>
      </w:r>
    </w:p>
    <w:p w14:paraId="5841B4DB" w14:textId="77777777" w:rsidR="00510214" w:rsidRPr="003C7146" w:rsidRDefault="00510214" w:rsidP="003C7146">
      <w:pPr>
        <w:pStyle w:val="Heading1"/>
      </w:pPr>
      <w:r w:rsidRPr="003C7146">
        <w:t xml:space="preserve">Abstract </w:t>
      </w:r>
    </w:p>
    <w:p w14:paraId="6BC41670" w14:textId="77777777" w:rsidR="00510214" w:rsidRDefault="00510214" w:rsidP="000B1049">
      <w:r>
        <w:t xml:space="preserve">This study describes the epidemiology and treatment outcomes of multidrug-resistant tuberculosis (MDR-TB) cases notified in Australia between 1999 and 2018, and investigates whether current data fields in the national tuberculosis (TB) dataset allow description and measurement of surveillance information pertaining to the diagnosis and clinical management of MDR-TB. In May 2019, de-identified demographic, clinical, laboratory, drug susceptibility, treatment, risk factor and outcome data for all MDR-TB case notifications were extracted from the Australian National Notifiable Disease Surveillance System. The dataset included ten treatment outcome categories, which were aggregated to four categorical outcomes for descriptive and inferential analyses. The majority of cases were overseas-born (91%). Absolute case numbers increased over time; however, the MDR-TB notification rate remained fairly stable during the study period. Treatment success was achieved in nearly two-thirds of cases (62.1%). Whilst timeframes between initial presentation, specimen collection, case notification and treatment commencement were calculated, current data fields in the national dataset precluded measurement and description of other parameters deemed important for MDR-TB surveillance. This study demonstrates that while Australia’s MDR-TB burden is low, cases will continue to occur until TB control improves in countries with which Australia shares cultural and migration links. Australia should continue to support national and regional TB control programmes to sustain progress towards national elimination of TB. This study’s findings support a review of data fields in the national TB dataset with potential expansion or adjustment to improve national data reporting, including the monitoring of evidence-based recommendations for the prevention and management of MDR-TB. </w:t>
      </w:r>
    </w:p>
    <w:p w14:paraId="5C9DC192" w14:textId="77777777" w:rsidR="00510214" w:rsidRDefault="00510214" w:rsidP="000B1049">
      <w:r>
        <w:t xml:space="preserve">Keywords: multidrug-resistant, tuberculosis, Australia, epidemiology, treatment, outcomes, national, dataset </w:t>
      </w:r>
    </w:p>
    <w:p w14:paraId="2B17D3AF" w14:textId="77777777" w:rsidR="00510214" w:rsidRPr="000B1049" w:rsidRDefault="00510214" w:rsidP="000B1049">
      <w:pPr>
        <w:pStyle w:val="Heading1"/>
      </w:pPr>
      <w:r w:rsidRPr="000B1049">
        <w:t xml:space="preserve">Introduction </w:t>
      </w:r>
    </w:p>
    <w:p w14:paraId="4C20ABA7" w14:textId="77777777" w:rsidR="00510214" w:rsidRDefault="00510214" w:rsidP="000B1049">
      <w:r>
        <w:t>Multidrug-resistant tuberculosis (MDR-TB) is defined as tuberculosis (TB) resistant to at least rifampicin and isoniazid, the two most powerful first-line anti-TB drugs.</w:t>
      </w:r>
      <w:r>
        <w:rPr>
          <w:vertAlign w:val="superscript"/>
        </w:rPr>
        <w:t>1,2</w:t>
      </w:r>
      <w:r>
        <w:t xml:space="preserve"> Globally, 3.5% of new and 18% of previously-treated TB cases in 2017 were classified as MDR-TB. Three countries accounted for almost half of the world’s cases of rifampicin-resistant TB (RR-TB) or MDR-TB: India (24%), China (13%) and the Russian Federation (10%).</w:t>
      </w:r>
      <w:r>
        <w:rPr>
          <w:vertAlign w:val="superscript"/>
        </w:rPr>
        <w:t>3</w:t>
      </w:r>
      <w:r>
        <w:t xml:space="preserve"> Among MDR-TB cases in 2017, approximately 8.5% were estimated to have extensively drug-resistant TB (XDR-TB), a type of MDR-TB resistant to isoniazid, rifampicin, a fluoroquinolone and an injectable second-line drug.</w:t>
      </w:r>
      <w:r>
        <w:rPr>
          <w:vertAlign w:val="superscript"/>
        </w:rPr>
        <w:t>3,4</w:t>
      </w:r>
      <w:r>
        <w:t xml:space="preserve"> Proliferation of MDR-TB and XDR-TB threaten to derail progress towards achieving the goal of ending the global TB epidemic by 2030, as outlined in the World Health Organization’s (WHO) End TB Strategy.</w:t>
      </w:r>
      <w:r>
        <w:rPr>
          <w:vertAlign w:val="superscript"/>
        </w:rPr>
        <w:t>5,6</w:t>
      </w:r>
      <w:r>
        <w:t xml:space="preserve"> </w:t>
      </w:r>
    </w:p>
    <w:p w14:paraId="1C65FFA9" w14:textId="77777777" w:rsidR="00510214" w:rsidRDefault="00510214" w:rsidP="000B1049">
      <w:r>
        <w:t>Tuberculosis incidence rates in Australia are low by global standards, remaining around 5–6 cases per 100,000 per annum since the mid-1980s.</w:t>
      </w:r>
      <w:r>
        <w:rPr>
          <w:vertAlign w:val="superscript"/>
        </w:rPr>
        <w:t>7</w:t>
      </w:r>
      <w:r>
        <w:t xml:space="preserve"> However, further reductions in annual incidence rates (including MDR-TB) have been hampered by an increase in absolute case numbers associated with close geographic proximity to, and migration from high-burden countries in, the Asia-Pacific region.</w:t>
      </w:r>
      <w:r>
        <w:rPr>
          <w:vertAlign w:val="superscript"/>
        </w:rPr>
        <w:t>8</w:t>
      </w:r>
      <w:r>
        <w:t xml:space="preserve"> For example, MDR-TB is prevalent in Papua New Guinea (PNG), including the Western Province neighbouring Australia’s Torres Strait islands,</w:t>
      </w:r>
      <w:r>
        <w:rPr>
          <w:vertAlign w:val="superscript"/>
        </w:rPr>
        <w:t>4,9–11</w:t>
      </w:r>
      <w:r>
        <w:t xml:space="preserve"> with approximately 5% of PNG’s notified cases in 2017 classified as RR-TB or MDR-TB.</w:t>
      </w:r>
      <w:r>
        <w:rPr>
          <w:vertAlign w:val="superscript"/>
        </w:rPr>
        <w:t>3</w:t>
      </w:r>
      <w:r>
        <w:t xml:space="preserve"> </w:t>
      </w:r>
    </w:p>
    <w:p w14:paraId="100DAFA5" w14:textId="77777777" w:rsidR="00510214" w:rsidRDefault="00510214" w:rsidP="000B1049">
      <w:r>
        <w:lastRenderedPageBreak/>
        <w:t>Treatment regimens for MDR-TB and XDR-TB are prolonged, expensive, and are associated with poorer treatment outcomes compared to drug-susceptible TB.</w:t>
      </w:r>
      <w:r>
        <w:rPr>
          <w:vertAlign w:val="superscript"/>
        </w:rPr>
        <w:t>2–4</w:t>
      </w:r>
      <w:r>
        <w:t xml:space="preserve"> Optimising the care and prevention of MDR-TB therefore requires a thorough understanding of the epidemiology and treatment outcomes in the national context. Previous studies have reviewed the epidemiology of MDR-TB in Australia at state and territory levels</w:t>
      </w:r>
      <w:r>
        <w:rPr>
          <w:vertAlign w:val="superscript"/>
        </w:rPr>
        <w:t>12–16</w:t>
      </w:r>
      <w:r>
        <w:t xml:space="preserve"> and nationally, up to 2012.</w:t>
      </w:r>
      <w:r>
        <w:rPr>
          <w:vertAlign w:val="superscript"/>
        </w:rPr>
        <w:t>2,17</w:t>
      </w:r>
      <w:r>
        <w:t xml:space="preserve"> Against the backdrop of the renewed global commitment towards ending the TB epidemic by 2030,</w:t>
      </w:r>
      <w:r>
        <w:rPr>
          <w:vertAlign w:val="superscript"/>
        </w:rPr>
        <w:t xml:space="preserve">5,6,18 </w:t>
      </w:r>
      <w:r>
        <w:t>and eliminating TB in low-incidence countries such as Australia,</w:t>
      </w:r>
      <w:r>
        <w:rPr>
          <w:vertAlign w:val="superscript"/>
        </w:rPr>
        <w:t>19</w:t>
      </w:r>
      <w:r>
        <w:t xml:space="preserve"> this study provides an updated description of the epidemiology and treatment outcomes of MDR-TB cases notified in Australia from 1999 to 2018, and examines whether previously-identified trends of MDR-TB have continued. </w:t>
      </w:r>
    </w:p>
    <w:p w14:paraId="7817F7B9" w14:textId="77777777" w:rsidR="00510214" w:rsidRDefault="00510214" w:rsidP="000B1049">
      <w:r>
        <w:t>Australia has committed to annually providing national TB data to WHO to fulfil international data reporting requirements to monitor global TB control efforts.</w:t>
      </w:r>
      <w:r>
        <w:rPr>
          <w:vertAlign w:val="superscript"/>
        </w:rPr>
        <w:t>20</w:t>
      </w:r>
      <w:r>
        <w:t xml:space="preserve"> Therefore, a secondary objective of this study was to investigate whether current data fields in the national core and enhanced TB dataset of the Australian National Notifiable Disease Surveillance System (NNDSS) allow for description and measurement of surveillance information pertaining to the diagnosis and clinical management of MDR-TB. This includes timeframes between: initial presentation and case notification received; case notification and laboratory confirmation of MDR-TB based on phenotypic drug susceptibility testing (DST) or molecular diagnostics; specimen collection and treatment commencement; and case notification and treatment commencement. Other parameters of interest are distinction between primary acquisitions of a resistant strain versus development of drug resistance during TB treatment; the duration and type of treatment regimens initiated; and changes in treatment regimens over time. </w:t>
      </w:r>
    </w:p>
    <w:p w14:paraId="4A87698B" w14:textId="77777777" w:rsidR="00510214" w:rsidRDefault="00510214">
      <w:pPr>
        <w:pStyle w:val="Heading1"/>
        <w:rPr>
          <w:rFonts w:eastAsia="Times New Roman"/>
        </w:rPr>
      </w:pPr>
      <w:r>
        <w:rPr>
          <w:rFonts w:eastAsia="Times New Roman"/>
        </w:rPr>
        <w:t xml:space="preserve">Methods </w:t>
      </w:r>
    </w:p>
    <w:p w14:paraId="47E8E4B8" w14:textId="77777777" w:rsidR="00510214" w:rsidRDefault="00510214">
      <w:pPr>
        <w:pStyle w:val="NormalWeb"/>
      </w:pPr>
      <w:r>
        <w:t xml:space="preserve">In May 2019, de-identified demographic, clinical, laboratory, drug susceptibility, treatment, risk factor and outcome data for all TB case notifications in the core and enhanced TB dataset were extracted from the NNDSS. All MDR-TB cases with a notification received date between 1 January 1999 and 31 December 2018 were included in the analysis. The NNDSS dataset classified ten treatment outcome categories: </w:t>
      </w:r>
      <w:r w:rsidRPr="00E2179E">
        <w:rPr>
          <w:rStyle w:val="Emphasis"/>
          <w:b w:val="0"/>
        </w:rPr>
        <w:t>cured; completed treatment; still under treatment; interrupted treatment; lost to follow-up; case transferred overseas; treatment failure; died of TB; died of another cause</w:t>
      </w:r>
      <w:r>
        <w:t xml:space="preserve">; or </w:t>
      </w:r>
      <w:r w:rsidRPr="00E2179E">
        <w:rPr>
          <w:rStyle w:val="Emphasis"/>
          <w:b w:val="0"/>
        </w:rPr>
        <w:t>unknown</w:t>
      </w:r>
      <w:r>
        <w:t>. For descriptive analyses, these treatment outcomes were then aggregated to four categorical outcomes (</w:t>
      </w:r>
      <w:r w:rsidRPr="00E2179E">
        <w:rPr>
          <w:rStyle w:val="Emphasis"/>
          <w:b w:val="0"/>
        </w:rPr>
        <w:t>treatment success, no treatment success, treatment outcome unknown,</w:t>
      </w:r>
      <w:r>
        <w:t xml:space="preserve"> or </w:t>
      </w:r>
      <w:r w:rsidRPr="00E2179E">
        <w:rPr>
          <w:rStyle w:val="Emphasis"/>
          <w:b w:val="0"/>
        </w:rPr>
        <w:t>still under treatment)</w:t>
      </w:r>
      <w:r>
        <w:t>. A binary categorical outcome (</w:t>
      </w:r>
      <w:r w:rsidRPr="00E2179E">
        <w:rPr>
          <w:rStyle w:val="Emphasis"/>
          <w:b w:val="0"/>
        </w:rPr>
        <w:t>treatment success</w:t>
      </w:r>
      <w:r>
        <w:t xml:space="preserve"> or </w:t>
      </w:r>
      <w:r w:rsidRPr="00E2179E">
        <w:rPr>
          <w:rStyle w:val="Emphasis"/>
          <w:b w:val="0"/>
        </w:rPr>
        <w:t>no treatment success</w:t>
      </w:r>
      <w:r>
        <w:t>) was used for inferential analyses, with remaining treatment outcomes excluded (Figure 1). Cases were classified by treatment outcome and demographic, clinical (pulmonary or extra-pulmonary TB, as per WHO definitions),</w:t>
      </w:r>
      <w:r>
        <w:rPr>
          <w:vertAlign w:val="superscript"/>
        </w:rPr>
        <w:t>21</w:t>
      </w:r>
      <w:r>
        <w:t xml:space="preserve"> laboratory, treatment, drug resistance profile and risk factors for TB acquisition. Where feasible, timeframes pertaining to diagnosis and clinical management were calculated. Data cleaning and statistical analysis were performed in </w:t>
      </w:r>
      <w:proofErr w:type="spellStart"/>
      <w:r>
        <w:t>Stata</w:t>
      </w:r>
      <w:r>
        <w:rPr>
          <w:vertAlign w:val="superscript"/>
        </w:rPr>
        <w:t>TM</w:t>
      </w:r>
      <w:proofErr w:type="spellEnd"/>
      <w:r>
        <w:t xml:space="preserve"> version 13.</w:t>
      </w:r>
      <w:r>
        <w:rPr>
          <w:vertAlign w:val="superscript"/>
        </w:rPr>
        <w:t>22</w:t>
      </w:r>
      <w:r>
        <w:t xml:space="preserve"> Categorical data were compared using Fisher’s exact test, and continuous variables were compared using the Mann-Whitney U-test, with two-tailed </w:t>
      </w:r>
      <w:r w:rsidRPr="00E2179E">
        <w:rPr>
          <w:rStyle w:val="Emphasis"/>
          <w:b w:val="0"/>
        </w:rPr>
        <w:t xml:space="preserve">p </w:t>
      </w:r>
      <w:r>
        <w:t xml:space="preserve">values &lt; 0.05 considered statistically significant. For univariable analysis we calculated odds ratios (OR) and 95% confidence intervals (CIs) to identify possible associations between treatment success and demographic, clinical, treatment, drug resistance and risk factors for TB acquisition. Multivariable analysis employed stepwise logistic regression, with treatment success as the dependent variable, and exposure variables with a </w:t>
      </w:r>
      <w:r w:rsidRPr="00E2179E">
        <w:rPr>
          <w:rStyle w:val="Emphasis"/>
          <w:b w:val="0"/>
        </w:rPr>
        <w:t xml:space="preserve">p </w:t>
      </w:r>
      <w:r>
        <w:t>value &lt; 0.25 on univariable analysis included as independent variables, and excluded from the multivariable models in a backwards step-wise fashion. The study protocol was approved by the Science and Medical Delegated Ethics Review Committee of the Australian National University (Protocol number: 2019/217).</w:t>
      </w:r>
    </w:p>
    <w:p w14:paraId="4C9B3DE9" w14:textId="77777777" w:rsidR="00AC294D" w:rsidRDefault="00AC294D" w:rsidP="00CA3F79">
      <w:pPr>
        <w:pStyle w:val="CDIFigures"/>
        <w:sectPr w:rsidR="00AC294D"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7AA2F007" w14:textId="77777777" w:rsidR="00510214" w:rsidRDefault="00510214" w:rsidP="00CA3F79">
      <w:pPr>
        <w:pStyle w:val="CDIFigures"/>
      </w:pPr>
      <w:r>
        <w:lastRenderedPageBreak/>
        <w:t>Figure 1: Reclassification of treatment outcomes for multidrug-resistant tuberculosis case notifications in Australia, 1999–2018</w:t>
      </w:r>
    </w:p>
    <w:p w14:paraId="57DF3B52" w14:textId="77777777" w:rsidR="00510214" w:rsidRDefault="00510214" w:rsidP="004565BD">
      <w:pPr>
        <w:pStyle w:val="NormalWeb"/>
        <w:jc w:val="center"/>
      </w:pPr>
      <w:r>
        <w:rPr>
          <w:noProof/>
        </w:rPr>
        <w:drawing>
          <wp:inline distT="0" distB="0" distL="0" distR="0" wp14:anchorId="1338F4CC" wp14:editId="0B13FDAB">
            <wp:extent cx="5022689" cy="4754487"/>
            <wp:effectExtent l="0" t="0" r="6985" b="8255"/>
            <wp:docPr id="3" name="Picture 3" descr="This is a flowchart depicting the reclassification of treatment outcomes for multidrug-resistant tuberculosis (MDR-TB) case notifications in the Australian national TB dataset. There were 375 MDR-TB case notifications in the dataset between 1999 and 2018, classified into ten treatment outcome categories: cured; completed treatment; still under treatment; interrupted treatment; lost to follow-up; case transferred overseas; treatment failure; died of TB; died of another cause; or unknown. For descriptive analyses, these treatment outcomes were then aggregated to four categorical outcomes (including all 375 cases), namely: treatment success (a composite of cured and completed treatment) (sub-total: 233 cases); no treatment success (a composite of treatment failure and died of TB) (sub-total: 18 cases); still under treatment (sub-total: 40 cases); and treatment outcome unknown (a composite of interrupted treatment; lost to follow-up; case transferred overseas; died of another cause; and unknown) (sub-total: 84 cases). The aggregated outcomes of Treatment success and No treatment success were used for inferential analyses (total: 251 ca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is a flowchart depicting the reclassification of treatment outcomes for multidrug-resistant tuberculosis (MDR-TB) case notifications in the Australian national TB dataset. There were 375 MDR-TB case notifications in the dataset between 1999 and 2018, classified into ten treatment outcome categories: cured; completed treatment; still under treatment; interrupted treatment; lost to follow-up; case transferred overseas; treatment failure; died of TB; died of another cause; or unknown. For descriptive analyses, these treatment outcomes were then aggregated to four categorical outcomes (including all 375 cases), namely: treatment success (a composite of cured and completed treatment) (sub-total: 233 cases); no treatment success (a composite of treatment failure and died of TB) (sub-total: 18 cases); still under treatment (sub-total: 40 cases); and treatment outcome unknown (a composite of interrupted treatment; lost to follow-up; case transferred overseas; died of another cause; and unknown) (sub-total: 84 cases). The aggregated outcomes of Treatment success and No treatment success were used for inferential analyses (total: 251 cases). "/>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022689" cy="4754487"/>
                    </a:xfrm>
                    <a:prstGeom prst="rect">
                      <a:avLst/>
                    </a:prstGeom>
                  </pic:spPr>
                </pic:pic>
              </a:graphicData>
            </a:graphic>
          </wp:inline>
        </w:drawing>
      </w:r>
    </w:p>
    <w:p w14:paraId="29F39F84" w14:textId="77777777" w:rsidR="00510214" w:rsidRDefault="00510214">
      <w:pPr>
        <w:pStyle w:val="Heading1"/>
        <w:rPr>
          <w:rFonts w:eastAsia="Times New Roman"/>
        </w:rPr>
      </w:pPr>
      <w:r>
        <w:rPr>
          <w:rFonts w:eastAsia="Times New Roman"/>
        </w:rPr>
        <w:t xml:space="preserve">Results </w:t>
      </w:r>
    </w:p>
    <w:p w14:paraId="023B65EC" w14:textId="77777777" w:rsidR="00510214" w:rsidRDefault="00510214">
      <w:pPr>
        <w:pStyle w:val="Heading2"/>
        <w:rPr>
          <w:rFonts w:eastAsia="Times New Roman"/>
        </w:rPr>
      </w:pPr>
      <w:r>
        <w:rPr>
          <w:rFonts w:eastAsia="Times New Roman"/>
        </w:rPr>
        <w:t xml:space="preserve">Descriptive epidemiology </w:t>
      </w:r>
    </w:p>
    <w:p w14:paraId="3BC1AF7B" w14:textId="25AFC7B6" w:rsidR="00510214" w:rsidRDefault="00510214">
      <w:pPr>
        <w:pStyle w:val="NormalWeb"/>
      </w:pPr>
      <w:r>
        <w:t>Between 1999 and 2018, there were 375 MDR-TB case notifications, representing 1.5% of all nationally notified TB cases (n = 24,443) in Australia. MDR-TB cases represented the majority (n = 375/430</w:t>
      </w:r>
      <w:r w:rsidR="004E36B8">
        <w:t xml:space="preserve">; </w:t>
      </w:r>
      <w:r>
        <w:t>87%) of all notifications reporting rifampicin resistance. Of these, seven cases were classified as XDR-TB (1.9% of MDR-TB, and 0.03% of all TB case notifications, respectively). Annual MDR-TB case numbers increased over the study period, with a median of 21 cases notified per year across Australia (range: 5–31). The median annual incidence rate was 0.09 MDR-TB cases per 100,000 population per year (range: 0.03–0.14), compared to 5.7 cases per 100,000 population per year for all TB case notifications (range: 5.0–6.2) (Figure 2). The majority of cases (n = 290</w:t>
      </w:r>
      <w:r w:rsidR="004E36B8">
        <w:t>;</w:t>
      </w:r>
      <w:r>
        <w:t>77.3%), were classified as new, i.e. never treated or treated for less than one month, whereas 14.1% (n = 53) were relapsed cases who received full or partial treatment overseas, followed by relapsed cases following full treatment in Australia (n = 14</w:t>
      </w:r>
      <w:r w:rsidR="004E36B8">
        <w:t xml:space="preserve">; </w:t>
      </w:r>
      <w:r>
        <w:t>3.7%).</w:t>
      </w:r>
    </w:p>
    <w:p w14:paraId="1075C3A0" w14:textId="77777777" w:rsidR="00F24791" w:rsidRDefault="00F24791">
      <w:pPr>
        <w:pStyle w:val="NormalWeb"/>
        <w:sectPr w:rsidR="00F24791" w:rsidSect="00A30C37">
          <w:pgSz w:w="11906" w:h="16838"/>
          <w:pgMar w:top="720" w:right="720" w:bottom="1134" w:left="720" w:header="709" w:footer="284" w:gutter="0"/>
          <w:cols w:space="708"/>
          <w:titlePg/>
          <w:docGrid w:linePitch="360"/>
        </w:sectPr>
      </w:pPr>
    </w:p>
    <w:p w14:paraId="10DE959D" w14:textId="77777777" w:rsidR="00510214" w:rsidRDefault="00510214" w:rsidP="00F24791">
      <w:pPr>
        <w:pStyle w:val="CDIFigures"/>
      </w:pPr>
      <w:r>
        <w:lastRenderedPageBreak/>
        <w:t>Figure 2: Multidrug-resistant tuberculosis case notifications in Australia, by country of birth (1999–2018), and notification rate per 100,000 population of all tuberculosis and multidrug-resistant tuberculosis cases</w:t>
      </w:r>
    </w:p>
    <w:p w14:paraId="461E5C43" w14:textId="77777777" w:rsidR="00510214" w:rsidRDefault="00510214">
      <w:pPr>
        <w:rPr>
          <w:rFonts w:eastAsia="Times New Roman"/>
        </w:rPr>
      </w:pPr>
      <w:r>
        <w:rPr>
          <w:rFonts w:eastAsia="Times New Roman"/>
          <w:noProof/>
        </w:rPr>
        <w:drawing>
          <wp:inline distT="0" distB="0" distL="0" distR="0" wp14:anchorId="763C0F67" wp14:editId="166D293D">
            <wp:extent cx="6625742" cy="4417685"/>
            <wp:effectExtent l="0" t="0" r="3810" b="2540"/>
            <wp:docPr id="2" name="Picture 2" descr="This is a histogram depicting multidrug-resistant case notifications in Australia, by country of birth (1999–2018), and notification rate per 100,000 population of all tuberculosis and multidrug-resistant tuberculosis cases. Annual MDR-TB case numbers increased over the study period, with a median of 21 cases notified per year across Australia (range: 5–31). The median annual incidence rate was 0.09 MDR-TB cases per 100,000 population per year (range: 0.03–0.14), compared to 5.7 cases per 100,000 population per year for all TB case notifications (range: 5.0–6.2). The five most commonly reported countries of birth were PNG (n = 75, 20%), India (n = 51, 13.6%), Vietnam (n = 48, 12.8%), the People’s Republic of China (n = 33, 8.8%), and the Philippines (n = 24,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s is a histogram depicting multidrug-resistant case notifications in Australia, by country of birth (1999–2018), and notification rate per 100,000 population of all tuberculosis and multidrug-resistant tuberculosis cases. Annual MDR-TB case numbers increased over the study period, with a median of 21 cases notified per year across Australia (range: 5–31). The median annual incidence rate was 0.09 MDR-TB cases per 100,000 population per year (range: 0.03–0.14), compared to 5.7 cases per 100,000 population per year for all TB case notifications (range: 5.0–6.2). The five most commonly reported countries of birth were PNG (n = 75, 20%), India (n = 51, 13.6%), Vietnam (n = 48, 12.8%), the People’s Republic of China (n = 33, 8.8%), and the Philippines (n = 24,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38488" cy="4426183"/>
                    </a:xfrm>
                    <a:prstGeom prst="rect">
                      <a:avLst/>
                    </a:prstGeom>
                    <a:noFill/>
                    <a:ln>
                      <a:noFill/>
                    </a:ln>
                  </pic:spPr>
                </pic:pic>
              </a:graphicData>
            </a:graphic>
          </wp:inline>
        </w:drawing>
      </w:r>
    </w:p>
    <w:p w14:paraId="15C640F9" w14:textId="77777777" w:rsidR="00510214" w:rsidRDefault="00510214">
      <w:pPr>
        <w:pStyle w:val="NormalWeb"/>
      </w:pPr>
      <w:r>
        <w:t xml:space="preserve">All states and territories reported MDR-TB case notifications. The median age at the time of notification was 31 years (range: 0–84 years). The majority of cases were overseas-born (n = 341; 90.9%). Of the Australian-born cases, 7/34 (20.6%) identified as Aboriginal and/or Torres Strait Islander. The five most commonly reported countries of birth were PNG (n = 75; 20.0%), India (n = 51; 13.6%), Vietnam (n = 48; 12.8%), China (n = 33; 8.8%), and the Philippines (n = 24; 6.4%) (Figure 2). </w:t>
      </w:r>
    </w:p>
    <w:p w14:paraId="71B740A2" w14:textId="77777777" w:rsidR="00510214" w:rsidRDefault="00510214">
      <w:pPr>
        <w:pStyle w:val="NormalWeb"/>
      </w:pPr>
      <w:r>
        <w:t xml:space="preserve">The majority of cases (n = 352; 93.9%) had the date of initial presentation (first health contact for TB-like symptoms, or asymptomatic screening) recorded. The majority of cases were diagnosed after presenting with symptomatic illness (n = 194; 51.7%), followed by asymptomatic screening activities (n = 45; 12.0%). Sputum smear microscopy was reported positive in 40.8% of all cases (n = 153). As for clinical presentation, the majority of cases were diagnosed with pulmonary TB (PTB) (n = 305; 81.3%). Of those with extra-pulmonary TB (EPTB), the most commonly reported forms were tuberculous lymphadenitis (n = 47/70; 67.1%) and pleural TB (n = 9/70; 12.9%). Of the five most commonly reported countries of birth, the highest proportion of pulmonary-only MDR-TB was reported for China (81.8%), the Philippines (79.2%) and Vietnam (72.9%); the highest proportion of extra-pulmonary-only MDR-TB was reported for India (47.1%) and Vietnam (22.9%); and the highest proportion of pulmonary and extra-pulmonary MDR-TB co-infections was reported for PNG (37.3%) and India (11.8%). </w:t>
      </w:r>
    </w:p>
    <w:p w14:paraId="1E377F30" w14:textId="77777777" w:rsidR="00510214" w:rsidRDefault="00510214">
      <w:pPr>
        <w:pStyle w:val="NormalWeb"/>
      </w:pPr>
      <w:r>
        <w:t xml:space="preserve">Only 2.7% of cases (n = 10) were human immunodeficiency virus (HIV) positive; however, HIV status was unknown for 33.6% of cases (n = 126). Of cases with unknown HIV status, 52/126 (41.3%) were tested for HIV, but with results remaining undisclosed, whereas 41/126 (32.5%) had an unknown HIV testing history, and 33/126 (26.2%) were not tested or refused testing. </w:t>
      </w:r>
    </w:p>
    <w:p w14:paraId="5217237C" w14:textId="77777777" w:rsidR="00510214" w:rsidRDefault="00510214">
      <w:pPr>
        <w:pStyle w:val="NormalWeb"/>
      </w:pPr>
      <w:r>
        <w:lastRenderedPageBreak/>
        <w:t>A summary of MDR-TB case notifications by treatment outcomes as per the national TB dataset is provided (Table 1), as well as by selected demographic, clinical, laboratory, TB treatment, drug resistance profile and risk factors for TB acquisition (Table 2).</w:t>
      </w:r>
    </w:p>
    <w:p w14:paraId="5CB93E16" w14:textId="77777777" w:rsidR="00510214" w:rsidRDefault="00510214" w:rsidP="00D11560">
      <w:pPr>
        <w:pStyle w:val="CDIFigures"/>
      </w:pPr>
      <w:r>
        <w:t>Table 1: Multidrug-resistant tuberculosis case notifications in Australia (1999–2018), categorised by treatment outcome, as at May 2019</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his table presents a summary of the 375 MDR-TB case notifications in Australia between 1999 and 2018, classified by the ten treatment outcomes as per the national TB dataset, and four aggregated treatment outcomes as follows: completed treatment (209 cases); cured (24 cases) – aggregated to treatment success (233 cases); died of TB (17 cases); treatment failure (1 case) – aggregated to no treatment success (18 cases); case transferred overseas (56 cases); lost to follow-up (15 cases); unknown (7 cases); died of another cause (4 cases); interrupted treatment (2 cases) – aggregated to treatment outcome unknown (84 cases); and still under treatment (40 cases) – as the final category. "/>
      </w:tblPr>
      <w:tblGrid>
        <w:gridCol w:w="3261"/>
        <w:gridCol w:w="1842"/>
        <w:gridCol w:w="2268"/>
        <w:gridCol w:w="3095"/>
      </w:tblGrid>
      <w:tr w:rsidR="008010AF" w:rsidRPr="008010AF" w14:paraId="68E726EF" w14:textId="77777777" w:rsidTr="006A3885">
        <w:trPr>
          <w:cnfStyle w:val="100000000000" w:firstRow="1" w:lastRow="0" w:firstColumn="0" w:lastColumn="0" w:oddVBand="0" w:evenVBand="0" w:oddHBand="0" w:evenHBand="0" w:firstRowFirstColumn="0" w:firstRowLastColumn="0" w:lastRowFirstColumn="0" w:lastRowLastColumn="0"/>
          <w:tblHeader/>
        </w:trPr>
        <w:tc>
          <w:tcPr>
            <w:tcW w:w="3261" w:type="dxa"/>
            <w:tcBorders>
              <w:right w:val="single" w:sz="2" w:space="0" w:color="FFFFFF" w:themeColor="background1"/>
            </w:tcBorders>
            <w:hideMark/>
          </w:tcPr>
          <w:p w14:paraId="498FBD5D" w14:textId="77777777" w:rsidR="00510214" w:rsidRPr="008010AF" w:rsidRDefault="00510214">
            <w:pPr>
              <w:pStyle w:val="NormalWeb"/>
              <w:rPr>
                <w:color w:val="FFFFFF" w:themeColor="background1"/>
              </w:rPr>
            </w:pPr>
            <w:r w:rsidRPr="008010AF">
              <w:rPr>
                <w:color w:val="FFFFFF" w:themeColor="background1"/>
              </w:rPr>
              <w:t>Treatment outcome in the Australian national TB dataset</w:t>
            </w:r>
          </w:p>
        </w:tc>
        <w:tc>
          <w:tcPr>
            <w:tcW w:w="1842" w:type="dxa"/>
            <w:tcBorders>
              <w:left w:val="single" w:sz="2" w:space="0" w:color="FFFFFF" w:themeColor="background1"/>
              <w:right w:val="single" w:sz="2" w:space="0" w:color="FFFFFF" w:themeColor="background1"/>
            </w:tcBorders>
            <w:hideMark/>
          </w:tcPr>
          <w:p w14:paraId="2A607DCA" w14:textId="77777777" w:rsidR="00510214" w:rsidRPr="008010AF" w:rsidRDefault="00510214" w:rsidP="00A22473">
            <w:pPr>
              <w:pStyle w:val="NormalWeb"/>
              <w:jc w:val="center"/>
              <w:rPr>
                <w:color w:val="FFFFFF" w:themeColor="background1"/>
              </w:rPr>
            </w:pPr>
            <w:r w:rsidRPr="008010AF">
              <w:rPr>
                <w:color w:val="FFFFFF" w:themeColor="background1"/>
              </w:rPr>
              <w:t>Number (n)</w:t>
            </w:r>
          </w:p>
        </w:tc>
        <w:tc>
          <w:tcPr>
            <w:tcW w:w="2268" w:type="dxa"/>
            <w:tcBorders>
              <w:left w:val="single" w:sz="2" w:space="0" w:color="FFFFFF" w:themeColor="background1"/>
              <w:right w:val="single" w:sz="2" w:space="0" w:color="FFFFFF" w:themeColor="background1"/>
            </w:tcBorders>
            <w:hideMark/>
          </w:tcPr>
          <w:p w14:paraId="52C68287" w14:textId="77777777" w:rsidR="00510214" w:rsidRPr="008010AF" w:rsidRDefault="00510214" w:rsidP="00A22473">
            <w:pPr>
              <w:pStyle w:val="NormalWeb"/>
              <w:jc w:val="center"/>
              <w:rPr>
                <w:color w:val="FFFFFF" w:themeColor="background1"/>
              </w:rPr>
            </w:pPr>
            <w:r w:rsidRPr="008010AF">
              <w:rPr>
                <w:color w:val="FFFFFF" w:themeColor="background1"/>
              </w:rPr>
              <w:t>Percentage (%)</w:t>
            </w:r>
          </w:p>
        </w:tc>
        <w:tc>
          <w:tcPr>
            <w:tcW w:w="3095" w:type="dxa"/>
            <w:tcBorders>
              <w:left w:val="single" w:sz="2" w:space="0" w:color="FFFFFF" w:themeColor="background1"/>
            </w:tcBorders>
            <w:hideMark/>
          </w:tcPr>
          <w:p w14:paraId="248A4E36" w14:textId="77777777" w:rsidR="00510214" w:rsidRPr="008010AF" w:rsidRDefault="00510214" w:rsidP="00A22473">
            <w:pPr>
              <w:pStyle w:val="NormalWeb"/>
              <w:jc w:val="center"/>
              <w:rPr>
                <w:color w:val="FFFFFF" w:themeColor="background1"/>
              </w:rPr>
            </w:pPr>
            <w:r w:rsidRPr="008010AF">
              <w:rPr>
                <w:color w:val="FFFFFF" w:themeColor="background1"/>
              </w:rPr>
              <w:t>Aggregated treatment outcome</w:t>
            </w:r>
          </w:p>
        </w:tc>
      </w:tr>
      <w:tr w:rsidR="00510214" w14:paraId="5D1B9AED" w14:textId="77777777" w:rsidTr="008434AA">
        <w:tc>
          <w:tcPr>
            <w:tcW w:w="3261" w:type="dxa"/>
            <w:tcBorders>
              <w:right w:val="single" w:sz="2" w:space="0" w:color="000000" w:themeColor="text1"/>
            </w:tcBorders>
            <w:shd w:val="clear" w:color="auto" w:fill="auto"/>
            <w:hideMark/>
          </w:tcPr>
          <w:p w14:paraId="06CD9D4F" w14:textId="77777777" w:rsidR="00510214" w:rsidRDefault="00510214">
            <w:pPr>
              <w:pStyle w:val="NormalWeb"/>
            </w:pPr>
            <w:r>
              <w:t>Completed treatment</w:t>
            </w:r>
          </w:p>
        </w:tc>
        <w:tc>
          <w:tcPr>
            <w:tcW w:w="1842" w:type="dxa"/>
            <w:tcBorders>
              <w:left w:val="single" w:sz="2" w:space="0" w:color="000000" w:themeColor="text1"/>
              <w:right w:val="single" w:sz="2" w:space="0" w:color="000000" w:themeColor="text1"/>
            </w:tcBorders>
            <w:shd w:val="clear" w:color="auto" w:fill="auto"/>
            <w:hideMark/>
          </w:tcPr>
          <w:p w14:paraId="19188431" w14:textId="77777777" w:rsidR="00510214" w:rsidRDefault="00510214" w:rsidP="00A22473">
            <w:pPr>
              <w:pStyle w:val="NormalWeb"/>
              <w:jc w:val="center"/>
            </w:pPr>
            <w:r>
              <w:t>209</w:t>
            </w:r>
          </w:p>
        </w:tc>
        <w:tc>
          <w:tcPr>
            <w:tcW w:w="2268" w:type="dxa"/>
            <w:tcBorders>
              <w:left w:val="single" w:sz="2" w:space="0" w:color="000000" w:themeColor="text1"/>
              <w:right w:val="single" w:sz="2" w:space="0" w:color="auto"/>
            </w:tcBorders>
            <w:shd w:val="clear" w:color="auto" w:fill="auto"/>
            <w:hideMark/>
          </w:tcPr>
          <w:p w14:paraId="5C9410E2" w14:textId="77777777" w:rsidR="00510214" w:rsidRDefault="00510214" w:rsidP="00A22473">
            <w:pPr>
              <w:pStyle w:val="NormalWeb"/>
              <w:jc w:val="center"/>
            </w:pPr>
            <w:r>
              <w:t>55.7</w:t>
            </w:r>
          </w:p>
        </w:tc>
        <w:tc>
          <w:tcPr>
            <w:tcW w:w="3095" w:type="dxa"/>
            <w:vMerge w:val="restart"/>
            <w:tcBorders>
              <w:left w:val="single" w:sz="2" w:space="0" w:color="auto"/>
            </w:tcBorders>
            <w:shd w:val="clear" w:color="auto" w:fill="auto"/>
            <w:vAlign w:val="center"/>
            <w:hideMark/>
          </w:tcPr>
          <w:p w14:paraId="37589A13" w14:textId="77777777" w:rsidR="00510214" w:rsidRDefault="00510214" w:rsidP="008434AA">
            <w:pPr>
              <w:pStyle w:val="NormalWeb"/>
              <w:jc w:val="center"/>
            </w:pPr>
            <w:r>
              <w:t>Treatment success</w:t>
            </w:r>
          </w:p>
        </w:tc>
      </w:tr>
      <w:tr w:rsidR="001B4E5A" w14:paraId="07BEC42A" w14:textId="77777777" w:rsidTr="008434AA">
        <w:trPr>
          <w:cnfStyle w:val="000000010000" w:firstRow="0" w:lastRow="0" w:firstColumn="0" w:lastColumn="0" w:oddVBand="0" w:evenVBand="0" w:oddHBand="0" w:evenHBand="1" w:firstRowFirstColumn="0" w:firstRowLastColumn="0" w:lastRowFirstColumn="0" w:lastRowLastColumn="0"/>
        </w:trPr>
        <w:tc>
          <w:tcPr>
            <w:tcW w:w="3261" w:type="dxa"/>
            <w:tcBorders>
              <w:right w:val="single" w:sz="2" w:space="0" w:color="000000" w:themeColor="text1"/>
            </w:tcBorders>
            <w:shd w:val="clear" w:color="auto" w:fill="auto"/>
            <w:hideMark/>
          </w:tcPr>
          <w:p w14:paraId="07134FA4" w14:textId="77777777" w:rsidR="00510214" w:rsidRDefault="00510214">
            <w:pPr>
              <w:pStyle w:val="NormalWeb"/>
            </w:pPr>
            <w:r>
              <w:t>Cured</w:t>
            </w:r>
          </w:p>
        </w:tc>
        <w:tc>
          <w:tcPr>
            <w:tcW w:w="1842" w:type="dxa"/>
            <w:tcBorders>
              <w:left w:val="single" w:sz="2" w:space="0" w:color="000000" w:themeColor="text1"/>
              <w:right w:val="single" w:sz="2" w:space="0" w:color="000000" w:themeColor="text1"/>
            </w:tcBorders>
            <w:shd w:val="clear" w:color="auto" w:fill="auto"/>
            <w:hideMark/>
          </w:tcPr>
          <w:p w14:paraId="0AE2FC61" w14:textId="77777777" w:rsidR="00510214" w:rsidRDefault="00510214" w:rsidP="00A22473">
            <w:pPr>
              <w:pStyle w:val="NormalWeb"/>
              <w:jc w:val="center"/>
            </w:pPr>
            <w:r>
              <w:t>24</w:t>
            </w:r>
          </w:p>
        </w:tc>
        <w:tc>
          <w:tcPr>
            <w:tcW w:w="2268" w:type="dxa"/>
            <w:tcBorders>
              <w:left w:val="single" w:sz="2" w:space="0" w:color="000000" w:themeColor="text1"/>
              <w:right w:val="single" w:sz="2" w:space="0" w:color="auto"/>
            </w:tcBorders>
            <w:shd w:val="clear" w:color="auto" w:fill="auto"/>
            <w:hideMark/>
          </w:tcPr>
          <w:p w14:paraId="40F8D8C0" w14:textId="77777777" w:rsidR="00510214" w:rsidRDefault="00510214" w:rsidP="00A22473">
            <w:pPr>
              <w:pStyle w:val="NormalWeb"/>
              <w:jc w:val="center"/>
            </w:pPr>
            <w:r>
              <w:t>6.4</w:t>
            </w:r>
          </w:p>
        </w:tc>
        <w:tc>
          <w:tcPr>
            <w:tcW w:w="3095" w:type="dxa"/>
            <w:vMerge/>
            <w:tcBorders>
              <w:top w:val="single" w:sz="2" w:space="0" w:color="000000" w:themeColor="text1"/>
              <w:left w:val="single" w:sz="2" w:space="0" w:color="auto"/>
            </w:tcBorders>
            <w:shd w:val="clear" w:color="auto" w:fill="auto"/>
            <w:vAlign w:val="center"/>
            <w:hideMark/>
          </w:tcPr>
          <w:p w14:paraId="25A00A7A" w14:textId="77777777" w:rsidR="00510214" w:rsidRDefault="00510214" w:rsidP="008434AA">
            <w:pPr>
              <w:jc w:val="center"/>
              <w:rPr>
                <w:sz w:val="24"/>
                <w:szCs w:val="24"/>
              </w:rPr>
            </w:pPr>
          </w:p>
        </w:tc>
      </w:tr>
      <w:tr w:rsidR="0080551F" w14:paraId="5DE3AAF6" w14:textId="77777777" w:rsidTr="0080551F">
        <w:tc>
          <w:tcPr>
            <w:tcW w:w="3261" w:type="dxa"/>
            <w:tcBorders>
              <w:right w:val="single" w:sz="2" w:space="0" w:color="000000" w:themeColor="text1"/>
            </w:tcBorders>
            <w:shd w:val="clear" w:color="auto" w:fill="F2F2F2" w:themeFill="background1" w:themeFillShade="F2"/>
            <w:hideMark/>
          </w:tcPr>
          <w:p w14:paraId="3C782A91" w14:textId="77777777" w:rsidR="00510214" w:rsidRPr="0080551F" w:rsidRDefault="00510214">
            <w:pPr>
              <w:pStyle w:val="NormalWeb"/>
              <w:rPr>
                <w:b/>
              </w:rPr>
            </w:pPr>
            <w:r w:rsidRPr="0080551F">
              <w:rPr>
                <w:b/>
              </w:rPr>
              <w:t>Sub-total</w:t>
            </w:r>
          </w:p>
        </w:tc>
        <w:tc>
          <w:tcPr>
            <w:tcW w:w="1842" w:type="dxa"/>
            <w:tcBorders>
              <w:left w:val="single" w:sz="2" w:space="0" w:color="000000" w:themeColor="text1"/>
              <w:right w:val="single" w:sz="2" w:space="0" w:color="000000" w:themeColor="text1"/>
            </w:tcBorders>
            <w:shd w:val="clear" w:color="auto" w:fill="F2F2F2" w:themeFill="background1" w:themeFillShade="F2"/>
            <w:hideMark/>
          </w:tcPr>
          <w:p w14:paraId="6905D610" w14:textId="77777777" w:rsidR="00510214" w:rsidRPr="0080551F" w:rsidRDefault="00510214" w:rsidP="00A22473">
            <w:pPr>
              <w:pStyle w:val="NormalWeb"/>
              <w:jc w:val="center"/>
              <w:rPr>
                <w:b/>
              </w:rPr>
            </w:pPr>
            <w:r w:rsidRPr="0080551F">
              <w:rPr>
                <w:b/>
              </w:rPr>
              <w:t>233</w:t>
            </w:r>
          </w:p>
        </w:tc>
        <w:tc>
          <w:tcPr>
            <w:tcW w:w="2268" w:type="dxa"/>
            <w:tcBorders>
              <w:left w:val="single" w:sz="2" w:space="0" w:color="000000" w:themeColor="text1"/>
              <w:right w:val="single" w:sz="2" w:space="0" w:color="auto"/>
            </w:tcBorders>
            <w:shd w:val="clear" w:color="auto" w:fill="F2F2F2" w:themeFill="background1" w:themeFillShade="F2"/>
            <w:hideMark/>
          </w:tcPr>
          <w:p w14:paraId="1FF21867" w14:textId="77777777" w:rsidR="00510214" w:rsidRPr="0080551F" w:rsidRDefault="00510214" w:rsidP="00A22473">
            <w:pPr>
              <w:pStyle w:val="NormalWeb"/>
              <w:jc w:val="center"/>
              <w:rPr>
                <w:b/>
              </w:rPr>
            </w:pPr>
            <w:r w:rsidRPr="0080551F">
              <w:rPr>
                <w:b/>
              </w:rPr>
              <w:t>62.1</w:t>
            </w:r>
          </w:p>
        </w:tc>
        <w:tc>
          <w:tcPr>
            <w:tcW w:w="3095" w:type="dxa"/>
            <w:vMerge/>
            <w:tcBorders>
              <w:top w:val="single" w:sz="2" w:space="0" w:color="000000" w:themeColor="text1"/>
              <w:left w:val="single" w:sz="2" w:space="0" w:color="auto"/>
            </w:tcBorders>
            <w:shd w:val="clear" w:color="auto" w:fill="auto"/>
            <w:vAlign w:val="center"/>
            <w:hideMark/>
          </w:tcPr>
          <w:p w14:paraId="259EF32C" w14:textId="77777777" w:rsidR="00510214" w:rsidRDefault="00510214" w:rsidP="008434AA">
            <w:pPr>
              <w:jc w:val="center"/>
              <w:rPr>
                <w:sz w:val="24"/>
                <w:szCs w:val="24"/>
              </w:rPr>
            </w:pPr>
          </w:p>
        </w:tc>
      </w:tr>
      <w:tr w:rsidR="001B4E5A" w14:paraId="68DEE97A" w14:textId="77777777" w:rsidTr="008434AA">
        <w:trPr>
          <w:cnfStyle w:val="000000010000" w:firstRow="0" w:lastRow="0" w:firstColumn="0" w:lastColumn="0" w:oddVBand="0" w:evenVBand="0" w:oddHBand="0" w:evenHBand="1" w:firstRowFirstColumn="0" w:firstRowLastColumn="0" w:lastRowFirstColumn="0" w:lastRowLastColumn="0"/>
        </w:trPr>
        <w:tc>
          <w:tcPr>
            <w:tcW w:w="3261" w:type="dxa"/>
            <w:tcBorders>
              <w:right w:val="single" w:sz="2" w:space="0" w:color="000000" w:themeColor="text1"/>
            </w:tcBorders>
            <w:shd w:val="clear" w:color="auto" w:fill="auto"/>
            <w:hideMark/>
          </w:tcPr>
          <w:p w14:paraId="02228041" w14:textId="77777777" w:rsidR="00510214" w:rsidRDefault="00510214">
            <w:pPr>
              <w:pStyle w:val="NormalWeb"/>
            </w:pPr>
            <w:r>
              <w:t>Died of TB</w:t>
            </w:r>
          </w:p>
        </w:tc>
        <w:tc>
          <w:tcPr>
            <w:tcW w:w="1842" w:type="dxa"/>
            <w:tcBorders>
              <w:left w:val="single" w:sz="2" w:space="0" w:color="000000" w:themeColor="text1"/>
              <w:right w:val="single" w:sz="2" w:space="0" w:color="000000" w:themeColor="text1"/>
            </w:tcBorders>
            <w:shd w:val="clear" w:color="auto" w:fill="auto"/>
            <w:hideMark/>
          </w:tcPr>
          <w:p w14:paraId="009EEBC6" w14:textId="77777777" w:rsidR="00510214" w:rsidRDefault="00510214" w:rsidP="00A22473">
            <w:pPr>
              <w:pStyle w:val="NormalWeb"/>
              <w:jc w:val="center"/>
            </w:pPr>
            <w:r>
              <w:t>17</w:t>
            </w:r>
          </w:p>
        </w:tc>
        <w:tc>
          <w:tcPr>
            <w:tcW w:w="2268" w:type="dxa"/>
            <w:tcBorders>
              <w:left w:val="single" w:sz="2" w:space="0" w:color="000000" w:themeColor="text1"/>
              <w:right w:val="single" w:sz="2" w:space="0" w:color="auto"/>
            </w:tcBorders>
            <w:shd w:val="clear" w:color="auto" w:fill="auto"/>
            <w:hideMark/>
          </w:tcPr>
          <w:p w14:paraId="6BC7BA36" w14:textId="77777777" w:rsidR="00510214" w:rsidRDefault="00510214" w:rsidP="00A22473">
            <w:pPr>
              <w:pStyle w:val="NormalWeb"/>
              <w:jc w:val="center"/>
            </w:pPr>
            <w:r>
              <w:t>4.6</w:t>
            </w:r>
          </w:p>
        </w:tc>
        <w:tc>
          <w:tcPr>
            <w:tcW w:w="3095" w:type="dxa"/>
            <w:vMerge w:val="restart"/>
            <w:tcBorders>
              <w:top w:val="single" w:sz="2" w:space="0" w:color="000000" w:themeColor="text1"/>
              <w:left w:val="single" w:sz="2" w:space="0" w:color="auto"/>
            </w:tcBorders>
            <w:shd w:val="clear" w:color="auto" w:fill="auto"/>
            <w:vAlign w:val="center"/>
            <w:hideMark/>
          </w:tcPr>
          <w:p w14:paraId="683F8BB1" w14:textId="77777777" w:rsidR="00510214" w:rsidRDefault="00510214" w:rsidP="008434AA">
            <w:pPr>
              <w:pStyle w:val="NormalWeb"/>
              <w:jc w:val="center"/>
            </w:pPr>
            <w:r>
              <w:t>No treatment success</w:t>
            </w:r>
          </w:p>
        </w:tc>
      </w:tr>
      <w:tr w:rsidR="00510214" w14:paraId="75270A6B" w14:textId="77777777" w:rsidTr="008434AA">
        <w:tc>
          <w:tcPr>
            <w:tcW w:w="3261" w:type="dxa"/>
            <w:tcBorders>
              <w:right w:val="single" w:sz="2" w:space="0" w:color="000000" w:themeColor="text1"/>
            </w:tcBorders>
            <w:shd w:val="clear" w:color="auto" w:fill="auto"/>
            <w:hideMark/>
          </w:tcPr>
          <w:p w14:paraId="4AAFE7E7" w14:textId="77777777" w:rsidR="00510214" w:rsidRDefault="00510214">
            <w:pPr>
              <w:pStyle w:val="NormalWeb"/>
            </w:pPr>
            <w:r>
              <w:t>Treatment failure</w:t>
            </w:r>
          </w:p>
        </w:tc>
        <w:tc>
          <w:tcPr>
            <w:tcW w:w="1842" w:type="dxa"/>
            <w:tcBorders>
              <w:left w:val="single" w:sz="2" w:space="0" w:color="000000" w:themeColor="text1"/>
              <w:right w:val="single" w:sz="2" w:space="0" w:color="000000" w:themeColor="text1"/>
            </w:tcBorders>
            <w:shd w:val="clear" w:color="auto" w:fill="auto"/>
            <w:hideMark/>
          </w:tcPr>
          <w:p w14:paraId="5960690D" w14:textId="77777777" w:rsidR="00510214" w:rsidRDefault="00510214" w:rsidP="00A22473">
            <w:pPr>
              <w:pStyle w:val="NormalWeb"/>
              <w:jc w:val="center"/>
            </w:pPr>
            <w:r>
              <w:t>1</w:t>
            </w:r>
          </w:p>
        </w:tc>
        <w:tc>
          <w:tcPr>
            <w:tcW w:w="2268" w:type="dxa"/>
            <w:tcBorders>
              <w:left w:val="single" w:sz="2" w:space="0" w:color="000000" w:themeColor="text1"/>
              <w:right w:val="single" w:sz="2" w:space="0" w:color="auto"/>
            </w:tcBorders>
            <w:shd w:val="clear" w:color="auto" w:fill="auto"/>
            <w:hideMark/>
          </w:tcPr>
          <w:p w14:paraId="62AAF349" w14:textId="77777777" w:rsidR="00510214" w:rsidRDefault="00510214" w:rsidP="00A22473">
            <w:pPr>
              <w:pStyle w:val="NormalWeb"/>
              <w:jc w:val="center"/>
            </w:pPr>
            <w:r>
              <w:t>0.3</w:t>
            </w:r>
          </w:p>
        </w:tc>
        <w:tc>
          <w:tcPr>
            <w:tcW w:w="3095" w:type="dxa"/>
            <w:vMerge/>
            <w:tcBorders>
              <w:top w:val="single" w:sz="2" w:space="0" w:color="000000" w:themeColor="text1"/>
              <w:left w:val="single" w:sz="2" w:space="0" w:color="auto"/>
            </w:tcBorders>
            <w:shd w:val="clear" w:color="auto" w:fill="auto"/>
            <w:vAlign w:val="center"/>
            <w:hideMark/>
          </w:tcPr>
          <w:p w14:paraId="53441002" w14:textId="77777777" w:rsidR="00510214" w:rsidRDefault="00510214" w:rsidP="008434AA">
            <w:pPr>
              <w:jc w:val="center"/>
              <w:rPr>
                <w:sz w:val="24"/>
                <w:szCs w:val="24"/>
              </w:rPr>
            </w:pPr>
          </w:p>
        </w:tc>
      </w:tr>
      <w:tr w:rsidR="001B4E5A" w14:paraId="3A7CB18C" w14:textId="77777777" w:rsidTr="00AD0633">
        <w:trPr>
          <w:cnfStyle w:val="000000010000" w:firstRow="0" w:lastRow="0" w:firstColumn="0" w:lastColumn="0" w:oddVBand="0" w:evenVBand="0" w:oddHBand="0" w:evenHBand="1" w:firstRowFirstColumn="0" w:firstRowLastColumn="0" w:lastRowFirstColumn="0" w:lastRowLastColumn="0"/>
        </w:trPr>
        <w:tc>
          <w:tcPr>
            <w:tcW w:w="3261" w:type="dxa"/>
            <w:tcBorders>
              <w:right w:val="single" w:sz="2" w:space="0" w:color="000000" w:themeColor="text1"/>
            </w:tcBorders>
            <w:hideMark/>
          </w:tcPr>
          <w:p w14:paraId="75C7A813" w14:textId="77777777" w:rsidR="00510214" w:rsidRPr="00AD0633" w:rsidRDefault="00510214">
            <w:pPr>
              <w:pStyle w:val="NormalWeb"/>
              <w:rPr>
                <w:b/>
              </w:rPr>
            </w:pPr>
            <w:r w:rsidRPr="00AD0633">
              <w:rPr>
                <w:b/>
              </w:rPr>
              <w:t>Sub-total</w:t>
            </w:r>
          </w:p>
        </w:tc>
        <w:tc>
          <w:tcPr>
            <w:tcW w:w="1842" w:type="dxa"/>
            <w:tcBorders>
              <w:left w:val="single" w:sz="2" w:space="0" w:color="000000" w:themeColor="text1"/>
              <w:right w:val="single" w:sz="2" w:space="0" w:color="000000" w:themeColor="text1"/>
            </w:tcBorders>
            <w:hideMark/>
          </w:tcPr>
          <w:p w14:paraId="0787CED3" w14:textId="77777777" w:rsidR="00510214" w:rsidRPr="00AD0633" w:rsidRDefault="00510214" w:rsidP="00A22473">
            <w:pPr>
              <w:pStyle w:val="NormalWeb"/>
              <w:jc w:val="center"/>
              <w:rPr>
                <w:b/>
              </w:rPr>
            </w:pPr>
            <w:r w:rsidRPr="00AD0633">
              <w:rPr>
                <w:b/>
              </w:rPr>
              <w:t>18</w:t>
            </w:r>
          </w:p>
        </w:tc>
        <w:tc>
          <w:tcPr>
            <w:tcW w:w="2268" w:type="dxa"/>
            <w:tcBorders>
              <w:left w:val="single" w:sz="2" w:space="0" w:color="000000" w:themeColor="text1"/>
              <w:right w:val="single" w:sz="2" w:space="0" w:color="auto"/>
            </w:tcBorders>
            <w:hideMark/>
          </w:tcPr>
          <w:p w14:paraId="00163A1D" w14:textId="77777777" w:rsidR="00510214" w:rsidRPr="00AD0633" w:rsidRDefault="00510214" w:rsidP="00A22473">
            <w:pPr>
              <w:pStyle w:val="NormalWeb"/>
              <w:jc w:val="center"/>
              <w:rPr>
                <w:b/>
              </w:rPr>
            </w:pPr>
            <w:r w:rsidRPr="00AD0633">
              <w:rPr>
                <w:b/>
              </w:rPr>
              <w:t>4.9</w:t>
            </w:r>
          </w:p>
        </w:tc>
        <w:tc>
          <w:tcPr>
            <w:tcW w:w="3095" w:type="dxa"/>
            <w:vMerge/>
            <w:tcBorders>
              <w:top w:val="single" w:sz="2" w:space="0" w:color="000000" w:themeColor="text1"/>
              <w:left w:val="single" w:sz="2" w:space="0" w:color="auto"/>
            </w:tcBorders>
            <w:shd w:val="clear" w:color="auto" w:fill="auto"/>
            <w:vAlign w:val="center"/>
            <w:hideMark/>
          </w:tcPr>
          <w:p w14:paraId="6FC02C9F" w14:textId="77777777" w:rsidR="00510214" w:rsidRDefault="00510214" w:rsidP="008434AA">
            <w:pPr>
              <w:jc w:val="center"/>
              <w:rPr>
                <w:sz w:val="24"/>
                <w:szCs w:val="24"/>
              </w:rPr>
            </w:pPr>
          </w:p>
        </w:tc>
      </w:tr>
      <w:tr w:rsidR="00510214" w14:paraId="3BF294D5" w14:textId="77777777" w:rsidTr="008434AA">
        <w:tc>
          <w:tcPr>
            <w:tcW w:w="3261" w:type="dxa"/>
            <w:tcBorders>
              <w:right w:val="single" w:sz="2" w:space="0" w:color="000000" w:themeColor="text1"/>
            </w:tcBorders>
            <w:shd w:val="clear" w:color="auto" w:fill="auto"/>
            <w:hideMark/>
          </w:tcPr>
          <w:p w14:paraId="5CB40A9E" w14:textId="77777777" w:rsidR="00510214" w:rsidRDefault="00510214">
            <w:pPr>
              <w:pStyle w:val="NormalWeb"/>
            </w:pPr>
            <w:r>
              <w:t>Case transferred overseas</w:t>
            </w:r>
          </w:p>
        </w:tc>
        <w:tc>
          <w:tcPr>
            <w:tcW w:w="1842" w:type="dxa"/>
            <w:tcBorders>
              <w:left w:val="single" w:sz="2" w:space="0" w:color="000000" w:themeColor="text1"/>
              <w:right w:val="single" w:sz="2" w:space="0" w:color="000000" w:themeColor="text1"/>
            </w:tcBorders>
            <w:shd w:val="clear" w:color="auto" w:fill="auto"/>
            <w:hideMark/>
          </w:tcPr>
          <w:p w14:paraId="02084989" w14:textId="77777777" w:rsidR="00510214" w:rsidRDefault="00510214" w:rsidP="00A22473">
            <w:pPr>
              <w:pStyle w:val="NormalWeb"/>
              <w:jc w:val="center"/>
            </w:pPr>
            <w:r>
              <w:t>56</w:t>
            </w:r>
          </w:p>
        </w:tc>
        <w:tc>
          <w:tcPr>
            <w:tcW w:w="2268" w:type="dxa"/>
            <w:tcBorders>
              <w:left w:val="single" w:sz="2" w:space="0" w:color="000000" w:themeColor="text1"/>
              <w:right w:val="single" w:sz="2" w:space="0" w:color="auto"/>
            </w:tcBorders>
            <w:shd w:val="clear" w:color="auto" w:fill="auto"/>
            <w:hideMark/>
          </w:tcPr>
          <w:p w14:paraId="12F9C318" w14:textId="77777777" w:rsidR="00510214" w:rsidRDefault="00510214" w:rsidP="00A22473">
            <w:pPr>
              <w:pStyle w:val="NormalWeb"/>
              <w:jc w:val="center"/>
            </w:pPr>
            <w:r>
              <w:t>14.9</w:t>
            </w:r>
          </w:p>
        </w:tc>
        <w:tc>
          <w:tcPr>
            <w:tcW w:w="3095" w:type="dxa"/>
            <w:vMerge w:val="restart"/>
            <w:tcBorders>
              <w:top w:val="single" w:sz="2" w:space="0" w:color="000000" w:themeColor="text1"/>
              <w:left w:val="single" w:sz="2" w:space="0" w:color="auto"/>
            </w:tcBorders>
            <w:shd w:val="clear" w:color="auto" w:fill="auto"/>
            <w:vAlign w:val="center"/>
            <w:hideMark/>
          </w:tcPr>
          <w:p w14:paraId="12BE3DA6" w14:textId="77777777" w:rsidR="00510214" w:rsidRDefault="00510214" w:rsidP="008434AA">
            <w:pPr>
              <w:pStyle w:val="NormalWeb"/>
              <w:jc w:val="center"/>
            </w:pPr>
            <w:r>
              <w:t>Treatment outcome</w:t>
            </w:r>
          </w:p>
          <w:p w14:paraId="274FD030" w14:textId="77777777" w:rsidR="00510214" w:rsidRDefault="00510214" w:rsidP="008434AA">
            <w:pPr>
              <w:pStyle w:val="NormalWeb"/>
              <w:jc w:val="center"/>
            </w:pPr>
            <w:r>
              <w:t>unknown</w:t>
            </w:r>
          </w:p>
        </w:tc>
      </w:tr>
      <w:tr w:rsidR="001B4E5A" w14:paraId="45E55FC8" w14:textId="77777777" w:rsidTr="008434AA">
        <w:trPr>
          <w:cnfStyle w:val="000000010000" w:firstRow="0" w:lastRow="0" w:firstColumn="0" w:lastColumn="0" w:oddVBand="0" w:evenVBand="0" w:oddHBand="0" w:evenHBand="1" w:firstRowFirstColumn="0" w:firstRowLastColumn="0" w:lastRowFirstColumn="0" w:lastRowLastColumn="0"/>
        </w:trPr>
        <w:tc>
          <w:tcPr>
            <w:tcW w:w="3261" w:type="dxa"/>
            <w:tcBorders>
              <w:right w:val="single" w:sz="2" w:space="0" w:color="000000" w:themeColor="text1"/>
            </w:tcBorders>
            <w:shd w:val="clear" w:color="auto" w:fill="auto"/>
            <w:hideMark/>
          </w:tcPr>
          <w:p w14:paraId="64448F96" w14:textId="77777777" w:rsidR="00510214" w:rsidRDefault="00510214">
            <w:pPr>
              <w:pStyle w:val="NormalWeb"/>
            </w:pPr>
            <w:r>
              <w:t>Lost to follow-up</w:t>
            </w:r>
          </w:p>
        </w:tc>
        <w:tc>
          <w:tcPr>
            <w:tcW w:w="1842" w:type="dxa"/>
            <w:tcBorders>
              <w:left w:val="single" w:sz="2" w:space="0" w:color="000000" w:themeColor="text1"/>
              <w:right w:val="single" w:sz="2" w:space="0" w:color="000000" w:themeColor="text1"/>
            </w:tcBorders>
            <w:shd w:val="clear" w:color="auto" w:fill="auto"/>
            <w:hideMark/>
          </w:tcPr>
          <w:p w14:paraId="35455006" w14:textId="77777777" w:rsidR="00510214" w:rsidRDefault="00510214" w:rsidP="00A22473">
            <w:pPr>
              <w:pStyle w:val="NormalWeb"/>
              <w:jc w:val="center"/>
            </w:pPr>
            <w:r>
              <w:t>15</w:t>
            </w:r>
          </w:p>
        </w:tc>
        <w:tc>
          <w:tcPr>
            <w:tcW w:w="2268" w:type="dxa"/>
            <w:tcBorders>
              <w:left w:val="single" w:sz="2" w:space="0" w:color="000000" w:themeColor="text1"/>
              <w:right w:val="single" w:sz="2" w:space="0" w:color="auto"/>
            </w:tcBorders>
            <w:shd w:val="clear" w:color="auto" w:fill="auto"/>
            <w:hideMark/>
          </w:tcPr>
          <w:p w14:paraId="3F1BCA8D" w14:textId="77777777" w:rsidR="00510214" w:rsidRDefault="00510214" w:rsidP="00A22473">
            <w:pPr>
              <w:pStyle w:val="NormalWeb"/>
              <w:jc w:val="center"/>
            </w:pPr>
            <w:r>
              <w:t>4.0</w:t>
            </w:r>
          </w:p>
        </w:tc>
        <w:tc>
          <w:tcPr>
            <w:tcW w:w="3095" w:type="dxa"/>
            <w:vMerge/>
            <w:tcBorders>
              <w:top w:val="single" w:sz="2" w:space="0" w:color="000000" w:themeColor="text1"/>
              <w:left w:val="single" w:sz="2" w:space="0" w:color="auto"/>
            </w:tcBorders>
            <w:shd w:val="clear" w:color="auto" w:fill="auto"/>
            <w:vAlign w:val="center"/>
            <w:hideMark/>
          </w:tcPr>
          <w:p w14:paraId="28364AEE" w14:textId="77777777" w:rsidR="00510214" w:rsidRDefault="00510214" w:rsidP="008434AA">
            <w:pPr>
              <w:jc w:val="center"/>
              <w:rPr>
                <w:sz w:val="24"/>
                <w:szCs w:val="24"/>
              </w:rPr>
            </w:pPr>
          </w:p>
        </w:tc>
      </w:tr>
      <w:tr w:rsidR="00510214" w14:paraId="0474594E" w14:textId="77777777" w:rsidTr="008434AA">
        <w:tc>
          <w:tcPr>
            <w:tcW w:w="3261" w:type="dxa"/>
            <w:tcBorders>
              <w:right w:val="single" w:sz="2" w:space="0" w:color="000000" w:themeColor="text1"/>
            </w:tcBorders>
            <w:shd w:val="clear" w:color="auto" w:fill="auto"/>
            <w:hideMark/>
          </w:tcPr>
          <w:p w14:paraId="0B9854E6" w14:textId="77777777" w:rsidR="00510214" w:rsidRDefault="00510214">
            <w:pPr>
              <w:pStyle w:val="NormalWeb"/>
            </w:pPr>
            <w:r>
              <w:t>Unknown</w:t>
            </w:r>
          </w:p>
        </w:tc>
        <w:tc>
          <w:tcPr>
            <w:tcW w:w="1842" w:type="dxa"/>
            <w:tcBorders>
              <w:left w:val="single" w:sz="2" w:space="0" w:color="000000" w:themeColor="text1"/>
              <w:right w:val="single" w:sz="2" w:space="0" w:color="000000" w:themeColor="text1"/>
            </w:tcBorders>
            <w:shd w:val="clear" w:color="auto" w:fill="auto"/>
            <w:hideMark/>
          </w:tcPr>
          <w:p w14:paraId="6DFDBBD7" w14:textId="77777777" w:rsidR="00510214" w:rsidRDefault="00510214" w:rsidP="00A22473">
            <w:pPr>
              <w:pStyle w:val="NormalWeb"/>
              <w:jc w:val="center"/>
            </w:pPr>
            <w:r>
              <w:t>7</w:t>
            </w:r>
          </w:p>
        </w:tc>
        <w:tc>
          <w:tcPr>
            <w:tcW w:w="2268" w:type="dxa"/>
            <w:tcBorders>
              <w:left w:val="single" w:sz="2" w:space="0" w:color="000000" w:themeColor="text1"/>
              <w:right w:val="single" w:sz="2" w:space="0" w:color="auto"/>
            </w:tcBorders>
            <w:shd w:val="clear" w:color="auto" w:fill="auto"/>
            <w:hideMark/>
          </w:tcPr>
          <w:p w14:paraId="3A1C2177" w14:textId="77777777" w:rsidR="00510214" w:rsidRDefault="00510214" w:rsidP="00A22473">
            <w:pPr>
              <w:pStyle w:val="NormalWeb"/>
              <w:jc w:val="center"/>
            </w:pPr>
            <w:r>
              <w:t>1.9</w:t>
            </w:r>
          </w:p>
        </w:tc>
        <w:tc>
          <w:tcPr>
            <w:tcW w:w="3095" w:type="dxa"/>
            <w:vMerge/>
            <w:tcBorders>
              <w:top w:val="single" w:sz="2" w:space="0" w:color="000000" w:themeColor="text1"/>
              <w:left w:val="single" w:sz="2" w:space="0" w:color="auto"/>
            </w:tcBorders>
            <w:shd w:val="clear" w:color="auto" w:fill="auto"/>
            <w:vAlign w:val="center"/>
            <w:hideMark/>
          </w:tcPr>
          <w:p w14:paraId="643C9D88" w14:textId="77777777" w:rsidR="00510214" w:rsidRDefault="00510214" w:rsidP="008434AA">
            <w:pPr>
              <w:jc w:val="center"/>
              <w:rPr>
                <w:sz w:val="24"/>
                <w:szCs w:val="24"/>
              </w:rPr>
            </w:pPr>
          </w:p>
        </w:tc>
      </w:tr>
      <w:tr w:rsidR="001B4E5A" w14:paraId="15BBABD3" w14:textId="77777777" w:rsidTr="008434AA">
        <w:trPr>
          <w:cnfStyle w:val="000000010000" w:firstRow="0" w:lastRow="0" w:firstColumn="0" w:lastColumn="0" w:oddVBand="0" w:evenVBand="0" w:oddHBand="0" w:evenHBand="1" w:firstRowFirstColumn="0" w:firstRowLastColumn="0" w:lastRowFirstColumn="0" w:lastRowLastColumn="0"/>
        </w:trPr>
        <w:tc>
          <w:tcPr>
            <w:tcW w:w="3261" w:type="dxa"/>
            <w:tcBorders>
              <w:right w:val="single" w:sz="2" w:space="0" w:color="000000" w:themeColor="text1"/>
            </w:tcBorders>
            <w:shd w:val="clear" w:color="auto" w:fill="auto"/>
            <w:hideMark/>
          </w:tcPr>
          <w:p w14:paraId="7E92B237" w14:textId="77777777" w:rsidR="00510214" w:rsidRDefault="00510214">
            <w:pPr>
              <w:pStyle w:val="NormalWeb"/>
            </w:pPr>
            <w:r>
              <w:t>Died of another cause</w:t>
            </w:r>
          </w:p>
        </w:tc>
        <w:tc>
          <w:tcPr>
            <w:tcW w:w="1842" w:type="dxa"/>
            <w:tcBorders>
              <w:left w:val="single" w:sz="2" w:space="0" w:color="000000" w:themeColor="text1"/>
              <w:right w:val="single" w:sz="2" w:space="0" w:color="000000" w:themeColor="text1"/>
            </w:tcBorders>
            <w:shd w:val="clear" w:color="auto" w:fill="auto"/>
            <w:hideMark/>
          </w:tcPr>
          <w:p w14:paraId="5CCBE09D" w14:textId="77777777" w:rsidR="00510214" w:rsidRDefault="00510214" w:rsidP="00A22473">
            <w:pPr>
              <w:pStyle w:val="NormalWeb"/>
              <w:jc w:val="center"/>
            </w:pPr>
            <w:r>
              <w:t>4</w:t>
            </w:r>
          </w:p>
        </w:tc>
        <w:tc>
          <w:tcPr>
            <w:tcW w:w="2268" w:type="dxa"/>
            <w:tcBorders>
              <w:left w:val="single" w:sz="2" w:space="0" w:color="000000" w:themeColor="text1"/>
              <w:right w:val="single" w:sz="2" w:space="0" w:color="auto"/>
            </w:tcBorders>
            <w:shd w:val="clear" w:color="auto" w:fill="auto"/>
            <w:hideMark/>
          </w:tcPr>
          <w:p w14:paraId="1474D1F6" w14:textId="77777777" w:rsidR="00510214" w:rsidRDefault="00510214" w:rsidP="00A22473">
            <w:pPr>
              <w:pStyle w:val="NormalWeb"/>
              <w:jc w:val="center"/>
            </w:pPr>
            <w:r>
              <w:t>1.1</w:t>
            </w:r>
          </w:p>
        </w:tc>
        <w:tc>
          <w:tcPr>
            <w:tcW w:w="3095" w:type="dxa"/>
            <w:vMerge/>
            <w:tcBorders>
              <w:top w:val="single" w:sz="2" w:space="0" w:color="000000" w:themeColor="text1"/>
              <w:left w:val="single" w:sz="2" w:space="0" w:color="auto"/>
            </w:tcBorders>
            <w:shd w:val="clear" w:color="auto" w:fill="auto"/>
            <w:vAlign w:val="center"/>
            <w:hideMark/>
          </w:tcPr>
          <w:p w14:paraId="60A7858F" w14:textId="77777777" w:rsidR="00510214" w:rsidRDefault="00510214" w:rsidP="008434AA">
            <w:pPr>
              <w:jc w:val="center"/>
              <w:rPr>
                <w:sz w:val="24"/>
                <w:szCs w:val="24"/>
              </w:rPr>
            </w:pPr>
          </w:p>
        </w:tc>
      </w:tr>
      <w:tr w:rsidR="00510214" w14:paraId="38FF2253" w14:textId="77777777" w:rsidTr="008434AA">
        <w:tc>
          <w:tcPr>
            <w:tcW w:w="3261" w:type="dxa"/>
            <w:tcBorders>
              <w:right w:val="single" w:sz="2" w:space="0" w:color="000000" w:themeColor="text1"/>
            </w:tcBorders>
            <w:shd w:val="clear" w:color="auto" w:fill="auto"/>
            <w:hideMark/>
          </w:tcPr>
          <w:p w14:paraId="5BBB6E34" w14:textId="77777777" w:rsidR="00510214" w:rsidRDefault="00510214">
            <w:pPr>
              <w:pStyle w:val="NormalWeb"/>
            </w:pPr>
            <w:r>
              <w:t>Interrupted treatment</w:t>
            </w:r>
          </w:p>
        </w:tc>
        <w:tc>
          <w:tcPr>
            <w:tcW w:w="1842" w:type="dxa"/>
            <w:tcBorders>
              <w:left w:val="single" w:sz="2" w:space="0" w:color="000000" w:themeColor="text1"/>
              <w:right w:val="single" w:sz="2" w:space="0" w:color="000000" w:themeColor="text1"/>
            </w:tcBorders>
            <w:shd w:val="clear" w:color="auto" w:fill="auto"/>
            <w:hideMark/>
          </w:tcPr>
          <w:p w14:paraId="407FB5B4" w14:textId="77777777" w:rsidR="00510214" w:rsidRDefault="00510214" w:rsidP="00A22473">
            <w:pPr>
              <w:pStyle w:val="NormalWeb"/>
              <w:jc w:val="center"/>
            </w:pPr>
            <w:r>
              <w:t>2</w:t>
            </w:r>
          </w:p>
        </w:tc>
        <w:tc>
          <w:tcPr>
            <w:tcW w:w="2268" w:type="dxa"/>
            <w:tcBorders>
              <w:left w:val="single" w:sz="2" w:space="0" w:color="000000" w:themeColor="text1"/>
              <w:right w:val="single" w:sz="2" w:space="0" w:color="auto"/>
            </w:tcBorders>
            <w:shd w:val="clear" w:color="auto" w:fill="auto"/>
            <w:hideMark/>
          </w:tcPr>
          <w:p w14:paraId="7E6A9B0B" w14:textId="77777777" w:rsidR="00510214" w:rsidRDefault="00510214" w:rsidP="00A22473">
            <w:pPr>
              <w:pStyle w:val="NormalWeb"/>
              <w:jc w:val="center"/>
            </w:pPr>
            <w:r>
              <w:t>0.5</w:t>
            </w:r>
          </w:p>
        </w:tc>
        <w:tc>
          <w:tcPr>
            <w:tcW w:w="3095" w:type="dxa"/>
            <w:vMerge/>
            <w:tcBorders>
              <w:top w:val="single" w:sz="2" w:space="0" w:color="000000" w:themeColor="text1"/>
              <w:left w:val="single" w:sz="2" w:space="0" w:color="auto"/>
            </w:tcBorders>
            <w:shd w:val="clear" w:color="auto" w:fill="auto"/>
            <w:vAlign w:val="center"/>
            <w:hideMark/>
          </w:tcPr>
          <w:p w14:paraId="5ACB0156" w14:textId="77777777" w:rsidR="00510214" w:rsidRDefault="00510214" w:rsidP="008434AA">
            <w:pPr>
              <w:jc w:val="center"/>
              <w:rPr>
                <w:sz w:val="24"/>
                <w:szCs w:val="24"/>
              </w:rPr>
            </w:pPr>
          </w:p>
        </w:tc>
      </w:tr>
      <w:tr w:rsidR="001B4E5A" w14:paraId="23E54628" w14:textId="77777777" w:rsidTr="00766619">
        <w:trPr>
          <w:cnfStyle w:val="000000010000" w:firstRow="0" w:lastRow="0" w:firstColumn="0" w:lastColumn="0" w:oddVBand="0" w:evenVBand="0" w:oddHBand="0" w:evenHBand="1" w:firstRowFirstColumn="0" w:firstRowLastColumn="0" w:lastRowFirstColumn="0" w:lastRowLastColumn="0"/>
        </w:trPr>
        <w:tc>
          <w:tcPr>
            <w:tcW w:w="3261" w:type="dxa"/>
            <w:tcBorders>
              <w:right w:val="single" w:sz="2" w:space="0" w:color="000000" w:themeColor="text1"/>
            </w:tcBorders>
            <w:hideMark/>
          </w:tcPr>
          <w:p w14:paraId="2ED49B14" w14:textId="77777777" w:rsidR="00510214" w:rsidRPr="00766619" w:rsidRDefault="00510214">
            <w:pPr>
              <w:pStyle w:val="NormalWeb"/>
              <w:rPr>
                <w:b/>
              </w:rPr>
            </w:pPr>
            <w:r w:rsidRPr="00766619">
              <w:rPr>
                <w:b/>
              </w:rPr>
              <w:t>Sub-total</w:t>
            </w:r>
          </w:p>
        </w:tc>
        <w:tc>
          <w:tcPr>
            <w:tcW w:w="1842" w:type="dxa"/>
            <w:tcBorders>
              <w:left w:val="single" w:sz="2" w:space="0" w:color="000000" w:themeColor="text1"/>
              <w:right w:val="single" w:sz="2" w:space="0" w:color="000000" w:themeColor="text1"/>
            </w:tcBorders>
            <w:hideMark/>
          </w:tcPr>
          <w:p w14:paraId="2D4E0856" w14:textId="77777777" w:rsidR="00510214" w:rsidRPr="00766619" w:rsidRDefault="00510214" w:rsidP="00A22473">
            <w:pPr>
              <w:pStyle w:val="NormalWeb"/>
              <w:jc w:val="center"/>
              <w:rPr>
                <w:b/>
              </w:rPr>
            </w:pPr>
            <w:r w:rsidRPr="00766619">
              <w:rPr>
                <w:b/>
              </w:rPr>
              <w:t>84</w:t>
            </w:r>
          </w:p>
        </w:tc>
        <w:tc>
          <w:tcPr>
            <w:tcW w:w="2268" w:type="dxa"/>
            <w:tcBorders>
              <w:left w:val="single" w:sz="2" w:space="0" w:color="000000" w:themeColor="text1"/>
              <w:right w:val="single" w:sz="2" w:space="0" w:color="auto"/>
            </w:tcBorders>
            <w:hideMark/>
          </w:tcPr>
          <w:p w14:paraId="25A29C51" w14:textId="77777777" w:rsidR="00510214" w:rsidRPr="00766619" w:rsidRDefault="00510214" w:rsidP="00A22473">
            <w:pPr>
              <w:pStyle w:val="NormalWeb"/>
              <w:jc w:val="center"/>
              <w:rPr>
                <w:b/>
              </w:rPr>
            </w:pPr>
            <w:r w:rsidRPr="00766619">
              <w:rPr>
                <w:b/>
              </w:rPr>
              <w:t>22.3</w:t>
            </w:r>
          </w:p>
        </w:tc>
        <w:tc>
          <w:tcPr>
            <w:tcW w:w="3095" w:type="dxa"/>
            <w:vMerge/>
            <w:tcBorders>
              <w:top w:val="single" w:sz="2" w:space="0" w:color="000000" w:themeColor="text1"/>
              <w:left w:val="single" w:sz="2" w:space="0" w:color="auto"/>
            </w:tcBorders>
            <w:shd w:val="clear" w:color="auto" w:fill="auto"/>
            <w:vAlign w:val="center"/>
            <w:hideMark/>
          </w:tcPr>
          <w:p w14:paraId="6A53976E" w14:textId="77777777" w:rsidR="00510214" w:rsidRDefault="00510214" w:rsidP="008434AA">
            <w:pPr>
              <w:jc w:val="center"/>
              <w:rPr>
                <w:sz w:val="24"/>
                <w:szCs w:val="24"/>
              </w:rPr>
            </w:pPr>
          </w:p>
        </w:tc>
      </w:tr>
      <w:tr w:rsidR="00510214" w14:paraId="3A8F2B20" w14:textId="77777777" w:rsidTr="008434AA">
        <w:tc>
          <w:tcPr>
            <w:tcW w:w="3261" w:type="dxa"/>
            <w:tcBorders>
              <w:right w:val="single" w:sz="2" w:space="0" w:color="000000" w:themeColor="text1"/>
            </w:tcBorders>
            <w:shd w:val="clear" w:color="auto" w:fill="auto"/>
            <w:hideMark/>
          </w:tcPr>
          <w:p w14:paraId="2DC1354A" w14:textId="77777777" w:rsidR="00510214" w:rsidRDefault="00510214">
            <w:pPr>
              <w:pStyle w:val="NormalWeb"/>
            </w:pPr>
            <w:r>
              <w:t>Still under treatment</w:t>
            </w:r>
          </w:p>
        </w:tc>
        <w:tc>
          <w:tcPr>
            <w:tcW w:w="1842" w:type="dxa"/>
            <w:tcBorders>
              <w:left w:val="single" w:sz="2" w:space="0" w:color="000000" w:themeColor="text1"/>
              <w:right w:val="single" w:sz="2" w:space="0" w:color="000000" w:themeColor="text1"/>
            </w:tcBorders>
            <w:shd w:val="clear" w:color="auto" w:fill="auto"/>
            <w:hideMark/>
          </w:tcPr>
          <w:p w14:paraId="682619AB" w14:textId="77777777" w:rsidR="00510214" w:rsidRDefault="00510214" w:rsidP="00A22473">
            <w:pPr>
              <w:pStyle w:val="NormalWeb"/>
              <w:jc w:val="center"/>
            </w:pPr>
            <w:r>
              <w:t>40</w:t>
            </w:r>
          </w:p>
        </w:tc>
        <w:tc>
          <w:tcPr>
            <w:tcW w:w="2268" w:type="dxa"/>
            <w:tcBorders>
              <w:left w:val="single" w:sz="2" w:space="0" w:color="000000" w:themeColor="text1"/>
              <w:right w:val="single" w:sz="2" w:space="0" w:color="auto"/>
            </w:tcBorders>
            <w:shd w:val="clear" w:color="auto" w:fill="auto"/>
            <w:hideMark/>
          </w:tcPr>
          <w:p w14:paraId="18B3A165" w14:textId="77777777" w:rsidR="00510214" w:rsidRDefault="00510214" w:rsidP="00A22473">
            <w:pPr>
              <w:pStyle w:val="NormalWeb"/>
              <w:jc w:val="center"/>
            </w:pPr>
            <w:r>
              <w:t>10.7</w:t>
            </w:r>
          </w:p>
        </w:tc>
        <w:tc>
          <w:tcPr>
            <w:tcW w:w="3095" w:type="dxa"/>
            <w:vMerge w:val="restart"/>
            <w:tcBorders>
              <w:top w:val="single" w:sz="2" w:space="0" w:color="000000" w:themeColor="text1"/>
              <w:left w:val="single" w:sz="2" w:space="0" w:color="auto"/>
            </w:tcBorders>
            <w:shd w:val="clear" w:color="auto" w:fill="auto"/>
            <w:vAlign w:val="center"/>
            <w:hideMark/>
          </w:tcPr>
          <w:p w14:paraId="3E43653A" w14:textId="77777777" w:rsidR="00510214" w:rsidRDefault="00510214" w:rsidP="008434AA">
            <w:pPr>
              <w:pStyle w:val="NormalWeb"/>
              <w:jc w:val="center"/>
            </w:pPr>
            <w:r>
              <w:t>Still under treatment</w:t>
            </w:r>
          </w:p>
        </w:tc>
      </w:tr>
      <w:tr w:rsidR="001B4E5A" w14:paraId="4BD8FCAB" w14:textId="77777777" w:rsidTr="004519C5">
        <w:trPr>
          <w:cnfStyle w:val="000000010000" w:firstRow="0" w:lastRow="0" w:firstColumn="0" w:lastColumn="0" w:oddVBand="0" w:evenVBand="0" w:oddHBand="0" w:evenHBand="1" w:firstRowFirstColumn="0" w:firstRowLastColumn="0" w:lastRowFirstColumn="0" w:lastRowLastColumn="0"/>
        </w:trPr>
        <w:tc>
          <w:tcPr>
            <w:tcW w:w="3261" w:type="dxa"/>
            <w:tcBorders>
              <w:bottom w:val="single" w:sz="4" w:space="0" w:color="auto"/>
              <w:right w:val="single" w:sz="2" w:space="0" w:color="000000" w:themeColor="text1"/>
            </w:tcBorders>
            <w:hideMark/>
          </w:tcPr>
          <w:p w14:paraId="2176484A" w14:textId="77777777" w:rsidR="00510214" w:rsidRPr="00B50FBA" w:rsidRDefault="00510214">
            <w:pPr>
              <w:pStyle w:val="NormalWeb"/>
              <w:rPr>
                <w:b/>
              </w:rPr>
            </w:pPr>
            <w:r w:rsidRPr="00B50FBA">
              <w:rPr>
                <w:b/>
              </w:rPr>
              <w:t>Sub-total</w:t>
            </w:r>
          </w:p>
        </w:tc>
        <w:tc>
          <w:tcPr>
            <w:tcW w:w="1842" w:type="dxa"/>
            <w:tcBorders>
              <w:left w:val="single" w:sz="2" w:space="0" w:color="000000" w:themeColor="text1"/>
              <w:bottom w:val="single" w:sz="4" w:space="0" w:color="auto"/>
              <w:right w:val="single" w:sz="2" w:space="0" w:color="000000" w:themeColor="text1"/>
            </w:tcBorders>
            <w:hideMark/>
          </w:tcPr>
          <w:p w14:paraId="51BFF44E" w14:textId="77777777" w:rsidR="00510214" w:rsidRPr="00B50FBA" w:rsidRDefault="00510214" w:rsidP="00A22473">
            <w:pPr>
              <w:pStyle w:val="NormalWeb"/>
              <w:jc w:val="center"/>
              <w:rPr>
                <w:b/>
              </w:rPr>
            </w:pPr>
            <w:r w:rsidRPr="00B50FBA">
              <w:rPr>
                <w:b/>
              </w:rPr>
              <w:t>40</w:t>
            </w:r>
          </w:p>
        </w:tc>
        <w:tc>
          <w:tcPr>
            <w:tcW w:w="2268" w:type="dxa"/>
            <w:tcBorders>
              <w:left w:val="single" w:sz="2" w:space="0" w:color="000000" w:themeColor="text1"/>
              <w:bottom w:val="single" w:sz="4" w:space="0" w:color="auto"/>
              <w:right w:val="single" w:sz="2" w:space="0" w:color="auto"/>
            </w:tcBorders>
            <w:hideMark/>
          </w:tcPr>
          <w:p w14:paraId="4C0C41BB" w14:textId="77777777" w:rsidR="00510214" w:rsidRPr="00B50FBA" w:rsidRDefault="00510214" w:rsidP="00A22473">
            <w:pPr>
              <w:pStyle w:val="NormalWeb"/>
              <w:jc w:val="center"/>
              <w:rPr>
                <w:b/>
              </w:rPr>
            </w:pPr>
            <w:r w:rsidRPr="00B50FBA">
              <w:rPr>
                <w:b/>
              </w:rPr>
              <w:t>10.7</w:t>
            </w:r>
          </w:p>
        </w:tc>
        <w:tc>
          <w:tcPr>
            <w:tcW w:w="3095" w:type="dxa"/>
            <w:vMerge/>
            <w:tcBorders>
              <w:top w:val="single" w:sz="2" w:space="0" w:color="000000" w:themeColor="text1"/>
              <w:left w:val="single" w:sz="2" w:space="0" w:color="auto"/>
              <w:bottom w:val="single" w:sz="4" w:space="0" w:color="auto"/>
            </w:tcBorders>
            <w:shd w:val="clear" w:color="auto" w:fill="auto"/>
            <w:vAlign w:val="center"/>
            <w:hideMark/>
          </w:tcPr>
          <w:p w14:paraId="0D428445" w14:textId="77777777" w:rsidR="00510214" w:rsidRDefault="00510214" w:rsidP="008434AA">
            <w:pPr>
              <w:jc w:val="center"/>
              <w:rPr>
                <w:sz w:val="24"/>
                <w:szCs w:val="24"/>
              </w:rPr>
            </w:pPr>
          </w:p>
        </w:tc>
      </w:tr>
      <w:tr w:rsidR="00085A5A" w:rsidRPr="00812216" w14:paraId="2BAE06E6" w14:textId="77777777" w:rsidTr="004519C5">
        <w:tc>
          <w:tcPr>
            <w:tcW w:w="3261" w:type="dxa"/>
            <w:tcBorders>
              <w:top w:val="single" w:sz="4" w:space="0" w:color="auto"/>
              <w:right w:val="single" w:sz="2" w:space="0" w:color="000000" w:themeColor="text1"/>
            </w:tcBorders>
            <w:shd w:val="clear" w:color="auto" w:fill="FDE9D9" w:themeFill="accent6" w:themeFillTint="33"/>
            <w:hideMark/>
          </w:tcPr>
          <w:p w14:paraId="5E620F66" w14:textId="77777777" w:rsidR="00510214" w:rsidRPr="00812216" w:rsidRDefault="00510214">
            <w:pPr>
              <w:pStyle w:val="NormalWeb"/>
              <w:rPr>
                <w:b/>
              </w:rPr>
            </w:pPr>
            <w:r w:rsidRPr="00812216">
              <w:rPr>
                <w:b/>
              </w:rPr>
              <w:t>Total</w:t>
            </w:r>
          </w:p>
        </w:tc>
        <w:tc>
          <w:tcPr>
            <w:tcW w:w="1842" w:type="dxa"/>
            <w:tcBorders>
              <w:top w:val="single" w:sz="4" w:space="0" w:color="auto"/>
              <w:left w:val="single" w:sz="2" w:space="0" w:color="000000" w:themeColor="text1"/>
              <w:right w:val="single" w:sz="2" w:space="0" w:color="000000" w:themeColor="text1"/>
            </w:tcBorders>
            <w:shd w:val="clear" w:color="auto" w:fill="FDE9D9" w:themeFill="accent6" w:themeFillTint="33"/>
            <w:hideMark/>
          </w:tcPr>
          <w:p w14:paraId="72F5AFBE" w14:textId="77777777" w:rsidR="00510214" w:rsidRPr="00812216" w:rsidRDefault="00510214" w:rsidP="00A22473">
            <w:pPr>
              <w:pStyle w:val="NormalWeb"/>
              <w:jc w:val="center"/>
              <w:rPr>
                <w:b/>
              </w:rPr>
            </w:pPr>
            <w:r w:rsidRPr="00812216">
              <w:rPr>
                <w:b/>
              </w:rPr>
              <w:t>375</w:t>
            </w:r>
          </w:p>
        </w:tc>
        <w:tc>
          <w:tcPr>
            <w:tcW w:w="2268" w:type="dxa"/>
            <w:tcBorders>
              <w:top w:val="single" w:sz="4" w:space="0" w:color="auto"/>
              <w:left w:val="single" w:sz="2" w:space="0" w:color="000000" w:themeColor="text1"/>
              <w:right w:val="single" w:sz="2" w:space="0" w:color="auto"/>
            </w:tcBorders>
            <w:shd w:val="clear" w:color="auto" w:fill="FDE9D9" w:themeFill="accent6" w:themeFillTint="33"/>
            <w:hideMark/>
          </w:tcPr>
          <w:p w14:paraId="5663F73F" w14:textId="77777777" w:rsidR="00510214" w:rsidRPr="00812216" w:rsidRDefault="00510214" w:rsidP="00A22473">
            <w:pPr>
              <w:pStyle w:val="NormalWeb"/>
              <w:jc w:val="center"/>
              <w:rPr>
                <w:b/>
              </w:rPr>
            </w:pPr>
            <w:r w:rsidRPr="00812216">
              <w:rPr>
                <w:b/>
              </w:rPr>
              <w:t>100</w:t>
            </w:r>
          </w:p>
        </w:tc>
        <w:tc>
          <w:tcPr>
            <w:tcW w:w="3095" w:type="dxa"/>
            <w:tcBorders>
              <w:top w:val="single" w:sz="4" w:space="0" w:color="auto"/>
              <w:left w:val="single" w:sz="2" w:space="0" w:color="auto"/>
            </w:tcBorders>
            <w:shd w:val="clear" w:color="auto" w:fill="auto"/>
            <w:vAlign w:val="center"/>
            <w:hideMark/>
          </w:tcPr>
          <w:p w14:paraId="54110307" w14:textId="77777777" w:rsidR="00510214" w:rsidRPr="00812216" w:rsidRDefault="00510214" w:rsidP="008434AA">
            <w:pPr>
              <w:jc w:val="center"/>
              <w:rPr>
                <w:b/>
              </w:rPr>
            </w:pPr>
          </w:p>
        </w:tc>
      </w:tr>
    </w:tbl>
    <w:p w14:paraId="4E4B79D9" w14:textId="77777777" w:rsidR="00510214" w:rsidRDefault="00510214" w:rsidP="00CE6C3E">
      <w:pPr>
        <w:pStyle w:val="CDIFigures"/>
        <w:rPr>
          <w:sz w:val="24"/>
          <w:szCs w:val="24"/>
        </w:rPr>
      </w:pPr>
      <w:r>
        <w:t>Table 2: Multidrug-resistant tuberculosis case notifications in Australia (1999–2018) by selected demographic, clinical, laboratory, drug resistance profile characteristics and risk factors for tuberculosis acquisition</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his table presents a summary of the of the 375 MDR-TB case notifications in Australia between 1999 and 2018, categorised by selected demographic, clinical, laboratory, TB treatment, TB drug resistance profile and risk factors for TB acquisition. The table categorises cases by the following 17 variables: sex, five year age groups, indigenous status, country of birth (Australia, Papua New Guinea or other), notifying jurisdiction, pulmonary or extra-pulmonary TB, HIV status, sputum smear microscopy result, previous TB treatment, treatment with one or more fluoroquinolones, treatment with one or more second-line injectable agents, combination therapy (fluoroquinolones and second-line injectable agents) resistance to one or more fluoroquinolones, resistance to one or more second-line injectable agents, past travel or residence in a TB high risk country, close or household contact with a TB case, and health industry employment.&#10;"/>
      </w:tblPr>
      <w:tblGrid>
        <w:gridCol w:w="6096"/>
        <w:gridCol w:w="1804"/>
        <w:gridCol w:w="2540"/>
      </w:tblGrid>
      <w:tr w:rsidR="00545234" w:rsidRPr="00545234" w14:paraId="215D7192" w14:textId="77777777" w:rsidTr="0016097A">
        <w:trPr>
          <w:cnfStyle w:val="100000000000" w:firstRow="1" w:lastRow="0" w:firstColumn="0" w:lastColumn="0" w:oddVBand="0" w:evenVBand="0" w:oddHBand="0" w:evenHBand="0" w:firstRowFirstColumn="0" w:firstRowLastColumn="0" w:lastRowFirstColumn="0" w:lastRowLastColumn="0"/>
          <w:tblHeader/>
        </w:trPr>
        <w:tc>
          <w:tcPr>
            <w:tcW w:w="6096" w:type="dxa"/>
            <w:vMerge w:val="restart"/>
            <w:tcBorders>
              <w:bottom w:val="single" w:sz="2" w:space="0" w:color="FFFFFF" w:themeColor="background1"/>
              <w:right w:val="single" w:sz="2" w:space="0" w:color="FFFFFF" w:themeColor="background1"/>
            </w:tcBorders>
            <w:hideMark/>
          </w:tcPr>
          <w:p w14:paraId="408E60EF" w14:textId="77777777" w:rsidR="00510214" w:rsidRPr="00545234" w:rsidRDefault="00510214">
            <w:pPr>
              <w:pStyle w:val="NormalWeb"/>
              <w:rPr>
                <w:color w:val="FFFFFF" w:themeColor="background1"/>
              </w:rPr>
            </w:pPr>
            <w:r w:rsidRPr="00545234">
              <w:rPr>
                <w:color w:val="FFFFFF" w:themeColor="background1"/>
              </w:rPr>
              <w:t>Characteristic</w:t>
            </w:r>
          </w:p>
        </w:tc>
        <w:tc>
          <w:tcPr>
            <w:tcW w:w="4344" w:type="dxa"/>
            <w:gridSpan w:val="2"/>
            <w:tcBorders>
              <w:left w:val="single" w:sz="2" w:space="0" w:color="FFFFFF" w:themeColor="background1"/>
              <w:bottom w:val="single" w:sz="2" w:space="0" w:color="FFFFFF" w:themeColor="background1"/>
            </w:tcBorders>
            <w:hideMark/>
          </w:tcPr>
          <w:p w14:paraId="31298844" w14:textId="77777777" w:rsidR="00510214" w:rsidRPr="00545234" w:rsidRDefault="00510214" w:rsidP="005E1FDF">
            <w:pPr>
              <w:pStyle w:val="NormalWeb"/>
              <w:jc w:val="center"/>
              <w:rPr>
                <w:color w:val="FFFFFF" w:themeColor="background1"/>
              </w:rPr>
            </w:pPr>
            <w:r w:rsidRPr="00545234">
              <w:rPr>
                <w:color w:val="FFFFFF" w:themeColor="background1"/>
              </w:rPr>
              <w:t>Total (n = 375)</w:t>
            </w:r>
          </w:p>
        </w:tc>
      </w:tr>
      <w:tr w:rsidR="00545234" w:rsidRPr="00545234" w14:paraId="3F69CF62" w14:textId="77777777" w:rsidTr="0016097A">
        <w:trPr>
          <w:cnfStyle w:val="100000000000" w:firstRow="1" w:lastRow="0" w:firstColumn="0" w:lastColumn="0" w:oddVBand="0" w:evenVBand="0" w:oddHBand="0" w:evenHBand="0" w:firstRowFirstColumn="0" w:firstRowLastColumn="0" w:lastRowFirstColumn="0" w:lastRowLastColumn="0"/>
          <w:tblHeader/>
        </w:trPr>
        <w:tc>
          <w:tcPr>
            <w:tcW w:w="6096" w:type="dxa"/>
            <w:vMerge/>
            <w:tcBorders>
              <w:top w:val="single" w:sz="2" w:space="0" w:color="FFFFFF" w:themeColor="background1"/>
              <w:right w:val="single" w:sz="2" w:space="0" w:color="FFFFFF" w:themeColor="background1"/>
            </w:tcBorders>
            <w:hideMark/>
          </w:tcPr>
          <w:p w14:paraId="18DAB1DA" w14:textId="77777777" w:rsidR="00510214" w:rsidRPr="00545234" w:rsidRDefault="00510214">
            <w:pPr>
              <w:rPr>
                <w:color w:val="FFFFFF" w:themeColor="background1"/>
                <w:sz w:val="24"/>
                <w:szCs w:val="24"/>
              </w:rPr>
            </w:pPr>
          </w:p>
        </w:tc>
        <w:tc>
          <w:tcPr>
            <w:tcW w:w="1804" w:type="dxa"/>
            <w:tcBorders>
              <w:top w:val="single" w:sz="2" w:space="0" w:color="FFFFFF" w:themeColor="background1"/>
              <w:left w:val="single" w:sz="2" w:space="0" w:color="FFFFFF" w:themeColor="background1"/>
              <w:right w:val="single" w:sz="2" w:space="0" w:color="FFFFFF" w:themeColor="background1"/>
            </w:tcBorders>
            <w:hideMark/>
          </w:tcPr>
          <w:p w14:paraId="18E5BA6F" w14:textId="77777777" w:rsidR="00510214" w:rsidRPr="00545234" w:rsidRDefault="00510214" w:rsidP="005E1FDF">
            <w:pPr>
              <w:pStyle w:val="NormalWeb"/>
              <w:jc w:val="center"/>
              <w:rPr>
                <w:color w:val="FFFFFF" w:themeColor="background1"/>
              </w:rPr>
            </w:pPr>
            <w:r w:rsidRPr="00545234">
              <w:rPr>
                <w:color w:val="FFFFFF" w:themeColor="background1"/>
              </w:rPr>
              <w:t>Number (n)</w:t>
            </w:r>
          </w:p>
        </w:tc>
        <w:tc>
          <w:tcPr>
            <w:tcW w:w="2540" w:type="dxa"/>
            <w:tcBorders>
              <w:top w:val="single" w:sz="2" w:space="0" w:color="FFFFFF" w:themeColor="background1"/>
              <w:left w:val="single" w:sz="2" w:space="0" w:color="FFFFFF" w:themeColor="background1"/>
            </w:tcBorders>
            <w:hideMark/>
          </w:tcPr>
          <w:p w14:paraId="402DFDAE" w14:textId="77777777" w:rsidR="00510214" w:rsidRPr="00545234" w:rsidRDefault="00510214" w:rsidP="005E1FDF">
            <w:pPr>
              <w:pStyle w:val="NormalWeb"/>
              <w:jc w:val="center"/>
              <w:rPr>
                <w:color w:val="FFFFFF" w:themeColor="background1"/>
              </w:rPr>
            </w:pPr>
            <w:r w:rsidRPr="00545234">
              <w:rPr>
                <w:color w:val="FFFFFF" w:themeColor="background1"/>
              </w:rPr>
              <w:t>Percentage (%)</w:t>
            </w:r>
          </w:p>
        </w:tc>
      </w:tr>
      <w:tr w:rsidR="00137A80" w:rsidRPr="00137A80" w14:paraId="612D65CF" w14:textId="77777777" w:rsidTr="004A0630">
        <w:tc>
          <w:tcPr>
            <w:tcW w:w="10440" w:type="dxa"/>
            <w:gridSpan w:val="3"/>
            <w:shd w:val="clear" w:color="auto" w:fill="808080" w:themeFill="background1" w:themeFillShade="80"/>
            <w:hideMark/>
          </w:tcPr>
          <w:p w14:paraId="5945ADE7" w14:textId="77777777" w:rsidR="00510214" w:rsidRPr="00137A80" w:rsidRDefault="00510214">
            <w:pPr>
              <w:pStyle w:val="NormalWeb"/>
              <w:rPr>
                <w:b/>
                <w:color w:val="FFFFFF" w:themeColor="background1"/>
              </w:rPr>
            </w:pPr>
            <w:r w:rsidRPr="00137A80">
              <w:rPr>
                <w:b/>
                <w:color w:val="FFFFFF" w:themeColor="background1"/>
              </w:rPr>
              <w:t>Demographic</w:t>
            </w:r>
          </w:p>
        </w:tc>
      </w:tr>
      <w:tr w:rsidR="00510214" w:rsidRPr="00B227E2" w14:paraId="2D106A79" w14:textId="77777777" w:rsidTr="004A0630">
        <w:trPr>
          <w:cnfStyle w:val="000000010000" w:firstRow="0" w:lastRow="0" w:firstColumn="0" w:lastColumn="0" w:oddVBand="0" w:evenVBand="0" w:oddHBand="0" w:evenHBand="1" w:firstRowFirstColumn="0" w:firstRowLastColumn="0" w:lastRowFirstColumn="0" w:lastRowLastColumn="0"/>
        </w:trPr>
        <w:tc>
          <w:tcPr>
            <w:tcW w:w="10440" w:type="dxa"/>
            <w:gridSpan w:val="3"/>
            <w:tcBorders>
              <w:bottom w:val="single" w:sz="2" w:space="0" w:color="000000" w:themeColor="text1"/>
            </w:tcBorders>
            <w:shd w:val="clear" w:color="auto" w:fill="auto"/>
            <w:hideMark/>
          </w:tcPr>
          <w:p w14:paraId="25A7AFCF" w14:textId="77777777" w:rsidR="00510214" w:rsidRPr="00B227E2" w:rsidRDefault="00510214">
            <w:pPr>
              <w:pStyle w:val="NormalWeb"/>
              <w:rPr>
                <w:b/>
              </w:rPr>
            </w:pPr>
            <w:r w:rsidRPr="00B227E2">
              <w:rPr>
                <w:b/>
              </w:rPr>
              <w:t>Sex</w:t>
            </w:r>
          </w:p>
        </w:tc>
      </w:tr>
      <w:tr w:rsidR="00510214" w14:paraId="216E7698" w14:textId="77777777" w:rsidTr="004A0630">
        <w:tc>
          <w:tcPr>
            <w:tcW w:w="6096" w:type="dxa"/>
            <w:tcBorders>
              <w:top w:val="single" w:sz="2" w:space="0" w:color="000000" w:themeColor="text1"/>
              <w:bottom w:val="single" w:sz="2" w:space="0" w:color="000000" w:themeColor="text1"/>
            </w:tcBorders>
            <w:shd w:val="clear" w:color="auto" w:fill="auto"/>
            <w:hideMark/>
          </w:tcPr>
          <w:p w14:paraId="69D1685D" w14:textId="77777777" w:rsidR="00510214" w:rsidRDefault="00510214" w:rsidP="001F466D">
            <w:pPr>
              <w:pStyle w:val="NormalWeb"/>
              <w:ind w:left="720"/>
            </w:pPr>
            <w:r>
              <w:t>Male</w:t>
            </w:r>
          </w:p>
        </w:tc>
        <w:tc>
          <w:tcPr>
            <w:tcW w:w="1804" w:type="dxa"/>
            <w:tcBorders>
              <w:top w:val="single" w:sz="2" w:space="0" w:color="000000" w:themeColor="text1"/>
              <w:bottom w:val="single" w:sz="2" w:space="0" w:color="000000" w:themeColor="text1"/>
            </w:tcBorders>
            <w:shd w:val="clear" w:color="auto" w:fill="auto"/>
            <w:hideMark/>
          </w:tcPr>
          <w:p w14:paraId="219DB1C5" w14:textId="77777777" w:rsidR="00510214" w:rsidRDefault="00510214" w:rsidP="005E1FDF">
            <w:pPr>
              <w:pStyle w:val="NormalWeb"/>
              <w:jc w:val="center"/>
            </w:pPr>
            <w:r>
              <w:t>184</w:t>
            </w:r>
          </w:p>
        </w:tc>
        <w:tc>
          <w:tcPr>
            <w:tcW w:w="2540" w:type="dxa"/>
            <w:tcBorders>
              <w:top w:val="single" w:sz="2" w:space="0" w:color="000000" w:themeColor="text1"/>
              <w:bottom w:val="single" w:sz="2" w:space="0" w:color="000000" w:themeColor="text1"/>
            </w:tcBorders>
            <w:shd w:val="clear" w:color="auto" w:fill="auto"/>
            <w:hideMark/>
          </w:tcPr>
          <w:p w14:paraId="39B9A151" w14:textId="77777777" w:rsidR="00510214" w:rsidRDefault="00510214" w:rsidP="005E1FDF">
            <w:pPr>
              <w:pStyle w:val="NormalWeb"/>
              <w:jc w:val="center"/>
            </w:pPr>
            <w:r>
              <w:t>49.1</w:t>
            </w:r>
          </w:p>
        </w:tc>
      </w:tr>
      <w:tr w:rsidR="00510214" w14:paraId="646E4321" w14:textId="77777777" w:rsidTr="004A0630">
        <w:trPr>
          <w:cnfStyle w:val="000000010000" w:firstRow="0" w:lastRow="0" w:firstColumn="0" w:lastColumn="0" w:oddVBand="0" w:evenVBand="0" w:oddHBand="0" w:evenHBand="1" w:firstRowFirstColumn="0" w:firstRowLastColumn="0" w:lastRowFirstColumn="0" w:lastRowLastColumn="0"/>
        </w:trPr>
        <w:tc>
          <w:tcPr>
            <w:tcW w:w="6096" w:type="dxa"/>
            <w:tcBorders>
              <w:top w:val="single" w:sz="2" w:space="0" w:color="000000" w:themeColor="text1"/>
              <w:bottom w:val="single" w:sz="2" w:space="0" w:color="000000" w:themeColor="text1"/>
            </w:tcBorders>
            <w:shd w:val="clear" w:color="auto" w:fill="auto"/>
            <w:hideMark/>
          </w:tcPr>
          <w:p w14:paraId="25C87AB7" w14:textId="77777777" w:rsidR="00510214" w:rsidRDefault="00510214" w:rsidP="001F466D">
            <w:pPr>
              <w:pStyle w:val="NormalWeb"/>
              <w:ind w:left="720"/>
            </w:pPr>
            <w:r>
              <w:t>Female</w:t>
            </w:r>
          </w:p>
        </w:tc>
        <w:tc>
          <w:tcPr>
            <w:tcW w:w="1804" w:type="dxa"/>
            <w:tcBorders>
              <w:top w:val="single" w:sz="2" w:space="0" w:color="000000" w:themeColor="text1"/>
              <w:bottom w:val="single" w:sz="2" w:space="0" w:color="000000" w:themeColor="text1"/>
            </w:tcBorders>
            <w:shd w:val="clear" w:color="auto" w:fill="auto"/>
            <w:hideMark/>
          </w:tcPr>
          <w:p w14:paraId="17187BA0" w14:textId="77777777" w:rsidR="00510214" w:rsidRDefault="00510214" w:rsidP="005E1FDF">
            <w:pPr>
              <w:pStyle w:val="NormalWeb"/>
              <w:jc w:val="center"/>
            </w:pPr>
            <w:r>
              <w:t>191</w:t>
            </w:r>
          </w:p>
        </w:tc>
        <w:tc>
          <w:tcPr>
            <w:tcW w:w="2540" w:type="dxa"/>
            <w:tcBorders>
              <w:top w:val="single" w:sz="2" w:space="0" w:color="000000" w:themeColor="text1"/>
              <w:bottom w:val="single" w:sz="2" w:space="0" w:color="000000" w:themeColor="text1"/>
            </w:tcBorders>
            <w:shd w:val="clear" w:color="auto" w:fill="auto"/>
            <w:hideMark/>
          </w:tcPr>
          <w:p w14:paraId="214B64FF" w14:textId="77777777" w:rsidR="00510214" w:rsidRDefault="00510214" w:rsidP="005E1FDF">
            <w:pPr>
              <w:pStyle w:val="NormalWeb"/>
              <w:jc w:val="center"/>
            </w:pPr>
            <w:r>
              <w:t>50.9</w:t>
            </w:r>
          </w:p>
        </w:tc>
      </w:tr>
      <w:tr w:rsidR="00365EEC" w:rsidRPr="00365EEC" w14:paraId="594F7151" w14:textId="77777777" w:rsidTr="004A0630">
        <w:tc>
          <w:tcPr>
            <w:tcW w:w="10440" w:type="dxa"/>
            <w:gridSpan w:val="3"/>
            <w:tcBorders>
              <w:top w:val="single" w:sz="2" w:space="0" w:color="000000" w:themeColor="text1"/>
              <w:bottom w:val="single" w:sz="2" w:space="0" w:color="000000" w:themeColor="text1"/>
            </w:tcBorders>
            <w:shd w:val="clear" w:color="auto" w:fill="auto"/>
            <w:hideMark/>
          </w:tcPr>
          <w:p w14:paraId="7512478A" w14:textId="77777777" w:rsidR="00510214" w:rsidRPr="00365EEC" w:rsidRDefault="00510214">
            <w:pPr>
              <w:pStyle w:val="NormalWeb"/>
              <w:rPr>
                <w:b/>
              </w:rPr>
            </w:pPr>
            <w:r w:rsidRPr="00365EEC">
              <w:rPr>
                <w:b/>
              </w:rPr>
              <w:t>Age group (years)</w:t>
            </w:r>
          </w:p>
        </w:tc>
      </w:tr>
      <w:tr w:rsidR="00510214" w14:paraId="248DF36E" w14:textId="77777777" w:rsidTr="004A0630">
        <w:trPr>
          <w:cnfStyle w:val="000000010000" w:firstRow="0" w:lastRow="0" w:firstColumn="0" w:lastColumn="0" w:oddVBand="0" w:evenVBand="0" w:oddHBand="0" w:evenHBand="1" w:firstRowFirstColumn="0" w:firstRowLastColumn="0" w:lastRowFirstColumn="0" w:lastRowLastColumn="0"/>
        </w:trPr>
        <w:tc>
          <w:tcPr>
            <w:tcW w:w="6096" w:type="dxa"/>
            <w:tcBorders>
              <w:top w:val="single" w:sz="2" w:space="0" w:color="000000" w:themeColor="text1"/>
              <w:bottom w:val="single" w:sz="2" w:space="0" w:color="000000" w:themeColor="text1"/>
            </w:tcBorders>
            <w:shd w:val="clear" w:color="auto" w:fill="auto"/>
            <w:hideMark/>
          </w:tcPr>
          <w:p w14:paraId="57BB17C0" w14:textId="77777777" w:rsidR="00510214" w:rsidRDefault="00510214" w:rsidP="001F466D">
            <w:pPr>
              <w:pStyle w:val="NormalWeb"/>
              <w:ind w:left="720"/>
            </w:pPr>
            <w:r>
              <w:t>Under 5</w:t>
            </w:r>
          </w:p>
        </w:tc>
        <w:tc>
          <w:tcPr>
            <w:tcW w:w="1804" w:type="dxa"/>
            <w:tcBorders>
              <w:top w:val="single" w:sz="2" w:space="0" w:color="000000" w:themeColor="text1"/>
              <w:bottom w:val="single" w:sz="2" w:space="0" w:color="000000" w:themeColor="text1"/>
            </w:tcBorders>
            <w:shd w:val="clear" w:color="auto" w:fill="auto"/>
            <w:hideMark/>
          </w:tcPr>
          <w:p w14:paraId="3F8B0D19" w14:textId="77777777" w:rsidR="00510214" w:rsidRDefault="00510214" w:rsidP="005E1FDF">
            <w:pPr>
              <w:pStyle w:val="NormalWeb"/>
              <w:jc w:val="center"/>
            </w:pPr>
            <w:r>
              <w:t>8</w:t>
            </w:r>
          </w:p>
        </w:tc>
        <w:tc>
          <w:tcPr>
            <w:tcW w:w="2540" w:type="dxa"/>
            <w:tcBorders>
              <w:top w:val="single" w:sz="2" w:space="0" w:color="000000" w:themeColor="text1"/>
              <w:bottom w:val="single" w:sz="2" w:space="0" w:color="000000" w:themeColor="text1"/>
            </w:tcBorders>
            <w:shd w:val="clear" w:color="auto" w:fill="auto"/>
            <w:hideMark/>
          </w:tcPr>
          <w:p w14:paraId="54824495" w14:textId="77777777" w:rsidR="00510214" w:rsidRDefault="00510214" w:rsidP="005E1FDF">
            <w:pPr>
              <w:pStyle w:val="NormalWeb"/>
              <w:jc w:val="center"/>
            </w:pPr>
            <w:r>
              <w:t>2.1</w:t>
            </w:r>
          </w:p>
        </w:tc>
      </w:tr>
      <w:tr w:rsidR="00510214" w14:paraId="117E56E3" w14:textId="77777777" w:rsidTr="004A0630">
        <w:tc>
          <w:tcPr>
            <w:tcW w:w="6096" w:type="dxa"/>
            <w:tcBorders>
              <w:top w:val="single" w:sz="2" w:space="0" w:color="000000" w:themeColor="text1"/>
              <w:bottom w:val="single" w:sz="2" w:space="0" w:color="000000" w:themeColor="text1"/>
            </w:tcBorders>
            <w:shd w:val="clear" w:color="auto" w:fill="auto"/>
            <w:hideMark/>
          </w:tcPr>
          <w:p w14:paraId="74C07AA1" w14:textId="77777777" w:rsidR="00510214" w:rsidRDefault="00510214" w:rsidP="001F466D">
            <w:pPr>
              <w:pStyle w:val="NormalWeb"/>
              <w:ind w:left="720"/>
            </w:pPr>
            <w:r>
              <w:t>5–14</w:t>
            </w:r>
          </w:p>
        </w:tc>
        <w:tc>
          <w:tcPr>
            <w:tcW w:w="1804" w:type="dxa"/>
            <w:tcBorders>
              <w:top w:val="single" w:sz="2" w:space="0" w:color="000000" w:themeColor="text1"/>
              <w:bottom w:val="single" w:sz="2" w:space="0" w:color="000000" w:themeColor="text1"/>
            </w:tcBorders>
            <w:shd w:val="clear" w:color="auto" w:fill="auto"/>
            <w:hideMark/>
          </w:tcPr>
          <w:p w14:paraId="172D711F" w14:textId="77777777" w:rsidR="00510214" w:rsidRDefault="00510214" w:rsidP="005E1FDF">
            <w:pPr>
              <w:pStyle w:val="NormalWeb"/>
              <w:jc w:val="center"/>
            </w:pPr>
            <w:r>
              <w:t>6</w:t>
            </w:r>
          </w:p>
        </w:tc>
        <w:tc>
          <w:tcPr>
            <w:tcW w:w="2540" w:type="dxa"/>
            <w:tcBorders>
              <w:top w:val="single" w:sz="2" w:space="0" w:color="000000" w:themeColor="text1"/>
              <w:bottom w:val="single" w:sz="2" w:space="0" w:color="000000" w:themeColor="text1"/>
            </w:tcBorders>
            <w:shd w:val="clear" w:color="auto" w:fill="auto"/>
            <w:hideMark/>
          </w:tcPr>
          <w:p w14:paraId="455964D7" w14:textId="77777777" w:rsidR="00510214" w:rsidRDefault="00510214" w:rsidP="005E1FDF">
            <w:pPr>
              <w:pStyle w:val="NormalWeb"/>
              <w:jc w:val="center"/>
            </w:pPr>
            <w:r>
              <w:t>1.6</w:t>
            </w:r>
          </w:p>
        </w:tc>
      </w:tr>
      <w:tr w:rsidR="00510214" w14:paraId="7680CE19" w14:textId="77777777" w:rsidTr="004A0630">
        <w:trPr>
          <w:cnfStyle w:val="000000010000" w:firstRow="0" w:lastRow="0" w:firstColumn="0" w:lastColumn="0" w:oddVBand="0" w:evenVBand="0" w:oddHBand="0" w:evenHBand="1" w:firstRowFirstColumn="0" w:firstRowLastColumn="0" w:lastRowFirstColumn="0" w:lastRowLastColumn="0"/>
        </w:trPr>
        <w:tc>
          <w:tcPr>
            <w:tcW w:w="6096" w:type="dxa"/>
            <w:tcBorders>
              <w:top w:val="single" w:sz="2" w:space="0" w:color="000000" w:themeColor="text1"/>
              <w:bottom w:val="single" w:sz="2" w:space="0" w:color="000000" w:themeColor="text1"/>
            </w:tcBorders>
            <w:shd w:val="clear" w:color="auto" w:fill="auto"/>
            <w:hideMark/>
          </w:tcPr>
          <w:p w14:paraId="36D80095" w14:textId="77777777" w:rsidR="00510214" w:rsidRDefault="00510214" w:rsidP="001F466D">
            <w:pPr>
              <w:pStyle w:val="NormalWeb"/>
              <w:ind w:left="720"/>
            </w:pPr>
            <w:r>
              <w:t>15–29</w:t>
            </w:r>
          </w:p>
        </w:tc>
        <w:tc>
          <w:tcPr>
            <w:tcW w:w="1804" w:type="dxa"/>
            <w:tcBorders>
              <w:top w:val="single" w:sz="2" w:space="0" w:color="000000" w:themeColor="text1"/>
              <w:bottom w:val="single" w:sz="2" w:space="0" w:color="000000" w:themeColor="text1"/>
            </w:tcBorders>
            <w:shd w:val="clear" w:color="auto" w:fill="auto"/>
            <w:hideMark/>
          </w:tcPr>
          <w:p w14:paraId="179B1DDC" w14:textId="77777777" w:rsidR="00510214" w:rsidRDefault="00510214" w:rsidP="005E1FDF">
            <w:pPr>
              <w:pStyle w:val="NormalWeb"/>
              <w:jc w:val="center"/>
            </w:pPr>
            <w:r>
              <w:t>165</w:t>
            </w:r>
          </w:p>
        </w:tc>
        <w:tc>
          <w:tcPr>
            <w:tcW w:w="2540" w:type="dxa"/>
            <w:tcBorders>
              <w:top w:val="single" w:sz="2" w:space="0" w:color="000000" w:themeColor="text1"/>
              <w:bottom w:val="single" w:sz="2" w:space="0" w:color="000000" w:themeColor="text1"/>
            </w:tcBorders>
            <w:shd w:val="clear" w:color="auto" w:fill="auto"/>
            <w:hideMark/>
          </w:tcPr>
          <w:p w14:paraId="34D55092" w14:textId="77777777" w:rsidR="00510214" w:rsidRDefault="00510214" w:rsidP="005E1FDF">
            <w:pPr>
              <w:pStyle w:val="NormalWeb"/>
              <w:jc w:val="center"/>
            </w:pPr>
            <w:r>
              <w:t>44.0</w:t>
            </w:r>
          </w:p>
        </w:tc>
      </w:tr>
      <w:tr w:rsidR="00510214" w14:paraId="21050E26" w14:textId="77777777" w:rsidTr="004A0630">
        <w:tc>
          <w:tcPr>
            <w:tcW w:w="6096" w:type="dxa"/>
            <w:tcBorders>
              <w:top w:val="single" w:sz="2" w:space="0" w:color="000000" w:themeColor="text1"/>
              <w:bottom w:val="single" w:sz="2" w:space="0" w:color="000000" w:themeColor="text1"/>
            </w:tcBorders>
            <w:shd w:val="clear" w:color="auto" w:fill="auto"/>
            <w:hideMark/>
          </w:tcPr>
          <w:p w14:paraId="466F85D9" w14:textId="77777777" w:rsidR="00510214" w:rsidRDefault="00510214" w:rsidP="001F466D">
            <w:pPr>
              <w:pStyle w:val="NormalWeb"/>
              <w:ind w:left="720"/>
            </w:pPr>
            <w:r>
              <w:t>30–49</w:t>
            </w:r>
          </w:p>
        </w:tc>
        <w:tc>
          <w:tcPr>
            <w:tcW w:w="1804" w:type="dxa"/>
            <w:tcBorders>
              <w:top w:val="single" w:sz="2" w:space="0" w:color="000000" w:themeColor="text1"/>
              <w:bottom w:val="single" w:sz="2" w:space="0" w:color="000000" w:themeColor="text1"/>
            </w:tcBorders>
            <w:shd w:val="clear" w:color="auto" w:fill="auto"/>
            <w:hideMark/>
          </w:tcPr>
          <w:p w14:paraId="3F6EBDE8" w14:textId="77777777" w:rsidR="00510214" w:rsidRDefault="00510214" w:rsidP="005E1FDF">
            <w:pPr>
              <w:pStyle w:val="NormalWeb"/>
              <w:jc w:val="center"/>
            </w:pPr>
            <w:r>
              <w:t>146</w:t>
            </w:r>
          </w:p>
        </w:tc>
        <w:tc>
          <w:tcPr>
            <w:tcW w:w="2540" w:type="dxa"/>
            <w:tcBorders>
              <w:top w:val="single" w:sz="2" w:space="0" w:color="000000" w:themeColor="text1"/>
              <w:bottom w:val="single" w:sz="2" w:space="0" w:color="000000" w:themeColor="text1"/>
            </w:tcBorders>
            <w:shd w:val="clear" w:color="auto" w:fill="auto"/>
            <w:hideMark/>
          </w:tcPr>
          <w:p w14:paraId="16785296" w14:textId="77777777" w:rsidR="00510214" w:rsidRDefault="00510214" w:rsidP="005E1FDF">
            <w:pPr>
              <w:pStyle w:val="NormalWeb"/>
              <w:jc w:val="center"/>
            </w:pPr>
            <w:r>
              <w:t>38.9</w:t>
            </w:r>
          </w:p>
        </w:tc>
      </w:tr>
      <w:tr w:rsidR="00510214" w14:paraId="7A208D63" w14:textId="77777777" w:rsidTr="004A0630">
        <w:trPr>
          <w:cnfStyle w:val="000000010000" w:firstRow="0" w:lastRow="0" w:firstColumn="0" w:lastColumn="0" w:oddVBand="0" w:evenVBand="0" w:oddHBand="0" w:evenHBand="1" w:firstRowFirstColumn="0" w:firstRowLastColumn="0" w:lastRowFirstColumn="0" w:lastRowLastColumn="0"/>
        </w:trPr>
        <w:tc>
          <w:tcPr>
            <w:tcW w:w="6096" w:type="dxa"/>
            <w:tcBorders>
              <w:top w:val="single" w:sz="2" w:space="0" w:color="000000" w:themeColor="text1"/>
              <w:bottom w:val="single" w:sz="2" w:space="0" w:color="000000" w:themeColor="text1"/>
            </w:tcBorders>
            <w:shd w:val="clear" w:color="auto" w:fill="auto"/>
            <w:hideMark/>
          </w:tcPr>
          <w:p w14:paraId="59FC907C" w14:textId="77777777" w:rsidR="00510214" w:rsidRDefault="00510214" w:rsidP="001F466D">
            <w:pPr>
              <w:pStyle w:val="NormalWeb"/>
              <w:ind w:left="720"/>
            </w:pPr>
            <w:r>
              <w:t>50–64</w:t>
            </w:r>
          </w:p>
        </w:tc>
        <w:tc>
          <w:tcPr>
            <w:tcW w:w="1804" w:type="dxa"/>
            <w:tcBorders>
              <w:top w:val="single" w:sz="2" w:space="0" w:color="000000" w:themeColor="text1"/>
              <w:bottom w:val="single" w:sz="2" w:space="0" w:color="000000" w:themeColor="text1"/>
            </w:tcBorders>
            <w:shd w:val="clear" w:color="auto" w:fill="auto"/>
            <w:hideMark/>
          </w:tcPr>
          <w:p w14:paraId="493FC63B" w14:textId="77777777" w:rsidR="00510214" w:rsidRDefault="00510214" w:rsidP="005E1FDF">
            <w:pPr>
              <w:pStyle w:val="NormalWeb"/>
              <w:jc w:val="center"/>
            </w:pPr>
            <w:r>
              <w:t>34</w:t>
            </w:r>
          </w:p>
        </w:tc>
        <w:tc>
          <w:tcPr>
            <w:tcW w:w="2540" w:type="dxa"/>
            <w:tcBorders>
              <w:top w:val="single" w:sz="2" w:space="0" w:color="000000" w:themeColor="text1"/>
              <w:bottom w:val="single" w:sz="2" w:space="0" w:color="000000" w:themeColor="text1"/>
            </w:tcBorders>
            <w:shd w:val="clear" w:color="auto" w:fill="auto"/>
            <w:hideMark/>
          </w:tcPr>
          <w:p w14:paraId="2EA48F77" w14:textId="77777777" w:rsidR="00510214" w:rsidRDefault="00510214" w:rsidP="005E1FDF">
            <w:pPr>
              <w:pStyle w:val="NormalWeb"/>
              <w:jc w:val="center"/>
            </w:pPr>
            <w:r>
              <w:t>9.1</w:t>
            </w:r>
          </w:p>
        </w:tc>
      </w:tr>
      <w:tr w:rsidR="00510214" w14:paraId="28927F55" w14:textId="77777777" w:rsidTr="004A0630">
        <w:tc>
          <w:tcPr>
            <w:tcW w:w="6096" w:type="dxa"/>
            <w:tcBorders>
              <w:top w:val="single" w:sz="2" w:space="0" w:color="000000" w:themeColor="text1"/>
              <w:bottom w:val="single" w:sz="2" w:space="0" w:color="000000" w:themeColor="text1"/>
            </w:tcBorders>
            <w:shd w:val="clear" w:color="auto" w:fill="auto"/>
            <w:hideMark/>
          </w:tcPr>
          <w:p w14:paraId="4DDD01E8" w14:textId="77777777" w:rsidR="00510214" w:rsidRDefault="00510214" w:rsidP="001F466D">
            <w:pPr>
              <w:pStyle w:val="NormalWeb"/>
              <w:ind w:left="720"/>
            </w:pPr>
            <w:r>
              <w:lastRenderedPageBreak/>
              <w:t>65 and over</w:t>
            </w:r>
          </w:p>
        </w:tc>
        <w:tc>
          <w:tcPr>
            <w:tcW w:w="1804" w:type="dxa"/>
            <w:tcBorders>
              <w:top w:val="single" w:sz="2" w:space="0" w:color="000000" w:themeColor="text1"/>
              <w:bottom w:val="single" w:sz="2" w:space="0" w:color="000000" w:themeColor="text1"/>
            </w:tcBorders>
            <w:shd w:val="clear" w:color="auto" w:fill="auto"/>
            <w:hideMark/>
          </w:tcPr>
          <w:p w14:paraId="329EED56" w14:textId="77777777" w:rsidR="00510214" w:rsidRDefault="00510214" w:rsidP="005E1FDF">
            <w:pPr>
              <w:pStyle w:val="NormalWeb"/>
              <w:jc w:val="center"/>
            </w:pPr>
            <w:r>
              <w:t>16</w:t>
            </w:r>
          </w:p>
        </w:tc>
        <w:tc>
          <w:tcPr>
            <w:tcW w:w="2540" w:type="dxa"/>
            <w:tcBorders>
              <w:top w:val="single" w:sz="2" w:space="0" w:color="000000" w:themeColor="text1"/>
              <w:bottom w:val="single" w:sz="2" w:space="0" w:color="000000" w:themeColor="text1"/>
            </w:tcBorders>
            <w:shd w:val="clear" w:color="auto" w:fill="auto"/>
            <w:hideMark/>
          </w:tcPr>
          <w:p w14:paraId="1603BDBB" w14:textId="77777777" w:rsidR="00510214" w:rsidRDefault="00510214" w:rsidP="005E1FDF">
            <w:pPr>
              <w:pStyle w:val="NormalWeb"/>
              <w:jc w:val="center"/>
            </w:pPr>
            <w:r>
              <w:t>4.3</w:t>
            </w:r>
          </w:p>
        </w:tc>
      </w:tr>
      <w:tr w:rsidR="006A53F6" w:rsidRPr="006A53F6" w14:paraId="02EE001E" w14:textId="77777777" w:rsidTr="004A0630">
        <w:trPr>
          <w:cnfStyle w:val="000000010000" w:firstRow="0" w:lastRow="0" w:firstColumn="0" w:lastColumn="0" w:oddVBand="0" w:evenVBand="0" w:oddHBand="0" w:evenHBand="1" w:firstRowFirstColumn="0" w:firstRowLastColumn="0" w:lastRowFirstColumn="0" w:lastRowLastColumn="0"/>
        </w:trPr>
        <w:tc>
          <w:tcPr>
            <w:tcW w:w="10440" w:type="dxa"/>
            <w:gridSpan w:val="3"/>
            <w:tcBorders>
              <w:top w:val="single" w:sz="2" w:space="0" w:color="000000" w:themeColor="text1"/>
              <w:bottom w:val="single" w:sz="2" w:space="0" w:color="000000" w:themeColor="text1"/>
            </w:tcBorders>
            <w:shd w:val="clear" w:color="auto" w:fill="auto"/>
            <w:hideMark/>
          </w:tcPr>
          <w:p w14:paraId="172BB5E6" w14:textId="77777777" w:rsidR="00510214" w:rsidRPr="006A53F6" w:rsidRDefault="00510214">
            <w:pPr>
              <w:pStyle w:val="NormalWeb"/>
              <w:rPr>
                <w:b/>
              </w:rPr>
            </w:pPr>
            <w:r w:rsidRPr="006A53F6">
              <w:rPr>
                <w:b/>
              </w:rPr>
              <w:t>Indigenous status</w:t>
            </w:r>
          </w:p>
        </w:tc>
      </w:tr>
      <w:tr w:rsidR="00510214" w14:paraId="775D287D" w14:textId="77777777" w:rsidTr="004A0630">
        <w:tc>
          <w:tcPr>
            <w:tcW w:w="6096" w:type="dxa"/>
            <w:tcBorders>
              <w:top w:val="single" w:sz="2" w:space="0" w:color="000000" w:themeColor="text1"/>
              <w:bottom w:val="single" w:sz="2" w:space="0" w:color="000000" w:themeColor="text1"/>
            </w:tcBorders>
            <w:shd w:val="clear" w:color="auto" w:fill="auto"/>
            <w:hideMark/>
          </w:tcPr>
          <w:p w14:paraId="7F871DEA" w14:textId="77777777" w:rsidR="00510214" w:rsidRDefault="00510214" w:rsidP="005A0877">
            <w:pPr>
              <w:pStyle w:val="NormalWeb"/>
              <w:ind w:left="720"/>
            </w:pPr>
            <w:r>
              <w:t>Indigenous</w:t>
            </w:r>
          </w:p>
        </w:tc>
        <w:tc>
          <w:tcPr>
            <w:tcW w:w="1804" w:type="dxa"/>
            <w:tcBorders>
              <w:top w:val="single" w:sz="2" w:space="0" w:color="000000" w:themeColor="text1"/>
              <w:bottom w:val="single" w:sz="2" w:space="0" w:color="000000" w:themeColor="text1"/>
            </w:tcBorders>
            <w:shd w:val="clear" w:color="auto" w:fill="auto"/>
            <w:hideMark/>
          </w:tcPr>
          <w:p w14:paraId="7D93A1DA" w14:textId="77777777" w:rsidR="00510214" w:rsidRDefault="00510214" w:rsidP="00B447ED">
            <w:pPr>
              <w:pStyle w:val="NormalWeb"/>
              <w:jc w:val="center"/>
            </w:pPr>
            <w:r>
              <w:t>7</w:t>
            </w:r>
          </w:p>
        </w:tc>
        <w:tc>
          <w:tcPr>
            <w:tcW w:w="2540" w:type="dxa"/>
            <w:tcBorders>
              <w:top w:val="single" w:sz="2" w:space="0" w:color="000000" w:themeColor="text1"/>
              <w:bottom w:val="single" w:sz="2" w:space="0" w:color="000000" w:themeColor="text1"/>
            </w:tcBorders>
            <w:shd w:val="clear" w:color="auto" w:fill="auto"/>
            <w:hideMark/>
          </w:tcPr>
          <w:p w14:paraId="23B5251A" w14:textId="77777777" w:rsidR="00510214" w:rsidRDefault="00510214" w:rsidP="00B447ED">
            <w:pPr>
              <w:pStyle w:val="NormalWeb"/>
              <w:jc w:val="center"/>
            </w:pPr>
            <w:r>
              <w:t>1.9</w:t>
            </w:r>
          </w:p>
        </w:tc>
      </w:tr>
      <w:tr w:rsidR="00510214" w14:paraId="42AB6EB4" w14:textId="77777777" w:rsidTr="004A0630">
        <w:trPr>
          <w:cnfStyle w:val="000000010000" w:firstRow="0" w:lastRow="0" w:firstColumn="0" w:lastColumn="0" w:oddVBand="0" w:evenVBand="0" w:oddHBand="0" w:evenHBand="1" w:firstRowFirstColumn="0" w:firstRowLastColumn="0" w:lastRowFirstColumn="0" w:lastRowLastColumn="0"/>
        </w:trPr>
        <w:tc>
          <w:tcPr>
            <w:tcW w:w="6096" w:type="dxa"/>
            <w:tcBorders>
              <w:top w:val="single" w:sz="2" w:space="0" w:color="000000" w:themeColor="text1"/>
              <w:bottom w:val="single" w:sz="2" w:space="0" w:color="000000" w:themeColor="text1"/>
            </w:tcBorders>
            <w:shd w:val="clear" w:color="auto" w:fill="auto"/>
            <w:hideMark/>
          </w:tcPr>
          <w:p w14:paraId="4BE73FA4" w14:textId="77777777" w:rsidR="00510214" w:rsidRDefault="00510214" w:rsidP="005A0877">
            <w:pPr>
              <w:pStyle w:val="NormalWeb"/>
              <w:ind w:left="720"/>
            </w:pPr>
            <w:r>
              <w:t>Non-indigenous</w:t>
            </w:r>
          </w:p>
        </w:tc>
        <w:tc>
          <w:tcPr>
            <w:tcW w:w="1804" w:type="dxa"/>
            <w:tcBorders>
              <w:top w:val="single" w:sz="2" w:space="0" w:color="000000" w:themeColor="text1"/>
              <w:bottom w:val="single" w:sz="2" w:space="0" w:color="000000" w:themeColor="text1"/>
            </w:tcBorders>
            <w:shd w:val="clear" w:color="auto" w:fill="auto"/>
            <w:hideMark/>
          </w:tcPr>
          <w:p w14:paraId="018156B7" w14:textId="77777777" w:rsidR="00510214" w:rsidRDefault="00510214" w:rsidP="00B447ED">
            <w:pPr>
              <w:pStyle w:val="NormalWeb"/>
              <w:jc w:val="center"/>
            </w:pPr>
            <w:r>
              <w:t>367</w:t>
            </w:r>
          </w:p>
        </w:tc>
        <w:tc>
          <w:tcPr>
            <w:tcW w:w="2540" w:type="dxa"/>
            <w:tcBorders>
              <w:top w:val="single" w:sz="2" w:space="0" w:color="000000" w:themeColor="text1"/>
              <w:bottom w:val="single" w:sz="2" w:space="0" w:color="000000" w:themeColor="text1"/>
            </w:tcBorders>
            <w:shd w:val="clear" w:color="auto" w:fill="auto"/>
            <w:hideMark/>
          </w:tcPr>
          <w:p w14:paraId="59E85FAE" w14:textId="77777777" w:rsidR="00510214" w:rsidRDefault="00510214" w:rsidP="00B447ED">
            <w:pPr>
              <w:pStyle w:val="NormalWeb"/>
              <w:jc w:val="center"/>
            </w:pPr>
            <w:r>
              <w:t>97.9</w:t>
            </w:r>
          </w:p>
        </w:tc>
      </w:tr>
      <w:tr w:rsidR="00510214" w14:paraId="49CCCEB1" w14:textId="77777777" w:rsidTr="004A0630">
        <w:tc>
          <w:tcPr>
            <w:tcW w:w="6096" w:type="dxa"/>
            <w:tcBorders>
              <w:top w:val="single" w:sz="2" w:space="0" w:color="000000" w:themeColor="text1"/>
              <w:bottom w:val="single" w:sz="2" w:space="0" w:color="000000" w:themeColor="text1"/>
            </w:tcBorders>
            <w:shd w:val="clear" w:color="auto" w:fill="auto"/>
            <w:hideMark/>
          </w:tcPr>
          <w:p w14:paraId="45C2C230" w14:textId="77777777" w:rsidR="00510214" w:rsidRDefault="00510214" w:rsidP="005A0877">
            <w:pPr>
              <w:pStyle w:val="NormalWeb"/>
              <w:ind w:left="720"/>
            </w:pPr>
            <w:r>
              <w:t>Unknown</w:t>
            </w:r>
          </w:p>
        </w:tc>
        <w:tc>
          <w:tcPr>
            <w:tcW w:w="1804" w:type="dxa"/>
            <w:tcBorders>
              <w:top w:val="single" w:sz="2" w:space="0" w:color="000000" w:themeColor="text1"/>
              <w:bottom w:val="single" w:sz="2" w:space="0" w:color="000000" w:themeColor="text1"/>
            </w:tcBorders>
            <w:shd w:val="clear" w:color="auto" w:fill="auto"/>
            <w:hideMark/>
          </w:tcPr>
          <w:p w14:paraId="5BA07A43" w14:textId="77777777" w:rsidR="00510214" w:rsidRDefault="00510214" w:rsidP="00B447ED">
            <w:pPr>
              <w:pStyle w:val="NormalWeb"/>
              <w:jc w:val="center"/>
            </w:pPr>
            <w:r>
              <w:t>1</w:t>
            </w:r>
          </w:p>
        </w:tc>
        <w:tc>
          <w:tcPr>
            <w:tcW w:w="2540" w:type="dxa"/>
            <w:tcBorders>
              <w:top w:val="single" w:sz="2" w:space="0" w:color="000000" w:themeColor="text1"/>
              <w:bottom w:val="single" w:sz="2" w:space="0" w:color="000000" w:themeColor="text1"/>
            </w:tcBorders>
            <w:shd w:val="clear" w:color="auto" w:fill="auto"/>
            <w:hideMark/>
          </w:tcPr>
          <w:p w14:paraId="367F397A" w14:textId="77777777" w:rsidR="00510214" w:rsidRDefault="00510214" w:rsidP="00B447ED">
            <w:pPr>
              <w:pStyle w:val="NormalWeb"/>
              <w:jc w:val="center"/>
            </w:pPr>
            <w:r>
              <w:t>0.2</w:t>
            </w:r>
          </w:p>
        </w:tc>
      </w:tr>
      <w:tr w:rsidR="006A53F6" w:rsidRPr="006A53F6" w14:paraId="2A05036C" w14:textId="77777777" w:rsidTr="004A0630">
        <w:trPr>
          <w:cnfStyle w:val="000000010000" w:firstRow="0" w:lastRow="0" w:firstColumn="0" w:lastColumn="0" w:oddVBand="0" w:evenVBand="0" w:oddHBand="0" w:evenHBand="1" w:firstRowFirstColumn="0" w:firstRowLastColumn="0" w:lastRowFirstColumn="0" w:lastRowLastColumn="0"/>
        </w:trPr>
        <w:tc>
          <w:tcPr>
            <w:tcW w:w="10440" w:type="dxa"/>
            <w:gridSpan w:val="3"/>
            <w:tcBorders>
              <w:top w:val="single" w:sz="2" w:space="0" w:color="000000" w:themeColor="text1"/>
              <w:bottom w:val="single" w:sz="2" w:space="0" w:color="000000" w:themeColor="text1"/>
            </w:tcBorders>
            <w:shd w:val="clear" w:color="auto" w:fill="auto"/>
            <w:hideMark/>
          </w:tcPr>
          <w:p w14:paraId="5122402E" w14:textId="77777777" w:rsidR="00510214" w:rsidRPr="006A53F6" w:rsidRDefault="00510214">
            <w:pPr>
              <w:pStyle w:val="NormalWeb"/>
              <w:rPr>
                <w:b/>
              </w:rPr>
            </w:pPr>
            <w:r w:rsidRPr="006A53F6">
              <w:rPr>
                <w:b/>
              </w:rPr>
              <w:t>Country of birth</w:t>
            </w:r>
          </w:p>
        </w:tc>
      </w:tr>
      <w:tr w:rsidR="00510214" w14:paraId="6FC989CB" w14:textId="77777777" w:rsidTr="004A0630">
        <w:tc>
          <w:tcPr>
            <w:tcW w:w="6096" w:type="dxa"/>
            <w:tcBorders>
              <w:top w:val="single" w:sz="2" w:space="0" w:color="000000" w:themeColor="text1"/>
              <w:bottom w:val="single" w:sz="2" w:space="0" w:color="000000" w:themeColor="text1"/>
            </w:tcBorders>
            <w:shd w:val="clear" w:color="auto" w:fill="auto"/>
            <w:hideMark/>
          </w:tcPr>
          <w:p w14:paraId="1D61107E" w14:textId="77777777" w:rsidR="00510214" w:rsidRDefault="00510214" w:rsidP="005A0877">
            <w:pPr>
              <w:pStyle w:val="NormalWeb"/>
              <w:ind w:left="720"/>
            </w:pPr>
            <w:r>
              <w:t>Australia</w:t>
            </w:r>
          </w:p>
        </w:tc>
        <w:tc>
          <w:tcPr>
            <w:tcW w:w="1804" w:type="dxa"/>
            <w:tcBorders>
              <w:top w:val="single" w:sz="2" w:space="0" w:color="000000" w:themeColor="text1"/>
              <w:bottom w:val="single" w:sz="2" w:space="0" w:color="000000" w:themeColor="text1"/>
            </w:tcBorders>
            <w:shd w:val="clear" w:color="auto" w:fill="auto"/>
            <w:hideMark/>
          </w:tcPr>
          <w:p w14:paraId="2FC2657A" w14:textId="77777777" w:rsidR="00510214" w:rsidRDefault="00510214" w:rsidP="00B447ED">
            <w:pPr>
              <w:pStyle w:val="NormalWeb"/>
              <w:jc w:val="center"/>
            </w:pPr>
            <w:r>
              <w:t>34</w:t>
            </w:r>
          </w:p>
        </w:tc>
        <w:tc>
          <w:tcPr>
            <w:tcW w:w="2540" w:type="dxa"/>
            <w:tcBorders>
              <w:top w:val="single" w:sz="2" w:space="0" w:color="000000" w:themeColor="text1"/>
              <w:bottom w:val="single" w:sz="2" w:space="0" w:color="000000" w:themeColor="text1"/>
            </w:tcBorders>
            <w:shd w:val="clear" w:color="auto" w:fill="auto"/>
            <w:hideMark/>
          </w:tcPr>
          <w:p w14:paraId="4FBBB989" w14:textId="77777777" w:rsidR="00510214" w:rsidRDefault="00510214" w:rsidP="00B447ED">
            <w:pPr>
              <w:pStyle w:val="NormalWeb"/>
              <w:jc w:val="center"/>
            </w:pPr>
            <w:r>
              <w:t>9.1</w:t>
            </w:r>
          </w:p>
        </w:tc>
      </w:tr>
      <w:tr w:rsidR="00510214" w14:paraId="41D795DA" w14:textId="77777777" w:rsidTr="004A0630">
        <w:trPr>
          <w:cnfStyle w:val="000000010000" w:firstRow="0" w:lastRow="0" w:firstColumn="0" w:lastColumn="0" w:oddVBand="0" w:evenVBand="0" w:oddHBand="0" w:evenHBand="1" w:firstRowFirstColumn="0" w:firstRowLastColumn="0" w:lastRowFirstColumn="0" w:lastRowLastColumn="0"/>
        </w:trPr>
        <w:tc>
          <w:tcPr>
            <w:tcW w:w="6096" w:type="dxa"/>
            <w:tcBorders>
              <w:top w:val="single" w:sz="2" w:space="0" w:color="000000" w:themeColor="text1"/>
              <w:bottom w:val="single" w:sz="2" w:space="0" w:color="000000" w:themeColor="text1"/>
            </w:tcBorders>
            <w:shd w:val="clear" w:color="auto" w:fill="auto"/>
            <w:hideMark/>
          </w:tcPr>
          <w:p w14:paraId="21B82676" w14:textId="77777777" w:rsidR="00510214" w:rsidRDefault="00510214" w:rsidP="005A0877">
            <w:pPr>
              <w:pStyle w:val="NormalWeb"/>
              <w:ind w:left="720"/>
            </w:pPr>
            <w:r>
              <w:t>Papua New Guinea</w:t>
            </w:r>
          </w:p>
        </w:tc>
        <w:tc>
          <w:tcPr>
            <w:tcW w:w="1804" w:type="dxa"/>
            <w:tcBorders>
              <w:top w:val="single" w:sz="2" w:space="0" w:color="000000" w:themeColor="text1"/>
              <w:bottom w:val="single" w:sz="2" w:space="0" w:color="000000" w:themeColor="text1"/>
            </w:tcBorders>
            <w:shd w:val="clear" w:color="auto" w:fill="auto"/>
            <w:hideMark/>
          </w:tcPr>
          <w:p w14:paraId="30A83E22" w14:textId="77777777" w:rsidR="00510214" w:rsidRDefault="00510214" w:rsidP="00B447ED">
            <w:pPr>
              <w:pStyle w:val="NormalWeb"/>
              <w:jc w:val="center"/>
            </w:pPr>
            <w:r>
              <w:t>75</w:t>
            </w:r>
          </w:p>
        </w:tc>
        <w:tc>
          <w:tcPr>
            <w:tcW w:w="2540" w:type="dxa"/>
            <w:tcBorders>
              <w:top w:val="single" w:sz="2" w:space="0" w:color="000000" w:themeColor="text1"/>
              <w:bottom w:val="single" w:sz="2" w:space="0" w:color="000000" w:themeColor="text1"/>
            </w:tcBorders>
            <w:shd w:val="clear" w:color="auto" w:fill="auto"/>
            <w:hideMark/>
          </w:tcPr>
          <w:p w14:paraId="416459D8" w14:textId="77777777" w:rsidR="00510214" w:rsidRDefault="00510214" w:rsidP="00B447ED">
            <w:pPr>
              <w:pStyle w:val="NormalWeb"/>
              <w:jc w:val="center"/>
            </w:pPr>
            <w:r>
              <w:t>20.0</w:t>
            </w:r>
          </w:p>
        </w:tc>
      </w:tr>
      <w:tr w:rsidR="00510214" w14:paraId="48295D42" w14:textId="77777777" w:rsidTr="004A0630">
        <w:tc>
          <w:tcPr>
            <w:tcW w:w="6096" w:type="dxa"/>
            <w:tcBorders>
              <w:top w:val="single" w:sz="2" w:space="0" w:color="000000" w:themeColor="text1"/>
              <w:bottom w:val="single" w:sz="2" w:space="0" w:color="000000" w:themeColor="text1"/>
            </w:tcBorders>
            <w:shd w:val="clear" w:color="auto" w:fill="auto"/>
            <w:hideMark/>
          </w:tcPr>
          <w:p w14:paraId="069C92A2" w14:textId="77777777" w:rsidR="00510214" w:rsidRDefault="00510214" w:rsidP="005A0877">
            <w:pPr>
              <w:pStyle w:val="NormalWeb"/>
              <w:ind w:left="720"/>
            </w:pPr>
            <w:r>
              <w:t>Other</w:t>
            </w:r>
          </w:p>
        </w:tc>
        <w:tc>
          <w:tcPr>
            <w:tcW w:w="1804" w:type="dxa"/>
            <w:tcBorders>
              <w:top w:val="single" w:sz="2" w:space="0" w:color="000000" w:themeColor="text1"/>
              <w:bottom w:val="single" w:sz="2" w:space="0" w:color="000000" w:themeColor="text1"/>
            </w:tcBorders>
            <w:shd w:val="clear" w:color="auto" w:fill="auto"/>
            <w:hideMark/>
          </w:tcPr>
          <w:p w14:paraId="3FB1FA70" w14:textId="77777777" w:rsidR="00510214" w:rsidRDefault="00510214" w:rsidP="00B447ED">
            <w:pPr>
              <w:pStyle w:val="NormalWeb"/>
              <w:jc w:val="center"/>
            </w:pPr>
            <w:r>
              <w:t>266</w:t>
            </w:r>
          </w:p>
        </w:tc>
        <w:tc>
          <w:tcPr>
            <w:tcW w:w="2540" w:type="dxa"/>
            <w:tcBorders>
              <w:top w:val="single" w:sz="2" w:space="0" w:color="000000" w:themeColor="text1"/>
              <w:bottom w:val="single" w:sz="2" w:space="0" w:color="000000" w:themeColor="text1"/>
            </w:tcBorders>
            <w:shd w:val="clear" w:color="auto" w:fill="auto"/>
            <w:hideMark/>
          </w:tcPr>
          <w:p w14:paraId="29E16D43" w14:textId="77777777" w:rsidR="00510214" w:rsidRDefault="00510214" w:rsidP="00B447ED">
            <w:pPr>
              <w:pStyle w:val="NormalWeb"/>
              <w:jc w:val="center"/>
            </w:pPr>
            <w:r>
              <w:t>70.9</w:t>
            </w:r>
          </w:p>
        </w:tc>
      </w:tr>
      <w:tr w:rsidR="00967747" w:rsidRPr="00967747" w14:paraId="69F89691" w14:textId="77777777" w:rsidTr="004A0630">
        <w:trPr>
          <w:cnfStyle w:val="000000010000" w:firstRow="0" w:lastRow="0" w:firstColumn="0" w:lastColumn="0" w:oddVBand="0" w:evenVBand="0" w:oddHBand="0" w:evenHBand="1" w:firstRowFirstColumn="0" w:firstRowLastColumn="0" w:lastRowFirstColumn="0" w:lastRowLastColumn="0"/>
        </w:trPr>
        <w:tc>
          <w:tcPr>
            <w:tcW w:w="10440" w:type="dxa"/>
            <w:gridSpan w:val="3"/>
            <w:tcBorders>
              <w:top w:val="single" w:sz="2" w:space="0" w:color="000000" w:themeColor="text1"/>
              <w:bottom w:val="single" w:sz="2" w:space="0" w:color="000000" w:themeColor="text1"/>
            </w:tcBorders>
            <w:shd w:val="clear" w:color="auto" w:fill="808080" w:themeFill="background1" w:themeFillShade="80"/>
            <w:hideMark/>
          </w:tcPr>
          <w:p w14:paraId="75EB9679" w14:textId="77777777" w:rsidR="00510214" w:rsidRPr="00967747" w:rsidRDefault="00510214">
            <w:pPr>
              <w:pStyle w:val="NormalWeb"/>
              <w:rPr>
                <w:b/>
                <w:color w:val="FFFFFF" w:themeColor="background1"/>
              </w:rPr>
            </w:pPr>
            <w:r w:rsidRPr="00967747">
              <w:rPr>
                <w:b/>
                <w:color w:val="FFFFFF" w:themeColor="background1"/>
              </w:rPr>
              <w:t>Notifying jurisdiction</w:t>
            </w:r>
          </w:p>
        </w:tc>
      </w:tr>
      <w:tr w:rsidR="00510214" w14:paraId="51403B9B" w14:textId="77777777" w:rsidTr="00ED59EC">
        <w:tc>
          <w:tcPr>
            <w:tcW w:w="6096" w:type="dxa"/>
            <w:tcBorders>
              <w:top w:val="single" w:sz="2" w:space="0" w:color="000000" w:themeColor="text1"/>
              <w:bottom w:val="single" w:sz="2" w:space="0" w:color="000000" w:themeColor="text1"/>
            </w:tcBorders>
            <w:shd w:val="clear" w:color="auto" w:fill="auto"/>
            <w:hideMark/>
          </w:tcPr>
          <w:p w14:paraId="00B52733" w14:textId="77777777" w:rsidR="00510214" w:rsidRDefault="00510214" w:rsidP="002A6CB9">
            <w:pPr>
              <w:pStyle w:val="NormalWeb"/>
              <w:ind w:left="720"/>
            </w:pPr>
            <w:r>
              <w:t>Australian Capital Territory</w:t>
            </w:r>
          </w:p>
        </w:tc>
        <w:tc>
          <w:tcPr>
            <w:tcW w:w="1804" w:type="dxa"/>
            <w:tcBorders>
              <w:top w:val="single" w:sz="2" w:space="0" w:color="000000" w:themeColor="text1"/>
              <w:bottom w:val="single" w:sz="2" w:space="0" w:color="000000" w:themeColor="text1"/>
            </w:tcBorders>
            <w:shd w:val="clear" w:color="auto" w:fill="auto"/>
            <w:hideMark/>
          </w:tcPr>
          <w:p w14:paraId="40AD7FEE" w14:textId="77777777" w:rsidR="00510214" w:rsidRDefault="00510214" w:rsidP="00B447ED">
            <w:pPr>
              <w:pStyle w:val="NormalWeb"/>
              <w:jc w:val="center"/>
            </w:pPr>
            <w:r>
              <w:t>5</w:t>
            </w:r>
          </w:p>
        </w:tc>
        <w:tc>
          <w:tcPr>
            <w:tcW w:w="2540" w:type="dxa"/>
            <w:tcBorders>
              <w:top w:val="single" w:sz="2" w:space="0" w:color="000000" w:themeColor="text1"/>
              <w:bottom w:val="single" w:sz="2" w:space="0" w:color="000000" w:themeColor="text1"/>
            </w:tcBorders>
            <w:shd w:val="clear" w:color="auto" w:fill="auto"/>
            <w:hideMark/>
          </w:tcPr>
          <w:p w14:paraId="5B11B456" w14:textId="77777777" w:rsidR="00510214" w:rsidRDefault="00510214" w:rsidP="00B447ED">
            <w:pPr>
              <w:pStyle w:val="NormalWeb"/>
              <w:jc w:val="center"/>
            </w:pPr>
            <w:r>
              <w:t>1.3</w:t>
            </w:r>
          </w:p>
        </w:tc>
      </w:tr>
      <w:tr w:rsidR="00510214" w14:paraId="12889478" w14:textId="77777777" w:rsidTr="00ED59EC">
        <w:trPr>
          <w:cnfStyle w:val="000000010000" w:firstRow="0" w:lastRow="0" w:firstColumn="0" w:lastColumn="0" w:oddVBand="0" w:evenVBand="0" w:oddHBand="0" w:evenHBand="1" w:firstRowFirstColumn="0" w:firstRowLastColumn="0" w:lastRowFirstColumn="0" w:lastRowLastColumn="0"/>
        </w:trPr>
        <w:tc>
          <w:tcPr>
            <w:tcW w:w="6096" w:type="dxa"/>
            <w:tcBorders>
              <w:top w:val="single" w:sz="2" w:space="0" w:color="000000" w:themeColor="text1"/>
              <w:bottom w:val="single" w:sz="2" w:space="0" w:color="000000" w:themeColor="text1"/>
            </w:tcBorders>
            <w:shd w:val="clear" w:color="auto" w:fill="auto"/>
            <w:hideMark/>
          </w:tcPr>
          <w:p w14:paraId="283B8685" w14:textId="77777777" w:rsidR="00510214" w:rsidRDefault="00510214" w:rsidP="002A6CB9">
            <w:pPr>
              <w:pStyle w:val="NormalWeb"/>
              <w:ind w:left="720"/>
            </w:pPr>
            <w:r>
              <w:t>New South Wales</w:t>
            </w:r>
          </w:p>
        </w:tc>
        <w:tc>
          <w:tcPr>
            <w:tcW w:w="1804" w:type="dxa"/>
            <w:tcBorders>
              <w:top w:val="single" w:sz="2" w:space="0" w:color="000000" w:themeColor="text1"/>
              <w:bottom w:val="single" w:sz="2" w:space="0" w:color="000000" w:themeColor="text1"/>
            </w:tcBorders>
            <w:shd w:val="clear" w:color="auto" w:fill="auto"/>
            <w:hideMark/>
          </w:tcPr>
          <w:p w14:paraId="0EA474A9" w14:textId="77777777" w:rsidR="00510214" w:rsidRDefault="00510214" w:rsidP="00B447ED">
            <w:pPr>
              <w:pStyle w:val="NormalWeb"/>
              <w:jc w:val="center"/>
            </w:pPr>
            <w:r>
              <w:t>117</w:t>
            </w:r>
          </w:p>
        </w:tc>
        <w:tc>
          <w:tcPr>
            <w:tcW w:w="2540" w:type="dxa"/>
            <w:tcBorders>
              <w:top w:val="single" w:sz="2" w:space="0" w:color="000000" w:themeColor="text1"/>
              <w:bottom w:val="single" w:sz="2" w:space="0" w:color="000000" w:themeColor="text1"/>
            </w:tcBorders>
            <w:shd w:val="clear" w:color="auto" w:fill="auto"/>
            <w:hideMark/>
          </w:tcPr>
          <w:p w14:paraId="561C30CA" w14:textId="77777777" w:rsidR="00510214" w:rsidRDefault="00510214" w:rsidP="00B447ED">
            <w:pPr>
              <w:pStyle w:val="NormalWeb"/>
              <w:jc w:val="center"/>
            </w:pPr>
            <w:r>
              <w:t>31.2</w:t>
            </w:r>
          </w:p>
        </w:tc>
      </w:tr>
      <w:tr w:rsidR="00510214" w14:paraId="5F0C0F10" w14:textId="77777777" w:rsidTr="00ED59EC">
        <w:tc>
          <w:tcPr>
            <w:tcW w:w="6096" w:type="dxa"/>
            <w:tcBorders>
              <w:top w:val="single" w:sz="2" w:space="0" w:color="000000" w:themeColor="text1"/>
              <w:bottom w:val="single" w:sz="2" w:space="0" w:color="000000" w:themeColor="text1"/>
            </w:tcBorders>
            <w:shd w:val="clear" w:color="auto" w:fill="auto"/>
            <w:hideMark/>
          </w:tcPr>
          <w:p w14:paraId="1CB48654" w14:textId="77777777" w:rsidR="00510214" w:rsidRDefault="00510214" w:rsidP="002A6CB9">
            <w:pPr>
              <w:pStyle w:val="NormalWeb"/>
              <w:ind w:left="720"/>
            </w:pPr>
            <w:r>
              <w:t>Northern Territory</w:t>
            </w:r>
          </w:p>
        </w:tc>
        <w:tc>
          <w:tcPr>
            <w:tcW w:w="1804" w:type="dxa"/>
            <w:tcBorders>
              <w:top w:val="single" w:sz="2" w:space="0" w:color="000000" w:themeColor="text1"/>
              <w:bottom w:val="single" w:sz="2" w:space="0" w:color="000000" w:themeColor="text1"/>
            </w:tcBorders>
            <w:shd w:val="clear" w:color="auto" w:fill="auto"/>
            <w:hideMark/>
          </w:tcPr>
          <w:p w14:paraId="549209F9" w14:textId="77777777" w:rsidR="00510214" w:rsidRDefault="00510214" w:rsidP="00B447ED">
            <w:pPr>
              <w:pStyle w:val="NormalWeb"/>
              <w:jc w:val="center"/>
            </w:pPr>
            <w:r>
              <w:t>6</w:t>
            </w:r>
          </w:p>
        </w:tc>
        <w:tc>
          <w:tcPr>
            <w:tcW w:w="2540" w:type="dxa"/>
            <w:tcBorders>
              <w:top w:val="single" w:sz="2" w:space="0" w:color="000000" w:themeColor="text1"/>
              <w:bottom w:val="single" w:sz="2" w:space="0" w:color="000000" w:themeColor="text1"/>
            </w:tcBorders>
            <w:shd w:val="clear" w:color="auto" w:fill="auto"/>
            <w:hideMark/>
          </w:tcPr>
          <w:p w14:paraId="01957DE9" w14:textId="77777777" w:rsidR="00510214" w:rsidRDefault="00510214" w:rsidP="00B447ED">
            <w:pPr>
              <w:pStyle w:val="NormalWeb"/>
              <w:jc w:val="center"/>
            </w:pPr>
            <w:r>
              <w:t>1.6</w:t>
            </w:r>
          </w:p>
        </w:tc>
      </w:tr>
      <w:tr w:rsidR="00510214" w14:paraId="12120E78" w14:textId="77777777" w:rsidTr="00ED59EC">
        <w:trPr>
          <w:cnfStyle w:val="000000010000" w:firstRow="0" w:lastRow="0" w:firstColumn="0" w:lastColumn="0" w:oddVBand="0" w:evenVBand="0" w:oddHBand="0" w:evenHBand="1" w:firstRowFirstColumn="0" w:firstRowLastColumn="0" w:lastRowFirstColumn="0" w:lastRowLastColumn="0"/>
        </w:trPr>
        <w:tc>
          <w:tcPr>
            <w:tcW w:w="6096" w:type="dxa"/>
            <w:tcBorders>
              <w:top w:val="single" w:sz="2" w:space="0" w:color="000000" w:themeColor="text1"/>
              <w:bottom w:val="single" w:sz="2" w:space="0" w:color="000000" w:themeColor="text1"/>
            </w:tcBorders>
            <w:shd w:val="clear" w:color="auto" w:fill="auto"/>
            <w:hideMark/>
          </w:tcPr>
          <w:p w14:paraId="6CAAB439" w14:textId="77777777" w:rsidR="00510214" w:rsidRDefault="00510214" w:rsidP="002A6CB9">
            <w:pPr>
              <w:pStyle w:val="NormalWeb"/>
              <w:ind w:left="720"/>
            </w:pPr>
            <w:r>
              <w:t>Queensland</w:t>
            </w:r>
          </w:p>
        </w:tc>
        <w:tc>
          <w:tcPr>
            <w:tcW w:w="1804" w:type="dxa"/>
            <w:tcBorders>
              <w:top w:val="single" w:sz="2" w:space="0" w:color="000000" w:themeColor="text1"/>
              <w:bottom w:val="single" w:sz="2" w:space="0" w:color="000000" w:themeColor="text1"/>
            </w:tcBorders>
            <w:shd w:val="clear" w:color="auto" w:fill="auto"/>
            <w:hideMark/>
          </w:tcPr>
          <w:p w14:paraId="6BD0EB16" w14:textId="77777777" w:rsidR="00510214" w:rsidRDefault="00510214" w:rsidP="00B447ED">
            <w:pPr>
              <w:pStyle w:val="NormalWeb"/>
              <w:jc w:val="center"/>
            </w:pPr>
            <w:r>
              <w:t>115</w:t>
            </w:r>
          </w:p>
        </w:tc>
        <w:tc>
          <w:tcPr>
            <w:tcW w:w="2540" w:type="dxa"/>
            <w:tcBorders>
              <w:top w:val="single" w:sz="2" w:space="0" w:color="000000" w:themeColor="text1"/>
              <w:bottom w:val="single" w:sz="2" w:space="0" w:color="000000" w:themeColor="text1"/>
            </w:tcBorders>
            <w:shd w:val="clear" w:color="auto" w:fill="auto"/>
            <w:hideMark/>
          </w:tcPr>
          <w:p w14:paraId="48D798E9" w14:textId="77777777" w:rsidR="00510214" w:rsidRDefault="00510214" w:rsidP="00B447ED">
            <w:pPr>
              <w:pStyle w:val="NormalWeb"/>
              <w:jc w:val="center"/>
            </w:pPr>
            <w:r>
              <w:t>30.7</w:t>
            </w:r>
          </w:p>
        </w:tc>
      </w:tr>
      <w:tr w:rsidR="00510214" w14:paraId="41E33C7E" w14:textId="77777777" w:rsidTr="00ED59EC">
        <w:tc>
          <w:tcPr>
            <w:tcW w:w="6096" w:type="dxa"/>
            <w:tcBorders>
              <w:top w:val="single" w:sz="2" w:space="0" w:color="000000" w:themeColor="text1"/>
              <w:bottom w:val="single" w:sz="2" w:space="0" w:color="000000" w:themeColor="text1"/>
            </w:tcBorders>
            <w:shd w:val="clear" w:color="auto" w:fill="auto"/>
            <w:hideMark/>
          </w:tcPr>
          <w:p w14:paraId="59C1D3AE" w14:textId="77777777" w:rsidR="00510214" w:rsidRDefault="00510214" w:rsidP="002A6CB9">
            <w:pPr>
              <w:pStyle w:val="NormalWeb"/>
              <w:ind w:left="720"/>
            </w:pPr>
            <w:r>
              <w:t>South Australia</w:t>
            </w:r>
          </w:p>
        </w:tc>
        <w:tc>
          <w:tcPr>
            <w:tcW w:w="1804" w:type="dxa"/>
            <w:tcBorders>
              <w:top w:val="single" w:sz="2" w:space="0" w:color="000000" w:themeColor="text1"/>
              <w:bottom w:val="single" w:sz="2" w:space="0" w:color="000000" w:themeColor="text1"/>
            </w:tcBorders>
            <w:shd w:val="clear" w:color="auto" w:fill="auto"/>
            <w:hideMark/>
          </w:tcPr>
          <w:p w14:paraId="7BE29BFD" w14:textId="77777777" w:rsidR="00510214" w:rsidRDefault="00510214" w:rsidP="00B447ED">
            <w:pPr>
              <w:pStyle w:val="NormalWeb"/>
              <w:jc w:val="center"/>
            </w:pPr>
            <w:r>
              <w:t>17</w:t>
            </w:r>
          </w:p>
        </w:tc>
        <w:tc>
          <w:tcPr>
            <w:tcW w:w="2540" w:type="dxa"/>
            <w:tcBorders>
              <w:top w:val="single" w:sz="2" w:space="0" w:color="000000" w:themeColor="text1"/>
              <w:bottom w:val="single" w:sz="2" w:space="0" w:color="000000" w:themeColor="text1"/>
            </w:tcBorders>
            <w:shd w:val="clear" w:color="auto" w:fill="auto"/>
            <w:hideMark/>
          </w:tcPr>
          <w:p w14:paraId="3F873AB0" w14:textId="77777777" w:rsidR="00510214" w:rsidRDefault="00510214" w:rsidP="00B447ED">
            <w:pPr>
              <w:pStyle w:val="NormalWeb"/>
              <w:jc w:val="center"/>
            </w:pPr>
            <w:r>
              <w:t>4.5</w:t>
            </w:r>
          </w:p>
        </w:tc>
      </w:tr>
      <w:tr w:rsidR="00510214" w14:paraId="1A969DE4" w14:textId="77777777" w:rsidTr="00ED59EC">
        <w:trPr>
          <w:cnfStyle w:val="000000010000" w:firstRow="0" w:lastRow="0" w:firstColumn="0" w:lastColumn="0" w:oddVBand="0" w:evenVBand="0" w:oddHBand="0" w:evenHBand="1" w:firstRowFirstColumn="0" w:firstRowLastColumn="0" w:lastRowFirstColumn="0" w:lastRowLastColumn="0"/>
        </w:trPr>
        <w:tc>
          <w:tcPr>
            <w:tcW w:w="6096" w:type="dxa"/>
            <w:tcBorders>
              <w:top w:val="single" w:sz="2" w:space="0" w:color="000000" w:themeColor="text1"/>
              <w:bottom w:val="single" w:sz="2" w:space="0" w:color="000000" w:themeColor="text1"/>
            </w:tcBorders>
            <w:shd w:val="clear" w:color="auto" w:fill="auto"/>
            <w:hideMark/>
          </w:tcPr>
          <w:p w14:paraId="45947D59" w14:textId="77777777" w:rsidR="00510214" w:rsidRDefault="00510214" w:rsidP="002A6CB9">
            <w:pPr>
              <w:pStyle w:val="NormalWeb"/>
              <w:ind w:left="720"/>
            </w:pPr>
            <w:r>
              <w:t>Tasmania</w:t>
            </w:r>
          </w:p>
        </w:tc>
        <w:tc>
          <w:tcPr>
            <w:tcW w:w="1804" w:type="dxa"/>
            <w:tcBorders>
              <w:top w:val="single" w:sz="2" w:space="0" w:color="000000" w:themeColor="text1"/>
              <w:bottom w:val="single" w:sz="2" w:space="0" w:color="000000" w:themeColor="text1"/>
            </w:tcBorders>
            <w:shd w:val="clear" w:color="auto" w:fill="auto"/>
            <w:hideMark/>
          </w:tcPr>
          <w:p w14:paraId="6C99956C" w14:textId="77777777" w:rsidR="00510214" w:rsidRDefault="00510214" w:rsidP="00B447ED">
            <w:pPr>
              <w:pStyle w:val="NormalWeb"/>
              <w:jc w:val="center"/>
            </w:pPr>
            <w:r>
              <w:t>3</w:t>
            </w:r>
          </w:p>
        </w:tc>
        <w:tc>
          <w:tcPr>
            <w:tcW w:w="2540" w:type="dxa"/>
            <w:tcBorders>
              <w:top w:val="single" w:sz="2" w:space="0" w:color="000000" w:themeColor="text1"/>
              <w:bottom w:val="single" w:sz="2" w:space="0" w:color="000000" w:themeColor="text1"/>
            </w:tcBorders>
            <w:shd w:val="clear" w:color="auto" w:fill="auto"/>
            <w:hideMark/>
          </w:tcPr>
          <w:p w14:paraId="5B06451F" w14:textId="77777777" w:rsidR="00510214" w:rsidRDefault="00510214" w:rsidP="00B447ED">
            <w:pPr>
              <w:pStyle w:val="NormalWeb"/>
              <w:jc w:val="center"/>
            </w:pPr>
            <w:r>
              <w:t>0.8</w:t>
            </w:r>
          </w:p>
        </w:tc>
      </w:tr>
      <w:tr w:rsidR="00510214" w14:paraId="2D1535D2" w14:textId="77777777" w:rsidTr="00ED59EC">
        <w:tc>
          <w:tcPr>
            <w:tcW w:w="6096" w:type="dxa"/>
            <w:tcBorders>
              <w:top w:val="single" w:sz="2" w:space="0" w:color="000000" w:themeColor="text1"/>
              <w:bottom w:val="single" w:sz="2" w:space="0" w:color="000000" w:themeColor="text1"/>
            </w:tcBorders>
            <w:shd w:val="clear" w:color="auto" w:fill="auto"/>
            <w:hideMark/>
          </w:tcPr>
          <w:p w14:paraId="1F33EF53" w14:textId="77777777" w:rsidR="00510214" w:rsidRDefault="00510214" w:rsidP="002A6CB9">
            <w:pPr>
              <w:pStyle w:val="NormalWeb"/>
              <w:ind w:left="720"/>
            </w:pPr>
            <w:r>
              <w:t>Victoria</w:t>
            </w:r>
          </w:p>
        </w:tc>
        <w:tc>
          <w:tcPr>
            <w:tcW w:w="1804" w:type="dxa"/>
            <w:tcBorders>
              <w:top w:val="single" w:sz="2" w:space="0" w:color="000000" w:themeColor="text1"/>
              <w:bottom w:val="single" w:sz="2" w:space="0" w:color="000000" w:themeColor="text1"/>
            </w:tcBorders>
            <w:shd w:val="clear" w:color="auto" w:fill="auto"/>
            <w:hideMark/>
          </w:tcPr>
          <w:p w14:paraId="2670FF2C" w14:textId="77777777" w:rsidR="00510214" w:rsidRDefault="00510214" w:rsidP="00B447ED">
            <w:pPr>
              <w:pStyle w:val="NormalWeb"/>
              <w:jc w:val="center"/>
            </w:pPr>
            <w:r>
              <w:t>91</w:t>
            </w:r>
          </w:p>
        </w:tc>
        <w:tc>
          <w:tcPr>
            <w:tcW w:w="2540" w:type="dxa"/>
            <w:tcBorders>
              <w:top w:val="single" w:sz="2" w:space="0" w:color="000000" w:themeColor="text1"/>
              <w:bottom w:val="single" w:sz="2" w:space="0" w:color="000000" w:themeColor="text1"/>
            </w:tcBorders>
            <w:shd w:val="clear" w:color="auto" w:fill="auto"/>
            <w:hideMark/>
          </w:tcPr>
          <w:p w14:paraId="57FA016A" w14:textId="77777777" w:rsidR="00510214" w:rsidRDefault="00510214" w:rsidP="00B447ED">
            <w:pPr>
              <w:pStyle w:val="NormalWeb"/>
              <w:jc w:val="center"/>
            </w:pPr>
            <w:r>
              <w:t>24.3</w:t>
            </w:r>
          </w:p>
        </w:tc>
      </w:tr>
      <w:tr w:rsidR="00510214" w14:paraId="72207F93" w14:textId="77777777" w:rsidTr="00ED59EC">
        <w:trPr>
          <w:cnfStyle w:val="000000010000" w:firstRow="0" w:lastRow="0" w:firstColumn="0" w:lastColumn="0" w:oddVBand="0" w:evenVBand="0" w:oddHBand="0" w:evenHBand="1" w:firstRowFirstColumn="0" w:firstRowLastColumn="0" w:lastRowFirstColumn="0" w:lastRowLastColumn="0"/>
        </w:trPr>
        <w:tc>
          <w:tcPr>
            <w:tcW w:w="6096" w:type="dxa"/>
            <w:tcBorders>
              <w:top w:val="single" w:sz="2" w:space="0" w:color="000000" w:themeColor="text1"/>
              <w:bottom w:val="single" w:sz="2" w:space="0" w:color="000000" w:themeColor="text1"/>
            </w:tcBorders>
            <w:shd w:val="clear" w:color="auto" w:fill="auto"/>
            <w:hideMark/>
          </w:tcPr>
          <w:p w14:paraId="21BE8BDD" w14:textId="77777777" w:rsidR="00510214" w:rsidRDefault="00510214" w:rsidP="002A6CB9">
            <w:pPr>
              <w:pStyle w:val="NormalWeb"/>
              <w:ind w:left="720"/>
            </w:pPr>
            <w:r>
              <w:t>Western Australia</w:t>
            </w:r>
          </w:p>
        </w:tc>
        <w:tc>
          <w:tcPr>
            <w:tcW w:w="1804" w:type="dxa"/>
            <w:tcBorders>
              <w:top w:val="single" w:sz="2" w:space="0" w:color="000000" w:themeColor="text1"/>
              <w:bottom w:val="single" w:sz="2" w:space="0" w:color="000000" w:themeColor="text1"/>
            </w:tcBorders>
            <w:shd w:val="clear" w:color="auto" w:fill="auto"/>
            <w:hideMark/>
          </w:tcPr>
          <w:p w14:paraId="26085735" w14:textId="77777777" w:rsidR="00510214" w:rsidRDefault="00510214" w:rsidP="00B447ED">
            <w:pPr>
              <w:pStyle w:val="NormalWeb"/>
              <w:jc w:val="center"/>
            </w:pPr>
            <w:r>
              <w:t>21</w:t>
            </w:r>
          </w:p>
        </w:tc>
        <w:tc>
          <w:tcPr>
            <w:tcW w:w="2540" w:type="dxa"/>
            <w:tcBorders>
              <w:top w:val="single" w:sz="2" w:space="0" w:color="000000" w:themeColor="text1"/>
              <w:bottom w:val="single" w:sz="2" w:space="0" w:color="000000" w:themeColor="text1"/>
            </w:tcBorders>
            <w:shd w:val="clear" w:color="auto" w:fill="auto"/>
            <w:hideMark/>
          </w:tcPr>
          <w:p w14:paraId="29064F64" w14:textId="77777777" w:rsidR="00510214" w:rsidRDefault="00510214" w:rsidP="00B447ED">
            <w:pPr>
              <w:pStyle w:val="NormalWeb"/>
              <w:jc w:val="center"/>
            </w:pPr>
            <w:r>
              <w:t>5.6</w:t>
            </w:r>
          </w:p>
        </w:tc>
      </w:tr>
      <w:tr w:rsidR="00967747" w:rsidRPr="00967747" w14:paraId="01850CC9" w14:textId="77777777" w:rsidTr="004A0630">
        <w:tc>
          <w:tcPr>
            <w:tcW w:w="10440" w:type="dxa"/>
            <w:gridSpan w:val="3"/>
            <w:tcBorders>
              <w:top w:val="single" w:sz="2" w:space="0" w:color="000000" w:themeColor="text1"/>
              <w:bottom w:val="single" w:sz="2" w:space="0" w:color="000000" w:themeColor="text1"/>
            </w:tcBorders>
            <w:shd w:val="clear" w:color="auto" w:fill="808080" w:themeFill="background1" w:themeFillShade="80"/>
            <w:hideMark/>
          </w:tcPr>
          <w:p w14:paraId="63CB18D8" w14:textId="77777777" w:rsidR="00510214" w:rsidRPr="00967747" w:rsidRDefault="00510214">
            <w:pPr>
              <w:pStyle w:val="NormalWeb"/>
              <w:rPr>
                <w:b/>
                <w:color w:val="FFFFFF" w:themeColor="background1"/>
              </w:rPr>
            </w:pPr>
            <w:r w:rsidRPr="00967747">
              <w:rPr>
                <w:b/>
                <w:color w:val="FFFFFF" w:themeColor="background1"/>
              </w:rPr>
              <w:t>Clinical</w:t>
            </w:r>
          </w:p>
        </w:tc>
      </w:tr>
      <w:tr w:rsidR="00510214" w:rsidRPr="00F66672" w14:paraId="3315BC5B" w14:textId="77777777" w:rsidTr="00ED59EC">
        <w:trPr>
          <w:cnfStyle w:val="000000010000" w:firstRow="0" w:lastRow="0" w:firstColumn="0" w:lastColumn="0" w:oddVBand="0" w:evenVBand="0" w:oddHBand="0" w:evenHBand="1" w:firstRowFirstColumn="0" w:firstRowLastColumn="0" w:lastRowFirstColumn="0" w:lastRowLastColumn="0"/>
        </w:trPr>
        <w:tc>
          <w:tcPr>
            <w:tcW w:w="10440" w:type="dxa"/>
            <w:gridSpan w:val="3"/>
            <w:tcBorders>
              <w:top w:val="single" w:sz="2" w:space="0" w:color="000000" w:themeColor="text1"/>
              <w:bottom w:val="single" w:sz="2" w:space="0" w:color="000000" w:themeColor="text1"/>
            </w:tcBorders>
            <w:shd w:val="clear" w:color="auto" w:fill="auto"/>
            <w:hideMark/>
          </w:tcPr>
          <w:p w14:paraId="6848273A" w14:textId="77777777" w:rsidR="00510214" w:rsidRPr="00F66672" w:rsidRDefault="00510214" w:rsidP="00F66672">
            <w:pPr>
              <w:pStyle w:val="NormalWeb"/>
              <w:rPr>
                <w:b/>
              </w:rPr>
            </w:pPr>
            <w:r w:rsidRPr="00F66672">
              <w:rPr>
                <w:b/>
              </w:rPr>
              <w:t>Diagnostic site</w:t>
            </w:r>
          </w:p>
        </w:tc>
      </w:tr>
      <w:tr w:rsidR="00510214" w14:paraId="4D82D9AD" w14:textId="77777777" w:rsidTr="00ED59EC">
        <w:tc>
          <w:tcPr>
            <w:tcW w:w="6096" w:type="dxa"/>
            <w:tcBorders>
              <w:top w:val="single" w:sz="2" w:space="0" w:color="000000" w:themeColor="text1"/>
              <w:bottom w:val="single" w:sz="2" w:space="0" w:color="000000" w:themeColor="text1"/>
            </w:tcBorders>
            <w:shd w:val="clear" w:color="auto" w:fill="auto"/>
            <w:hideMark/>
          </w:tcPr>
          <w:p w14:paraId="63E7BDA8" w14:textId="77777777" w:rsidR="00510214" w:rsidRDefault="00510214" w:rsidP="000374CE">
            <w:pPr>
              <w:pStyle w:val="NormalWeb"/>
              <w:ind w:left="720"/>
            </w:pPr>
            <w:r>
              <w:t>Pulmonary TB</w:t>
            </w:r>
          </w:p>
        </w:tc>
        <w:tc>
          <w:tcPr>
            <w:tcW w:w="1804" w:type="dxa"/>
            <w:tcBorders>
              <w:top w:val="single" w:sz="2" w:space="0" w:color="000000" w:themeColor="text1"/>
              <w:bottom w:val="single" w:sz="2" w:space="0" w:color="000000" w:themeColor="text1"/>
            </w:tcBorders>
            <w:shd w:val="clear" w:color="auto" w:fill="auto"/>
            <w:hideMark/>
          </w:tcPr>
          <w:p w14:paraId="4C63C4A0" w14:textId="77777777" w:rsidR="00510214" w:rsidRDefault="00510214" w:rsidP="00B447ED">
            <w:pPr>
              <w:pStyle w:val="NormalWeb"/>
              <w:jc w:val="center"/>
            </w:pPr>
            <w:r>
              <w:t>305</w:t>
            </w:r>
          </w:p>
        </w:tc>
        <w:tc>
          <w:tcPr>
            <w:tcW w:w="2540" w:type="dxa"/>
            <w:tcBorders>
              <w:top w:val="single" w:sz="2" w:space="0" w:color="000000" w:themeColor="text1"/>
              <w:bottom w:val="single" w:sz="2" w:space="0" w:color="000000" w:themeColor="text1"/>
            </w:tcBorders>
            <w:shd w:val="clear" w:color="auto" w:fill="auto"/>
            <w:hideMark/>
          </w:tcPr>
          <w:p w14:paraId="2A7B0BDD" w14:textId="77777777" w:rsidR="00510214" w:rsidRDefault="00510214" w:rsidP="00B447ED">
            <w:pPr>
              <w:pStyle w:val="NormalWeb"/>
              <w:jc w:val="center"/>
            </w:pPr>
            <w:r>
              <w:t>81.3</w:t>
            </w:r>
          </w:p>
        </w:tc>
      </w:tr>
      <w:tr w:rsidR="00510214" w14:paraId="60C34FCE" w14:textId="77777777" w:rsidTr="00ED59EC">
        <w:trPr>
          <w:cnfStyle w:val="000000010000" w:firstRow="0" w:lastRow="0" w:firstColumn="0" w:lastColumn="0" w:oddVBand="0" w:evenVBand="0" w:oddHBand="0" w:evenHBand="1" w:firstRowFirstColumn="0" w:firstRowLastColumn="0" w:lastRowFirstColumn="0" w:lastRowLastColumn="0"/>
        </w:trPr>
        <w:tc>
          <w:tcPr>
            <w:tcW w:w="6096" w:type="dxa"/>
            <w:tcBorders>
              <w:top w:val="single" w:sz="2" w:space="0" w:color="000000" w:themeColor="text1"/>
              <w:bottom w:val="single" w:sz="2" w:space="0" w:color="000000" w:themeColor="text1"/>
            </w:tcBorders>
            <w:shd w:val="clear" w:color="auto" w:fill="auto"/>
            <w:hideMark/>
          </w:tcPr>
          <w:p w14:paraId="2FE5AB20" w14:textId="77777777" w:rsidR="00510214" w:rsidRDefault="00510214" w:rsidP="000374CE">
            <w:pPr>
              <w:pStyle w:val="NormalWeb"/>
              <w:ind w:left="720"/>
            </w:pPr>
            <w:r>
              <w:t>Extra-pulmonary TB</w:t>
            </w:r>
          </w:p>
        </w:tc>
        <w:tc>
          <w:tcPr>
            <w:tcW w:w="1804" w:type="dxa"/>
            <w:tcBorders>
              <w:top w:val="single" w:sz="2" w:space="0" w:color="000000" w:themeColor="text1"/>
              <w:bottom w:val="single" w:sz="2" w:space="0" w:color="000000" w:themeColor="text1"/>
            </w:tcBorders>
            <w:shd w:val="clear" w:color="auto" w:fill="auto"/>
            <w:hideMark/>
          </w:tcPr>
          <w:p w14:paraId="18E2A5F9" w14:textId="77777777" w:rsidR="00510214" w:rsidRDefault="00510214" w:rsidP="00B447ED">
            <w:pPr>
              <w:pStyle w:val="NormalWeb"/>
              <w:jc w:val="center"/>
            </w:pPr>
            <w:r>
              <w:t>70</w:t>
            </w:r>
          </w:p>
        </w:tc>
        <w:tc>
          <w:tcPr>
            <w:tcW w:w="2540" w:type="dxa"/>
            <w:tcBorders>
              <w:top w:val="single" w:sz="2" w:space="0" w:color="000000" w:themeColor="text1"/>
              <w:bottom w:val="single" w:sz="2" w:space="0" w:color="000000" w:themeColor="text1"/>
            </w:tcBorders>
            <w:shd w:val="clear" w:color="auto" w:fill="auto"/>
            <w:hideMark/>
          </w:tcPr>
          <w:p w14:paraId="4A05EF8A" w14:textId="77777777" w:rsidR="00510214" w:rsidRDefault="00510214" w:rsidP="00B447ED">
            <w:pPr>
              <w:pStyle w:val="NormalWeb"/>
              <w:jc w:val="center"/>
            </w:pPr>
            <w:r>
              <w:t>18.7</w:t>
            </w:r>
          </w:p>
        </w:tc>
      </w:tr>
      <w:tr w:rsidR="00510214" w:rsidRPr="00E153EE" w14:paraId="172C2DAC" w14:textId="77777777" w:rsidTr="00ED59EC">
        <w:tc>
          <w:tcPr>
            <w:tcW w:w="10440" w:type="dxa"/>
            <w:gridSpan w:val="3"/>
            <w:tcBorders>
              <w:top w:val="single" w:sz="2" w:space="0" w:color="000000" w:themeColor="text1"/>
              <w:bottom w:val="single" w:sz="2" w:space="0" w:color="000000" w:themeColor="text1"/>
            </w:tcBorders>
            <w:shd w:val="clear" w:color="auto" w:fill="auto"/>
            <w:hideMark/>
          </w:tcPr>
          <w:p w14:paraId="3FD98766" w14:textId="77777777" w:rsidR="00510214" w:rsidRPr="00E153EE" w:rsidRDefault="00510214" w:rsidP="00E153EE">
            <w:pPr>
              <w:pStyle w:val="NormalWeb"/>
              <w:rPr>
                <w:b/>
              </w:rPr>
            </w:pPr>
            <w:r w:rsidRPr="00E153EE">
              <w:rPr>
                <w:b/>
              </w:rPr>
              <w:t>HIV status</w:t>
            </w:r>
          </w:p>
        </w:tc>
      </w:tr>
      <w:tr w:rsidR="00510214" w14:paraId="651A638C" w14:textId="77777777" w:rsidTr="00ED59EC">
        <w:trPr>
          <w:cnfStyle w:val="000000010000" w:firstRow="0" w:lastRow="0" w:firstColumn="0" w:lastColumn="0" w:oddVBand="0" w:evenVBand="0" w:oddHBand="0" w:evenHBand="1" w:firstRowFirstColumn="0" w:firstRowLastColumn="0" w:lastRowFirstColumn="0" w:lastRowLastColumn="0"/>
        </w:trPr>
        <w:tc>
          <w:tcPr>
            <w:tcW w:w="6096" w:type="dxa"/>
            <w:tcBorders>
              <w:top w:val="single" w:sz="2" w:space="0" w:color="000000" w:themeColor="text1"/>
              <w:bottom w:val="single" w:sz="2" w:space="0" w:color="000000" w:themeColor="text1"/>
            </w:tcBorders>
            <w:shd w:val="clear" w:color="auto" w:fill="auto"/>
            <w:hideMark/>
          </w:tcPr>
          <w:p w14:paraId="14E0DC41" w14:textId="77777777" w:rsidR="00510214" w:rsidRDefault="00510214" w:rsidP="000374CE">
            <w:pPr>
              <w:pStyle w:val="NormalWeb"/>
              <w:ind w:left="720"/>
            </w:pPr>
            <w:r>
              <w:t>HIV-positive</w:t>
            </w:r>
          </w:p>
        </w:tc>
        <w:tc>
          <w:tcPr>
            <w:tcW w:w="1804" w:type="dxa"/>
            <w:tcBorders>
              <w:top w:val="single" w:sz="2" w:space="0" w:color="000000" w:themeColor="text1"/>
              <w:bottom w:val="single" w:sz="2" w:space="0" w:color="000000" w:themeColor="text1"/>
            </w:tcBorders>
            <w:shd w:val="clear" w:color="auto" w:fill="auto"/>
            <w:hideMark/>
          </w:tcPr>
          <w:p w14:paraId="116E6901" w14:textId="77777777" w:rsidR="00510214" w:rsidRDefault="00510214" w:rsidP="00B447ED">
            <w:pPr>
              <w:pStyle w:val="NormalWeb"/>
              <w:jc w:val="center"/>
            </w:pPr>
            <w:r>
              <w:t>10</w:t>
            </w:r>
          </w:p>
        </w:tc>
        <w:tc>
          <w:tcPr>
            <w:tcW w:w="2540" w:type="dxa"/>
            <w:tcBorders>
              <w:top w:val="single" w:sz="2" w:space="0" w:color="000000" w:themeColor="text1"/>
              <w:bottom w:val="single" w:sz="2" w:space="0" w:color="000000" w:themeColor="text1"/>
            </w:tcBorders>
            <w:shd w:val="clear" w:color="auto" w:fill="auto"/>
            <w:hideMark/>
          </w:tcPr>
          <w:p w14:paraId="53BF1877" w14:textId="77777777" w:rsidR="00510214" w:rsidRDefault="00510214" w:rsidP="00B447ED">
            <w:pPr>
              <w:pStyle w:val="NormalWeb"/>
              <w:jc w:val="center"/>
            </w:pPr>
            <w:r>
              <w:t>2.7</w:t>
            </w:r>
          </w:p>
        </w:tc>
      </w:tr>
      <w:tr w:rsidR="00510214" w14:paraId="2E13280D" w14:textId="77777777" w:rsidTr="00ED59EC">
        <w:tc>
          <w:tcPr>
            <w:tcW w:w="6096" w:type="dxa"/>
            <w:tcBorders>
              <w:top w:val="single" w:sz="2" w:space="0" w:color="000000" w:themeColor="text1"/>
              <w:bottom w:val="single" w:sz="2" w:space="0" w:color="000000" w:themeColor="text1"/>
            </w:tcBorders>
            <w:shd w:val="clear" w:color="auto" w:fill="auto"/>
            <w:hideMark/>
          </w:tcPr>
          <w:p w14:paraId="4069D54A" w14:textId="77777777" w:rsidR="00510214" w:rsidRDefault="00510214" w:rsidP="000374CE">
            <w:pPr>
              <w:pStyle w:val="NormalWeb"/>
              <w:ind w:left="720"/>
            </w:pPr>
            <w:r>
              <w:t>HIV-negative</w:t>
            </w:r>
          </w:p>
        </w:tc>
        <w:tc>
          <w:tcPr>
            <w:tcW w:w="1804" w:type="dxa"/>
            <w:tcBorders>
              <w:top w:val="single" w:sz="2" w:space="0" w:color="000000" w:themeColor="text1"/>
              <w:bottom w:val="single" w:sz="2" w:space="0" w:color="000000" w:themeColor="text1"/>
            </w:tcBorders>
            <w:shd w:val="clear" w:color="auto" w:fill="auto"/>
            <w:hideMark/>
          </w:tcPr>
          <w:p w14:paraId="37285325" w14:textId="77777777" w:rsidR="00510214" w:rsidRDefault="00510214" w:rsidP="00B447ED">
            <w:pPr>
              <w:pStyle w:val="NormalWeb"/>
              <w:jc w:val="center"/>
            </w:pPr>
            <w:r>
              <w:t>239</w:t>
            </w:r>
          </w:p>
        </w:tc>
        <w:tc>
          <w:tcPr>
            <w:tcW w:w="2540" w:type="dxa"/>
            <w:tcBorders>
              <w:top w:val="single" w:sz="2" w:space="0" w:color="000000" w:themeColor="text1"/>
              <w:bottom w:val="single" w:sz="2" w:space="0" w:color="000000" w:themeColor="text1"/>
            </w:tcBorders>
            <w:shd w:val="clear" w:color="auto" w:fill="auto"/>
            <w:hideMark/>
          </w:tcPr>
          <w:p w14:paraId="210A956D" w14:textId="77777777" w:rsidR="00510214" w:rsidRDefault="00510214" w:rsidP="00B447ED">
            <w:pPr>
              <w:pStyle w:val="NormalWeb"/>
              <w:jc w:val="center"/>
            </w:pPr>
            <w:r>
              <w:t>63.7</w:t>
            </w:r>
          </w:p>
        </w:tc>
      </w:tr>
      <w:tr w:rsidR="00510214" w14:paraId="54D0963F" w14:textId="77777777" w:rsidTr="00ED59EC">
        <w:trPr>
          <w:cnfStyle w:val="000000010000" w:firstRow="0" w:lastRow="0" w:firstColumn="0" w:lastColumn="0" w:oddVBand="0" w:evenVBand="0" w:oddHBand="0" w:evenHBand="1" w:firstRowFirstColumn="0" w:firstRowLastColumn="0" w:lastRowFirstColumn="0" w:lastRowLastColumn="0"/>
        </w:trPr>
        <w:tc>
          <w:tcPr>
            <w:tcW w:w="6096" w:type="dxa"/>
            <w:tcBorders>
              <w:top w:val="single" w:sz="2" w:space="0" w:color="000000" w:themeColor="text1"/>
              <w:bottom w:val="single" w:sz="2" w:space="0" w:color="000000" w:themeColor="text1"/>
            </w:tcBorders>
            <w:shd w:val="clear" w:color="auto" w:fill="auto"/>
            <w:hideMark/>
          </w:tcPr>
          <w:p w14:paraId="2FF45011" w14:textId="77777777" w:rsidR="00510214" w:rsidRDefault="00510214" w:rsidP="000374CE">
            <w:pPr>
              <w:pStyle w:val="NormalWeb"/>
              <w:ind w:left="720"/>
            </w:pPr>
            <w:r>
              <w:t>Unknown</w:t>
            </w:r>
          </w:p>
        </w:tc>
        <w:tc>
          <w:tcPr>
            <w:tcW w:w="1804" w:type="dxa"/>
            <w:tcBorders>
              <w:top w:val="single" w:sz="2" w:space="0" w:color="000000" w:themeColor="text1"/>
              <w:bottom w:val="single" w:sz="2" w:space="0" w:color="000000" w:themeColor="text1"/>
            </w:tcBorders>
            <w:shd w:val="clear" w:color="auto" w:fill="auto"/>
            <w:hideMark/>
          </w:tcPr>
          <w:p w14:paraId="4AB071BE" w14:textId="77777777" w:rsidR="00510214" w:rsidRDefault="00510214" w:rsidP="00B447ED">
            <w:pPr>
              <w:pStyle w:val="NormalWeb"/>
              <w:jc w:val="center"/>
            </w:pPr>
            <w:r>
              <w:t>126</w:t>
            </w:r>
          </w:p>
        </w:tc>
        <w:tc>
          <w:tcPr>
            <w:tcW w:w="2540" w:type="dxa"/>
            <w:tcBorders>
              <w:top w:val="single" w:sz="2" w:space="0" w:color="000000" w:themeColor="text1"/>
              <w:bottom w:val="single" w:sz="2" w:space="0" w:color="000000" w:themeColor="text1"/>
            </w:tcBorders>
            <w:shd w:val="clear" w:color="auto" w:fill="auto"/>
            <w:hideMark/>
          </w:tcPr>
          <w:p w14:paraId="6E08707E" w14:textId="77777777" w:rsidR="00510214" w:rsidRDefault="00510214" w:rsidP="00B447ED">
            <w:pPr>
              <w:pStyle w:val="NormalWeb"/>
              <w:jc w:val="center"/>
            </w:pPr>
            <w:r>
              <w:t>33.6</w:t>
            </w:r>
          </w:p>
        </w:tc>
      </w:tr>
      <w:tr w:rsidR="00967747" w:rsidRPr="00967747" w14:paraId="42904FEE" w14:textId="77777777" w:rsidTr="004A0630">
        <w:tc>
          <w:tcPr>
            <w:tcW w:w="10440" w:type="dxa"/>
            <w:gridSpan w:val="3"/>
            <w:tcBorders>
              <w:top w:val="single" w:sz="2" w:space="0" w:color="000000" w:themeColor="text1"/>
              <w:bottom w:val="single" w:sz="2" w:space="0" w:color="000000" w:themeColor="text1"/>
            </w:tcBorders>
            <w:shd w:val="clear" w:color="auto" w:fill="808080" w:themeFill="background1" w:themeFillShade="80"/>
            <w:hideMark/>
          </w:tcPr>
          <w:p w14:paraId="6120CE1E" w14:textId="77777777" w:rsidR="00510214" w:rsidRPr="00967747" w:rsidRDefault="00510214">
            <w:pPr>
              <w:pStyle w:val="NormalWeb"/>
              <w:rPr>
                <w:b/>
                <w:color w:val="FFFFFF" w:themeColor="background1"/>
              </w:rPr>
            </w:pPr>
            <w:r w:rsidRPr="00967747">
              <w:rPr>
                <w:b/>
                <w:color w:val="FFFFFF" w:themeColor="background1"/>
              </w:rPr>
              <w:t>Laboratory</w:t>
            </w:r>
          </w:p>
        </w:tc>
      </w:tr>
      <w:tr w:rsidR="00510214" w:rsidRPr="007603D6" w14:paraId="6F6705D4" w14:textId="77777777" w:rsidTr="00ED59EC">
        <w:trPr>
          <w:cnfStyle w:val="000000010000" w:firstRow="0" w:lastRow="0" w:firstColumn="0" w:lastColumn="0" w:oddVBand="0" w:evenVBand="0" w:oddHBand="0" w:evenHBand="1" w:firstRowFirstColumn="0" w:firstRowLastColumn="0" w:lastRowFirstColumn="0" w:lastRowLastColumn="0"/>
        </w:trPr>
        <w:tc>
          <w:tcPr>
            <w:tcW w:w="10440" w:type="dxa"/>
            <w:gridSpan w:val="3"/>
            <w:tcBorders>
              <w:top w:val="single" w:sz="2" w:space="0" w:color="000000" w:themeColor="text1"/>
              <w:bottom w:val="single" w:sz="2" w:space="0" w:color="000000" w:themeColor="text1"/>
            </w:tcBorders>
            <w:shd w:val="clear" w:color="auto" w:fill="auto"/>
            <w:hideMark/>
          </w:tcPr>
          <w:p w14:paraId="3557410B" w14:textId="77777777" w:rsidR="00510214" w:rsidRPr="007603D6" w:rsidRDefault="00510214" w:rsidP="007603D6">
            <w:pPr>
              <w:pStyle w:val="NormalWeb"/>
              <w:rPr>
                <w:b/>
              </w:rPr>
            </w:pPr>
            <w:r w:rsidRPr="007603D6">
              <w:rPr>
                <w:b/>
              </w:rPr>
              <w:t>Acid-fast bacillus positive on sputum microscopy</w:t>
            </w:r>
          </w:p>
        </w:tc>
      </w:tr>
      <w:tr w:rsidR="00510214" w14:paraId="21411705" w14:textId="77777777" w:rsidTr="00ED59EC">
        <w:tc>
          <w:tcPr>
            <w:tcW w:w="6096" w:type="dxa"/>
            <w:tcBorders>
              <w:top w:val="single" w:sz="2" w:space="0" w:color="000000" w:themeColor="text1"/>
              <w:bottom w:val="single" w:sz="2" w:space="0" w:color="000000" w:themeColor="text1"/>
            </w:tcBorders>
            <w:shd w:val="clear" w:color="auto" w:fill="auto"/>
            <w:hideMark/>
          </w:tcPr>
          <w:p w14:paraId="5E57971E" w14:textId="77777777" w:rsidR="00510214" w:rsidRDefault="00510214" w:rsidP="003A0048">
            <w:pPr>
              <w:pStyle w:val="NormalWeb"/>
              <w:ind w:left="720"/>
            </w:pPr>
            <w:r>
              <w:t>Positive</w:t>
            </w:r>
          </w:p>
        </w:tc>
        <w:tc>
          <w:tcPr>
            <w:tcW w:w="1804" w:type="dxa"/>
            <w:tcBorders>
              <w:top w:val="single" w:sz="2" w:space="0" w:color="000000" w:themeColor="text1"/>
              <w:bottom w:val="single" w:sz="2" w:space="0" w:color="000000" w:themeColor="text1"/>
            </w:tcBorders>
            <w:shd w:val="clear" w:color="auto" w:fill="auto"/>
            <w:hideMark/>
          </w:tcPr>
          <w:p w14:paraId="614D3289" w14:textId="77777777" w:rsidR="00510214" w:rsidRDefault="00510214" w:rsidP="00B447ED">
            <w:pPr>
              <w:pStyle w:val="NormalWeb"/>
              <w:jc w:val="center"/>
            </w:pPr>
            <w:r>
              <w:t>153</w:t>
            </w:r>
          </w:p>
        </w:tc>
        <w:tc>
          <w:tcPr>
            <w:tcW w:w="2540" w:type="dxa"/>
            <w:tcBorders>
              <w:top w:val="single" w:sz="2" w:space="0" w:color="000000" w:themeColor="text1"/>
              <w:bottom w:val="single" w:sz="2" w:space="0" w:color="000000" w:themeColor="text1"/>
            </w:tcBorders>
            <w:shd w:val="clear" w:color="auto" w:fill="auto"/>
            <w:hideMark/>
          </w:tcPr>
          <w:p w14:paraId="6998AD66" w14:textId="77777777" w:rsidR="00510214" w:rsidRDefault="00510214" w:rsidP="00B447ED">
            <w:pPr>
              <w:pStyle w:val="NormalWeb"/>
              <w:jc w:val="center"/>
            </w:pPr>
            <w:r>
              <w:t>40.8</w:t>
            </w:r>
          </w:p>
        </w:tc>
      </w:tr>
      <w:tr w:rsidR="00510214" w14:paraId="324BA33C" w14:textId="77777777" w:rsidTr="00ED59EC">
        <w:trPr>
          <w:cnfStyle w:val="000000010000" w:firstRow="0" w:lastRow="0" w:firstColumn="0" w:lastColumn="0" w:oddVBand="0" w:evenVBand="0" w:oddHBand="0" w:evenHBand="1" w:firstRowFirstColumn="0" w:firstRowLastColumn="0" w:lastRowFirstColumn="0" w:lastRowLastColumn="0"/>
        </w:trPr>
        <w:tc>
          <w:tcPr>
            <w:tcW w:w="6096" w:type="dxa"/>
            <w:tcBorders>
              <w:top w:val="single" w:sz="2" w:space="0" w:color="000000" w:themeColor="text1"/>
              <w:bottom w:val="single" w:sz="2" w:space="0" w:color="000000" w:themeColor="text1"/>
            </w:tcBorders>
            <w:shd w:val="clear" w:color="auto" w:fill="auto"/>
            <w:hideMark/>
          </w:tcPr>
          <w:p w14:paraId="591CE30C" w14:textId="77777777" w:rsidR="00510214" w:rsidRDefault="00510214" w:rsidP="003A0048">
            <w:pPr>
              <w:pStyle w:val="NormalWeb"/>
              <w:ind w:left="720"/>
            </w:pPr>
            <w:r>
              <w:t>Negative</w:t>
            </w:r>
          </w:p>
        </w:tc>
        <w:tc>
          <w:tcPr>
            <w:tcW w:w="1804" w:type="dxa"/>
            <w:tcBorders>
              <w:top w:val="single" w:sz="2" w:space="0" w:color="000000" w:themeColor="text1"/>
              <w:bottom w:val="single" w:sz="2" w:space="0" w:color="000000" w:themeColor="text1"/>
            </w:tcBorders>
            <w:shd w:val="clear" w:color="auto" w:fill="auto"/>
            <w:hideMark/>
          </w:tcPr>
          <w:p w14:paraId="443F2118" w14:textId="77777777" w:rsidR="00510214" w:rsidRDefault="00510214" w:rsidP="00B447ED">
            <w:pPr>
              <w:pStyle w:val="NormalWeb"/>
              <w:jc w:val="center"/>
            </w:pPr>
            <w:r>
              <w:t>113</w:t>
            </w:r>
          </w:p>
        </w:tc>
        <w:tc>
          <w:tcPr>
            <w:tcW w:w="2540" w:type="dxa"/>
            <w:tcBorders>
              <w:top w:val="single" w:sz="2" w:space="0" w:color="000000" w:themeColor="text1"/>
              <w:bottom w:val="single" w:sz="2" w:space="0" w:color="000000" w:themeColor="text1"/>
            </w:tcBorders>
            <w:shd w:val="clear" w:color="auto" w:fill="auto"/>
            <w:hideMark/>
          </w:tcPr>
          <w:p w14:paraId="44E57879" w14:textId="77777777" w:rsidR="00510214" w:rsidRDefault="00510214" w:rsidP="00B447ED">
            <w:pPr>
              <w:pStyle w:val="NormalWeb"/>
              <w:jc w:val="center"/>
            </w:pPr>
            <w:r>
              <w:t>30.1</w:t>
            </w:r>
          </w:p>
        </w:tc>
      </w:tr>
      <w:tr w:rsidR="00510214" w14:paraId="6D6C5A41" w14:textId="77777777" w:rsidTr="00ED59EC">
        <w:tc>
          <w:tcPr>
            <w:tcW w:w="6096" w:type="dxa"/>
            <w:tcBorders>
              <w:top w:val="single" w:sz="2" w:space="0" w:color="000000" w:themeColor="text1"/>
              <w:bottom w:val="single" w:sz="2" w:space="0" w:color="000000" w:themeColor="text1"/>
            </w:tcBorders>
            <w:shd w:val="clear" w:color="auto" w:fill="auto"/>
            <w:hideMark/>
          </w:tcPr>
          <w:p w14:paraId="1AC1F025" w14:textId="77777777" w:rsidR="00510214" w:rsidRDefault="00510214" w:rsidP="003A0048">
            <w:pPr>
              <w:pStyle w:val="NormalWeb"/>
              <w:ind w:left="720"/>
            </w:pPr>
            <w:r>
              <w:t>Unknown</w:t>
            </w:r>
          </w:p>
        </w:tc>
        <w:tc>
          <w:tcPr>
            <w:tcW w:w="1804" w:type="dxa"/>
            <w:tcBorders>
              <w:top w:val="single" w:sz="2" w:space="0" w:color="000000" w:themeColor="text1"/>
              <w:bottom w:val="single" w:sz="2" w:space="0" w:color="000000" w:themeColor="text1"/>
            </w:tcBorders>
            <w:shd w:val="clear" w:color="auto" w:fill="auto"/>
            <w:hideMark/>
          </w:tcPr>
          <w:p w14:paraId="1D266986" w14:textId="77777777" w:rsidR="00510214" w:rsidRDefault="00510214" w:rsidP="00B447ED">
            <w:pPr>
              <w:pStyle w:val="NormalWeb"/>
              <w:jc w:val="center"/>
            </w:pPr>
            <w:r>
              <w:t>109</w:t>
            </w:r>
          </w:p>
        </w:tc>
        <w:tc>
          <w:tcPr>
            <w:tcW w:w="2540" w:type="dxa"/>
            <w:tcBorders>
              <w:top w:val="single" w:sz="2" w:space="0" w:color="000000" w:themeColor="text1"/>
              <w:bottom w:val="single" w:sz="2" w:space="0" w:color="000000" w:themeColor="text1"/>
            </w:tcBorders>
            <w:shd w:val="clear" w:color="auto" w:fill="auto"/>
            <w:hideMark/>
          </w:tcPr>
          <w:p w14:paraId="65AB085A" w14:textId="77777777" w:rsidR="00510214" w:rsidRDefault="00510214" w:rsidP="00B447ED">
            <w:pPr>
              <w:pStyle w:val="NormalWeb"/>
              <w:jc w:val="center"/>
            </w:pPr>
            <w:r>
              <w:t>29.1</w:t>
            </w:r>
          </w:p>
        </w:tc>
      </w:tr>
      <w:tr w:rsidR="00E153EE" w:rsidRPr="00E153EE" w14:paraId="60F8D6FC" w14:textId="77777777" w:rsidTr="00E153EE">
        <w:trPr>
          <w:cnfStyle w:val="000000010000" w:firstRow="0" w:lastRow="0" w:firstColumn="0" w:lastColumn="0" w:oddVBand="0" w:evenVBand="0" w:oddHBand="0" w:evenHBand="1" w:firstRowFirstColumn="0" w:firstRowLastColumn="0" w:lastRowFirstColumn="0" w:lastRowLastColumn="0"/>
        </w:trPr>
        <w:tc>
          <w:tcPr>
            <w:tcW w:w="10440" w:type="dxa"/>
            <w:gridSpan w:val="3"/>
            <w:tcBorders>
              <w:top w:val="single" w:sz="2" w:space="0" w:color="000000" w:themeColor="text1"/>
              <w:bottom w:val="single" w:sz="2" w:space="0" w:color="000000" w:themeColor="text1"/>
            </w:tcBorders>
            <w:shd w:val="clear" w:color="auto" w:fill="808080" w:themeFill="background1" w:themeFillShade="80"/>
            <w:hideMark/>
          </w:tcPr>
          <w:p w14:paraId="70CF6F97" w14:textId="77777777" w:rsidR="00510214" w:rsidRPr="00E153EE" w:rsidRDefault="00510214" w:rsidP="00E153EE">
            <w:pPr>
              <w:pStyle w:val="NormalWeb"/>
              <w:rPr>
                <w:b/>
                <w:color w:val="FFFFFF" w:themeColor="background1"/>
              </w:rPr>
            </w:pPr>
            <w:r w:rsidRPr="00E153EE">
              <w:rPr>
                <w:b/>
                <w:color w:val="FFFFFF" w:themeColor="background1"/>
              </w:rPr>
              <w:t>TB treatment</w:t>
            </w:r>
          </w:p>
        </w:tc>
      </w:tr>
      <w:tr w:rsidR="00E153EE" w:rsidRPr="00E153EE" w14:paraId="04F6A1F3" w14:textId="77777777" w:rsidTr="00E153EE">
        <w:tc>
          <w:tcPr>
            <w:tcW w:w="10440" w:type="dxa"/>
            <w:gridSpan w:val="3"/>
            <w:tcBorders>
              <w:top w:val="single" w:sz="2" w:space="0" w:color="000000" w:themeColor="text1"/>
              <w:bottom w:val="single" w:sz="2" w:space="0" w:color="000000" w:themeColor="text1"/>
            </w:tcBorders>
            <w:shd w:val="clear" w:color="auto" w:fill="auto"/>
            <w:hideMark/>
          </w:tcPr>
          <w:p w14:paraId="455C6760" w14:textId="77777777" w:rsidR="00510214" w:rsidRPr="00E153EE" w:rsidRDefault="00510214">
            <w:pPr>
              <w:pStyle w:val="NormalWeb"/>
              <w:rPr>
                <w:b/>
              </w:rPr>
            </w:pPr>
            <w:r w:rsidRPr="00E153EE">
              <w:rPr>
                <w:b/>
              </w:rPr>
              <w:t>Previous TB treatment</w:t>
            </w:r>
          </w:p>
        </w:tc>
      </w:tr>
      <w:tr w:rsidR="00510214" w14:paraId="672D14AF" w14:textId="77777777" w:rsidTr="00ED59EC">
        <w:trPr>
          <w:cnfStyle w:val="000000010000" w:firstRow="0" w:lastRow="0" w:firstColumn="0" w:lastColumn="0" w:oddVBand="0" w:evenVBand="0" w:oddHBand="0" w:evenHBand="1" w:firstRowFirstColumn="0" w:firstRowLastColumn="0" w:lastRowFirstColumn="0" w:lastRowLastColumn="0"/>
        </w:trPr>
        <w:tc>
          <w:tcPr>
            <w:tcW w:w="6096" w:type="dxa"/>
            <w:tcBorders>
              <w:top w:val="single" w:sz="2" w:space="0" w:color="000000" w:themeColor="text1"/>
              <w:bottom w:val="single" w:sz="2" w:space="0" w:color="000000" w:themeColor="text1"/>
            </w:tcBorders>
            <w:shd w:val="clear" w:color="auto" w:fill="auto"/>
            <w:hideMark/>
          </w:tcPr>
          <w:p w14:paraId="04AF931D" w14:textId="77777777" w:rsidR="00510214" w:rsidRDefault="00510214" w:rsidP="00760031">
            <w:pPr>
              <w:pStyle w:val="NormalWeb"/>
              <w:ind w:left="720"/>
            </w:pPr>
            <w:r>
              <w:t>Yes</w:t>
            </w:r>
          </w:p>
        </w:tc>
        <w:tc>
          <w:tcPr>
            <w:tcW w:w="1804" w:type="dxa"/>
            <w:tcBorders>
              <w:top w:val="single" w:sz="2" w:space="0" w:color="000000" w:themeColor="text1"/>
              <w:bottom w:val="single" w:sz="2" w:space="0" w:color="000000" w:themeColor="text1"/>
            </w:tcBorders>
            <w:shd w:val="clear" w:color="auto" w:fill="auto"/>
            <w:hideMark/>
          </w:tcPr>
          <w:p w14:paraId="5EAB7CFA" w14:textId="77777777" w:rsidR="00510214" w:rsidRDefault="00510214" w:rsidP="00B447ED">
            <w:pPr>
              <w:pStyle w:val="NormalWeb"/>
              <w:jc w:val="center"/>
            </w:pPr>
            <w:r>
              <w:t>73</w:t>
            </w:r>
          </w:p>
        </w:tc>
        <w:tc>
          <w:tcPr>
            <w:tcW w:w="2540" w:type="dxa"/>
            <w:tcBorders>
              <w:top w:val="single" w:sz="2" w:space="0" w:color="000000" w:themeColor="text1"/>
              <w:bottom w:val="single" w:sz="2" w:space="0" w:color="000000" w:themeColor="text1"/>
            </w:tcBorders>
            <w:shd w:val="clear" w:color="auto" w:fill="auto"/>
            <w:hideMark/>
          </w:tcPr>
          <w:p w14:paraId="73E65A8F" w14:textId="77777777" w:rsidR="00510214" w:rsidRDefault="00510214" w:rsidP="00B447ED">
            <w:pPr>
              <w:pStyle w:val="NormalWeb"/>
              <w:jc w:val="center"/>
            </w:pPr>
            <w:r>
              <w:t>19.5</w:t>
            </w:r>
          </w:p>
        </w:tc>
      </w:tr>
      <w:tr w:rsidR="00510214" w14:paraId="54F3287D" w14:textId="77777777" w:rsidTr="00ED59EC">
        <w:tc>
          <w:tcPr>
            <w:tcW w:w="6096" w:type="dxa"/>
            <w:tcBorders>
              <w:top w:val="single" w:sz="2" w:space="0" w:color="000000" w:themeColor="text1"/>
              <w:bottom w:val="single" w:sz="2" w:space="0" w:color="000000" w:themeColor="text1"/>
            </w:tcBorders>
            <w:shd w:val="clear" w:color="auto" w:fill="auto"/>
            <w:hideMark/>
          </w:tcPr>
          <w:p w14:paraId="477F7DC7" w14:textId="77777777" w:rsidR="00510214" w:rsidRDefault="00510214" w:rsidP="001B6EBC">
            <w:pPr>
              <w:pStyle w:val="NormalWeb"/>
              <w:ind w:left="720"/>
            </w:pPr>
            <w:r>
              <w:t>No</w:t>
            </w:r>
          </w:p>
        </w:tc>
        <w:tc>
          <w:tcPr>
            <w:tcW w:w="1804" w:type="dxa"/>
            <w:tcBorders>
              <w:top w:val="single" w:sz="2" w:space="0" w:color="000000" w:themeColor="text1"/>
              <w:bottom w:val="single" w:sz="2" w:space="0" w:color="000000" w:themeColor="text1"/>
            </w:tcBorders>
            <w:shd w:val="clear" w:color="auto" w:fill="auto"/>
            <w:hideMark/>
          </w:tcPr>
          <w:p w14:paraId="01090CF8" w14:textId="77777777" w:rsidR="00510214" w:rsidRDefault="00510214" w:rsidP="00B447ED">
            <w:pPr>
              <w:pStyle w:val="NormalWeb"/>
              <w:jc w:val="center"/>
            </w:pPr>
            <w:r>
              <w:t>290</w:t>
            </w:r>
          </w:p>
        </w:tc>
        <w:tc>
          <w:tcPr>
            <w:tcW w:w="2540" w:type="dxa"/>
            <w:tcBorders>
              <w:top w:val="single" w:sz="2" w:space="0" w:color="000000" w:themeColor="text1"/>
              <w:bottom w:val="single" w:sz="2" w:space="0" w:color="000000" w:themeColor="text1"/>
            </w:tcBorders>
            <w:shd w:val="clear" w:color="auto" w:fill="auto"/>
            <w:hideMark/>
          </w:tcPr>
          <w:p w14:paraId="5343391E" w14:textId="77777777" w:rsidR="00510214" w:rsidRDefault="00510214" w:rsidP="00B447ED">
            <w:pPr>
              <w:pStyle w:val="NormalWeb"/>
              <w:jc w:val="center"/>
            </w:pPr>
            <w:r>
              <w:t>77.3</w:t>
            </w:r>
          </w:p>
        </w:tc>
      </w:tr>
      <w:tr w:rsidR="00510214" w14:paraId="4A51D6C1" w14:textId="77777777" w:rsidTr="00ED59EC">
        <w:trPr>
          <w:cnfStyle w:val="000000010000" w:firstRow="0" w:lastRow="0" w:firstColumn="0" w:lastColumn="0" w:oddVBand="0" w:evenVBand="0" w:oddHBand="0" w:evenHBand="1" w:firstRowFirstColumn="0" w:firstRowLastColumn="0" w:lastRowFirstColumn="0" w:lastRowLastColumn="0"/>
        </w:trPr>
        <w:tc>
          <w:tcPr>
            <w:tcW w:w="6096" w:type="dxa"/>
            <w:tcBorders>
              <w:top w:val="single" w:sz="2" w:space="0" w:color="000000" w:themeColor="text1"/>
              <w:bottom w:val="single" w:sz="2" w:space="0" w:color="000000" w:themeColor="text1"/>
            </w:tcBorders>
            <w:shd w:val="clear" w:color="auto" w:fill="auto"/>
            <w:hideMark/>
          </w:tcPr>
          <w:p w14:paraId="0F651AA1" w14:textId="77777777" w:rsidR="00510214" w:rsidRDefault="00510214" w:rsidP="001B6EBC">
            <w:pPr>
              <w:pStyle w:val="NormalWeb"/>
              <w:ind w:left="720"/>
            </w:pPr>
            <w:r>
              <w:lastRenderedPageBreak/>
              <w:t>Unknown</w:t>
            </w:r>
          </w:p>
        </w:tc>
        <w:tc>
          <w:tcPr>
            <w:tcW w:w="1804" w:type="dxa"/>
            <w:tcBorders>
              <w:top w:val="single" w:sz="2" w:space="0" w:color="000000" w:themeColor="text1"/>
              <w:bottom w:val="single" w:sz="2" w:space="0" w:color="000000" w:themeColor="text1"/>
            </w:tcBorders>
            <w:shd w:val="clear" w:color="auto" w:fill="auto"/>
            <w:hideMark/>
          </w:tcPr>
          <w:p w14:paraId="34BB5673" w14:textId="77777777" w:rsidR="00510214" w:rsidRDefault="00510214" w:rsidP="00B447ED">
            <w:pPr>
              <w:pStyle w:val="NormalWeb"/>
              <w:jc w:val="center"/>
            </w:pPr>
            <w:r>
              <w:t>12</w:t>
            </w:r>
          </w:p>
        </w:tc>
        <w:tc>
          <w:tcPr>
            <w:tcW w:w="2540" w:type="dxa"/>
            <w:tcBorders>
              <w:top w:val="single" w:sz="2" w:space="0" w:color="000000" w:themeColor="text1"/>
              <w:bottom w:val="single" w:sz="2" w:space="0" w:color="000000" w:themeColor="text1"/>
            </w:tcBorders>
            <w:shd w:val="clear" w:color="auto" w:fill="auto"/>
            <w:hideMark/>
          </w:tcPr>
          <w:p w14:paraId="11F049F4" w14:textId="77777777" w:rsidR="00510214" w:rsidRDefault="00510214" w:rsidP="00B447ED">
            <w:pPr>
              <w:pStyle w:val="NormalWeb"/>
              <w:jc w:val="center"/>
            </w:pPr>
            <w:r>
              <w:t>3.2</w:t>
            </w:r>
          </w:p>
        </w:tc>
      </w:tr>
      <w:tr w:rsidR="00E153EE" w:rsidRPr="00E153EE" w14:paraId="1AF7E388" w14:textId="77777777" w:rsidTr="00E153EE">
        <w:tc>
          <w:tcPr>
            <w:tcW w:w="10440" w:type="dxa"/>
            <w:gridSpan w:val="3"/>
            <w:tcBorders>
              <w:top w:val="single" w:sz="2" w:space="0" w:color="000000" w:themeColor="text1"/>
              <w:bottom w:val="single" w:sz="2" w:space="0" w:color="000000" w:themeColor="text1"/>
            </w:tcBorders>
            <w:shd w:val="clear" w:color="auto" w:fill="auto"/>
            <w:hideMark/>
          </w:tcPr>
          <w:p w14:paraId="40A87E09" w14:textId="77777777" w:rsidR="00510214" w:rsidRPr="00E153EE" w:rsidRDefault="00510214">
            <w:pPr>
              <w:pStyle w:val="NormalWeb"/>
              <w:rPr>
                <w:b/>
              </w:rPr>
            </w:pPr>
            <w:r w:rsidRPr="00E153EE">
              <w:rPr>
                <w:b/>
              </w:rPr>
              <w:t>Treatment with one or more fluoroquinolones</w:t>
            </w:r>
          </w:p>
        </w:tc>
      </w:tr>
      <w:tr w:rsidR="00510214" w14:paraId="468EA849" w14:textId="77777777" w:rsidTr="00ED59EC">
        <w:trPr>
          <w:cnfStyle w:val="000000010000" w:firstRow="0" w:lastRow="0" w:firstColumn="0" w:lastColumn="0" w:oddVBand="0" w:evenVBand="0" w:oddHBand="0" w:evenHBand="1" w:firstRowFirstColumn="0" w:firstRowLastColumn="0" w:lastRowFirstColumn="0" w:lastRowLastColumn="0"/>
        </w:trPr>
        <w:tc>
          <w:tcPr>
            <w:tcW w:w="6096" w:type="dxa"/>
            <w:tcBorders>
              <w:top w:val="single" w:sz="2" w:space="0" w:color="000000" w:themeColor="text1"/>
              <w:bottom w:val="single" w:sz="2" w:space="0" w:color="000000" w:themeColor="text1"/>
            </w:tcBorders>
            <w:shd w:val="clear" w:color="auto" w:fill="auto"/>
            <w:hideMark/>
          </w:tcPr>
          <w:p w14:paraId="32E09E17" w14:textId="77777777" w:rsidR="00510214" w:rsidRDefault="00510214" w:rsidP="003B0F1C">
            <w:pPr>
              <w:pStyle w:val="NormalWeb"/>
              <w:ind w:left="720"/>
            </w:pPr>
            <w:r>
              <w:t>Yes</w:t>
            </w:r>
          </w:p>
        </w:tc>
        <w:tc>
          <w:tcPr>
            <w:tcW w:w="1804" w:type="dxa"/>
            <w:tcBorders>
              <w:top w:val="single" w:sz="2" w:space="0" w:color="000000" w:themeColor="text1"/>
              <w:bottom w:val="single" w:sz="2" w:space="0" w:color="000000" w:themeColor="text1"/>
            </w:tcBorders>
            <w:shd w:val="clear" w:color="auto" w:fill="auto"/>
            <w:hideMark/>
          </w:tcPr>
          <w:p w14:paraId="6E1DAF58" w14:textId="77777777" w:rsidR="00510214" w:rsidRDefault="00510214" w:rsidP="00B447ED">
            <w:pPr>
              <w:pStyle w:val="NormalWeb"/>
              <w:jc w:val="center"/>
            </w:pPr>
            <w:r>
              <w:t>272</w:t>
            </w:r>
          </w:p>
        </w:tc>
        <w:tc>
          <w:tcPr>
            <w:tcW w:w="2540" w:type="dxa"/>
            <w:tcBorders>
              <w:top w:val="single" w:sz="2" w:space="0" w:color="000000" w:themeColor="text1"/>
              <w:bottom w:val="single" w:sz="2" w:space="0" w:color="000000" w:themeColor="text1"/>
            </w:tcBorders>
            <w:shd w:val="clear" w:color="auto" w:fill="auto"/>
            <w:hideMark/>
          </w:tcPr>
          <w:p w14:paraId="03DCBEC1" w14:textId="77777777" w:rsidR="00510214" w:rsidRDefault="00510214" w:rsidP="00B447ED">
            <w:pPr>
              <w:pStyle w:val="NormalWeb"/>
              <w:jc w:val="center"/>
            </w:pPr>
            <w:r>
              <w:t>72.5</w:t>
            </w:r>
          </w:p>
        </w:tc>
      </w:tr>
      <w:tr w:rsidR="00510214" w14:paraId="34678943" w14:textId="77777777" w:rsidTr="00ED59EC">
        <w:tc>
          <w:tcPr>
            <w:tcW w:w="6096" w:type="dxa"/>
            <w:tcBorders>
              <w:top w:val="single" w:sz="2" w:space="0" w:color="000000" w:themeColor="text1"/>
              <w:bottom w:val="single" w:sz="2" w:space="0" w:color="000000" w:themeColor="text1"/>
            </w:tcBorders>
            <w:shd w:val="clear" w:color="auto" w:fill="auto"/>
            <w:hideMark/>
          </w:tcPr>
          <w:p w14:paraId="69DADEDF" w14:textId="77777777" w:rsidR="00510214" w:rsidRDefault="00510214" w:rsidP="003B0F1C">
            <w:pPr>
              <w:pStyle w:val="NormalWeb"/>
              <w:ind w:left="720"/>
            </w:pPr>
            <w:r>
              <w:t>No</w:t>
            </w:r>
          </w:p>
        </w:tc>
        <w:tc>
          <w:tcPr>
            <w:tcW w:w="1804" w:type="dxa"/>
            <w:tcBorders>
              <w:top w:val="single" w:sz="2" w:space="0" w:color="000000" w:themeColor="text1"/>
              <w:bottom w:val="single" w:sz="2" w:space="0" w:color="000000" w:themeColor="text1"/>
            </w:tcBorders>
            <w:shd w:val="clear" w:color="auto" w:fill="auto"/>
            <w:hideMark/>
          </w:tcPr>
          <w:p w14:paraId="0CA4EF80" w14:textId="77777777" w:rsidR="00510214" w:rsidRDefault="00510214" w:rsidP="00B447ED">
            <w:pPr>
              <w:pStyle w:val="NormalWeb"/>
              <w:jc w:val="center"/>
            </w:pPr>
            <w:r>
              <w:t>103</w:t>
            </w:r>
          </w:p>
        </w:tc>
        <w:tc>
          <w:tcPr>
            <w:tcW w:w="2540" w:type="dxa"/>
            <w:tcBorders>
              <w:top w:val="single" w:sz="2" w:space="0" w:color="000000" w:themeColor="text1"/>
              <w:bottom w:val="single" w:sz="2" w:space="0" w:color="000000" w:themeColor="text1"/>
            </w:tcBorders>
            <w:shd w:val="clear" w:color="auto" w:fill="auto"/>
            <w:hideMark/>
          </w:tcPr>
          <w:p w14:paraId="2E84B6DA" w14:textId="77777777" w:rsidR="00510214" w:rsidRDefault="00510214" w:rsidP="00B447ED">
            <w:pPr>
              <w:pStyle w:val="NormalWeb"/>
              <w:jc w:val="center"/>
            </w:pPr>
            <w:r>
              <w:t>27.5</w:t>
            </w:r>
          </w:p>
        </w:tc>
      </w:tr>
      <w:tr w:rsidR="00E153EE" w:rsidRPr="00E153EE" w14:paraId="20A9E98E" w14:textId="77777777" w:rsidTr="00E153EE">
        <w:trPr>
          <w:cnfStyle w:val="000000010000" w:firstRow="0" w:lastRow="0" w:firstColumn="0" w:lastColumn="0" w:oddVBand="0" w:evenVBand="0" w:oddHBand="0" w:evenHBand="1" w:firstRowFirstColumn="0" w:firstRowLastColumn="0" w:lastRowFirstColumn="0" w:lastRowLastColumn="0"/>
        </w:trPr>
        <w:tc>
          <w:tcPr>
            <w:tcW w:w="10440" w:type="dxa"/>
            <w:gridSpan w:val="3"/>
            <w:tcBorders>
              <w:top w:val="single" w:sz="2" w:space="0" w:color="000000" w:themeColor="text1"/>
              <w:bottom w:val="single" w:sz="2" w:space="0" w:color="000000" w:themeColor="text1"/>
            </w:tcBorders>
            <w:shd w:val="clear" w:color="auto" w:fill="auto"/>
            <w:hideMark/>
          </w:tcPr>
          <w:p w14:paraId="03098E6F" w14:textId="77777777" w:rsidR="00510214" w:rsidRPr="00E153EE" w:rsidRDefault="00510214">
            <w:pPr>
              <w:pStyle w:val="NormalWeb"/>
              <w:rPr>
                <w:b/>
              </w:rPr>
            </w:pPr>
            <w:r w:rsidRPr="00E153EE">
              <w:rPr>
                <w:b/>
              </w:rPr>
              <w:t>Treatment with one or more second-line injectable agents</w:t>
            </w:r>
          </w:p>
        </w:tc>
      </w:tr>
      <w:tr w:rsidR="00510214" w14:paraId="38A50B80" w14:textId="77777777" w:rsidTr="00ED59EC">
        <w:tc>
          <w:tcPr>
            <w:tcW w:w="6096" w:type="dxa"/>
            <w:tcBorders>
              <w:top w:val="single" w:sz="2" w:space="0" w:color="000000" w:themeColor="text1"/>
              <w:bottom w:val="single" w:sz="2" w:space="0" w:color="000000" w:themeColor="text1"/>
            </w:tcBorders>
            <w:shd w:val="clear" w:color="auto" w:fill="auto"/>
            <w:hideMark/>
          </w:tcPr>
          <w:p w14:paraId="3171AD07" w14:textId="77777777" w:rsidR="00510214" w:rsidRDefault="00510214" w:rsidP="00AF18C4">
            <w:pPr>
              <w:pStyle w:val="NormalWeb"/>
              <w:ind w:left="720"/>
            </w:pPr>
            <w:r>
              <w:t>Yes</w:t>
            </w:r>
          </w:p>
        </w:tc>
        <w:tc>
          <w:tcPr>
            <w:tcW w:w="1804" w:type="dxa"/>
            <w:tcBorders>
              <w:top w:val="single" w:sz="2" w:space="0" w:color="000000" w:themeColor="text1"/>
              <w:bottom w:val="single" w:sz="2" w:space="0" w:color="000000" w:themeColor="text1"/>
            </w:tcBorders>
            <w:shd w:val="clear" w:color="auto" w:fill="auto"/>
            <w:hideMark/>
          </w:tcPr>
          <w:p w14:paraId="7107B81C" w14:textId="77777777" w:rsidR="00510214" w:rsidRDefault="00510214" w:rsidP="00B447ED">
            <w:pPr>
              <w:pStyle w:val="NormalWeb"/>
              <w:jc w:val="center"/>
            </w:pPr>
            <w:r>
              <w:t>270</w:t>
            </w:r>
          </w:p>
        </w:tc>
        <w:tc>
          <w:tcPr>
            <w:tcW w:w="2540" w:type="dxa"/>
            <w:tcBorders>
              <w:top w:val="single" w:sz="2" w:space="0" w:color="000000" w:themeColor="text1"/>
              <w:bottom w:val="single" w:sz="2" w:space="0" w:color="000000" w:themeColor="text1"/>
            </w:tcBorders>
            <w:shd w:val="clear" w:color="auto" w:fill="auto"/>
            <w:hideMark/>
          </w:tcPr>
          <w:p w14:paraId="502F10D1" w14:textId="77777777" w:rsidR="00510214" w:rsidRDefault="00510214" w:rsidP="00B447ED">
            <w:pPr>
              <w:pStyle w:val="NormalWeb"/>
              <w:jc w:val="center"/>
            </w:pPr>
            <w:r>
              <w:t>72.0</w:t>
            </w:r>
          </w:p>
        </w:tc>
      </w:tr>
      <w:tr w:rsidR="00510214" w14:paraId="6AC26133" w14:textId="77777777" w:rsidTr="00ED59EC">
        <w:trPr>
          <w:cnfStyle w:val="000000010000" w:firstRow="0" w:lastRow="0" w:firstColumn="0" w:lastColumn="0" w:oddVBand="0" w:evenVBand="0" w:oddHBand="0" w:evenHBand="1" w:firstRowFirstColumn="0" w:firstRowLastColumn="0" w:lastRowFirstColumn="0" w:lastRowLastColumn="0"/>
        </w:trPr>
        <w:tc>
          <w:tcPr>
            <w:tcW w:w="6096" w:type="dxa"/>
            <w:tcBorders>
              <w:top w:val="single" w:sz="2" w:space="0" w:color="000000" w:themeColor="text1"/>
              <w:bottom w:val="single" w:sz="2" w:space="0" w:color="000000" w:themeColor="text1"/>
            </w:tcBorders>
            <w:shd w:val="clear" w:color="auto" w:fill="auto"/>
            <w:hideMark/>
          </w:tcPr>
          <w:p w14:paraId="2EB704B8" w14:textId="77777777" w:rsidR="00510214" w:rsidRDefault="00510214" w:rsidP="00AF18C4">
            <w:pPr>
              <w:pStyle w:val="NormalWeb"/>
              <w:ind w:left="720"/>
            </w:pPr>
            <w:r>
              <w:t>No</w:t>
            </w:r>
          </w:p>
        </w:tc>
        <w:tc>
          <w:tcPr>
            <w:tcW w:w="1804" w:type="dxa"/>
            <w:tcBorders>
              <w:top w:val="single" w:sz="2" w:space="0" w:color="000000" w:themeColor="text1"/>
              <w:bottom w:val="single" w:sz="2" w:space="0" w:color="000000" w:themeColor="text1"/>
            </w:tcBorders>
            <w:shd w:val="clear" w:color="auto" w:fill="auto"/>
            <w:hideMark/>
          </w:tcPr>
          <w:p w14:paraId="3E3CCACE" w14:textId="77777777" w:rsidR="00510214" w:rsidRDefault="00510214" w:rsidP="00B447ED">
            <w:pPr>
              <w:pStyle w:val="NormalWeb"/>
              <w:jc w:val="center"/>
            </w:pPr>
            <w:r>
              <w:t>105</w:t>
            </w:r>
          </w:p>
        </w:tc>
        <w:tc>
          <w:tcPr>
            <w:tcW w:w="2540" w:type="dxa"/>
            <w:tcBorders>
              <w:top w:val="single" w:sz="2" w:space="0" w:color="000000" w:themeColor="text1"/>
              <w:bottom w:val="single" w:sz="2" w:space="0" w:color="000000" w:themeColor="text1"/>
            </w:tcBorders>
            <w:shd w:val="clear" w:color="auto" w:fill="auto"/>
            <w:hideMark/>
          </w:tcPr>
          <w:p w14:paraId="3D3D1102" w14:textId="77777777" w:rsidR="00510214" w:rsidRDefault="00510214" w:rsidP="00B447ED">
            <w:pPr>
              <w:pStyle w:val="NormalWeb"/>
              <w:jc w:val="center"/>
            </w:pPr>
            <w:r>
              <w:t>28.0</w:t>
            </w:r>
          </w:p>
        </w:tc>
      </w:tr>
      <w:tr w:rsidR="00E153EE" w:rsidRPr="00E153EE" w14:paraId="34587ED3" w14:textId="77777777" w:rsidTr="00E153EE">
        <w:tc>
          <w:tcPr>
            <w:tcW w:w="10440" w:type="dxa"/>
            <w:gridSpan w:val="3"/>
            <w:tcBorders>
              <w:top w:val="single" w:sz="2" w:space="0" w:color="000000" w:themeColor="text1"/>
              <w:bottom w:val="single" w:sz="2" w:space="0" w:color="000000" w:themeColor="text1"/>
            </w:tcBorders>
            <w:shd w:val="clear" w:color="auto" w:fill="auto"/>
            <w:hideMark/>
          </w:tcPr>
          <w:p w14:paraId="3E17DBD0" w14:textId="77777777" w:rsidR="00510214" w:rsidRPr="00E153EE" w:rsidRDefault="00510214">
            <w:pPr>
              <w:pStyle w:val="NormalWeb"/>
              <w:rPr>
                <w:b/>
              </w:rPr>
            </w:pPr>
            <w:r w:rsidRPr="00E153EE">
              <w:rPr>
                <w:b/>
              </w:rPr>
              <w:t>Combination therapy (fluoroquinolones and second-line injectable agent)</w:t>
            </w:r>
          </w:p>
        </w:tc>
      </w:tr>
      <w:tr w:rsidR="00510214" w14:paraId="73C89D84" w14:textId="77777777" w:rsidTr="00ED59EC">
        <w:trPr>
          <w:cnfStyle w:val="000000010000" w:firstRow="0" w:lastRow="0" w:firstColumn="0" w:lastColumn="0" w:oddVBand="0" w:evenVBand="0" w:oddHBand="0" w:evenHBand="1" w:firstRowFirstColumn="0" w:firstRowLastColumn="0" w:lastRowFirstColumn="0" w:lastRowLastColumn="0"/>
        </w:trPr>
        <w:tc>
          <w:tcPr>
            <w:tcW w:w="6096" w:type="dxa"/>
            <w:tcBorders>
              <w:top w:val="single" w:sz="2" w:space="0" w:color="000000" w:themeColor="text1"/>
              <w:bottom w:val="single" w:sz="2" w:space="0" w:color="000000" w:themeColor="text1"/>
            </w:tcBorders>
            <w:shd w:val="clear" w:color="auto" w:fill="auto"/>
            <w:hideMark/>
          </w:tcPr>
          <w:p w14:paraId="42062A56" w14:textId="77777777" w:rsidR="00510214" w:rsidRDefault="00510214" w:rsidP="00AF18C4">
            <w:pPr>
              <w:pStyle w:val="NormalWeb"/>
              <w:ind w:left="720"/>
            </w:pPr>
            <w:r>
              <w:t>Yes</w:t>
            </w:r>
          </w:p>
        </w:tc>
        <w:tc>
          <w:tcPr>
            <w:tcW w:w="1804" w:type="dxa"/>
            <w:tcBorders>
              <w:top w:val="single" w:sz="2" w:space="0" w:color="000000" w:themeColor="text1"/>
              <w:bottom w:val="single" w:sz="2" w:space="0" w:color="000000" w:themeColor="text1"/>
            </w:tcBorders>
            <w:shd w:val="clear" w:color="auto" w:fill="auto"/>
            <w:hideMark/>
          </w:tcPr>
          <w:p w14:paraId="0192FC3D" w14:textId="77777777" w:rsidR="00510214" w:rsidRDefault="00510214" w:rsidP="00B447ED">
            <w:pPr>
              <w:pStyle w:val="NormalWeb"/>
              <w:jc w:val="center"/>
            </w:pPr>
            <w:r>
              <w:t>228</w:t>
            </w:r>
          </w:p>
        </w:tc>
        <w:tc>
          <w:tcPr>
            <w:tcW w:w="2540" w:type="dxa"/>
            <w:tcBorders>
              <w:top w:val="single" w:sz="2" w:space="0" w:color="000000" w:themeColor="text1"/>
              <w:bottom w:val="single" w:sz="2" w:space="0" w:color="000000" w:themeColor="text1"/>
            </w:tcBorders>
            <w:shd w:val="clear" w:color="auto" w:fill="auto"/>
            <w:hideMark/>
          </w:tcPr>
          <w:p w14:paraId="7EE35F36" w14:textId="77777777" w:rsidR="00510214" w:rsidRDefault="00510214" w:rsidP="00B447ED">
            <w:pPr>
              <w:pStyle w:val="NormalWeb"/>
              <w:jc w:val="center"/>
            </w:pPr>
            <w:r>
              <w:t>60.8</w:t>
            </w:r>
          </w:p>
        </w:tc>
      </w:tr>
      <w:tr w:rsidR="00510214" w14:paraId="2CC154B2" w14:textId="77777777" w:rsidTr="00ED59EC">
        <w:tc>
          <w:tcPr>
            <w:tcW w:w="6096" w:type="dxa"/>
            <w:tcBorders>
              <w:top w:val="single" w:sz="2" w:space="0" w:color="000000" w:themeColor="text1"/>
              <w:bottom w:val="single" w:sz="2" w:space="0" w:color="000000" w:themeColor="text1"/>
            </w:tcBorders>
            <w:shd w:val="clear" w:color="auto" w:fill="auto"/>
            <w:hideMark/>
          </w:tcPr>
          <w:p w14:paraId="724FC2EB" w14:textId="77777777" w:rsidR="00510214" w:rsidRDefault="00510214" w:rsidP="00AF18C4">
            <w:pPr>
              <w:pStyle w:val="NormalWeb"/>
              <w:ind w:left="720"/>
            </w:pPr>
            <w:r>
              <w:t>No</w:t>
            </w:r>
          </w:p>
        </w:tc>
        <w:tc>
          <w:tcPr>
            <w:tcW w:w="1804" w:type="dxa"/>
            <w:tcBorders>
              <w:top w:val="single" w:sz="2" w:space="0" w:color="000000" w:themeColor="text1"/>
              <w:bottom w:val="single" w:sz="2" w:space="0" w:color="000000" w:themeColor="text1"/>
            </w:tcBorders>
            <w:shd w:val="clear" w:color="auto" w:fill="auto"/>
            <w:hideMark/>
          </w:tcPr>
          <w:p w14:paraId="78F595D9" w14:textId="77777777" w:rsidR="00510214" w:rsidRDefault="00510214" w:rsidP="00B447ED">
            <w:pPr>
              <w:pStyle w:val="NormalWeb"/>
              <w:jc w:val="center"/>
            </w:pPr>
            <w:r>
              <w:t>147</w:t>
            </w:r>
          </w:p>
        </w:tc>
        <w:tc>
          <w:tcPr>
            <w:tcW w:w="2540" w:type="dxa"/>
            <w:tcBorders>
              <w:top w:val="single" w:sz="2" w:space="0" w:color="000000" w:themeColor="text1"/>
              <w:bottom w:val="single" w:sz="2" w:space="0" w:color="000000" w:themeColor="text1"/>
            </w:tcBorders>
            <w:shd w:val="clear" w:color="auto" w:fill="auto"/>
            <w:hideMark/>
          </w:tcPr>
          <w:p w14:paraId="00829601" w14:textId="77777777" w:rsidR="00510214" w:rsidRDefault="00510214" w:rsidP="00B447ED">
            <w:pPr>
              <w:pStyle w:val="NormalWeb"/>
              <w:jc w:val="center"/>
            </w:pPr>
            <w:r>
              <w:t>39.2</w:t>
            </w:r>
          </w:p>
        </w:tc>
      </w:tr>
      <w:tr w:rsidR="00FB1CC8" w:rsidRPr="00FB1CC8" w14:paraId="5C57EBC6" w14:textId="77777777" w:rsidTr="004A0630">
        <w:trPr>
          <w:cnfStyle w:val="000000010000" w:firstRow="0" w:lastRow="0" w:firstColumn="0" w:lastColumn="0" w:oddVBand="0" w:evenVBand="0" w:oddHBand="0" w:evenHBand="1" w:firstRowFirstColumn="0" w:firstRowLastColumn="0" w:lastRowFirstColumn="0" w:lastRowLastColumn="0"/>
        </w:trPr>
        <w:tc>
          <w:tcPr>
            <w:tcW w:w="10440" w:type="dxa"/>
            <w:gridSpan w:val="3"/>
            <w:tcBorders>
              <w:top w:val="single" w:sz="2" w:space="0" w:color="000000" w:themeColor="text1"/>
              <w:bottom w:val="single" w:sz="2" w:space="0" w:color="000000" w:themeColor="text1"/>
            </w:tcBorders>
            <w:shd w:val="clear" w:color="auto" w:fill="808080" w:themeFill="background1" w:themeFillShade="80"/>
            <w:hideMark/>
          </w:tcPr>
          <w:p w14:paraId="0FDAEA37" w14:textId="77777777" w:rsidR="00510214" w:rsidRPr="00FB1CC8" w:rsidRDefault="00510214">
            <w:pPr>
              <w:pStyle w:val="NormalWeb"/>
              <w:rPr>
                <w:b/>
                <w:color w:val="FFFFFF" w:themeColor="background1"/>
              </w:rPr>
            </w:pPr>
            <w:r w:rsidRPr="00FB1CC8">
              <w:rPr>
                <w:b/>
                <w:color w:val="FFFFFF" w:themeColor="background1"/>
              </w:rPr>
              <w:t>TB drug resistance profile</w:t>
            </w:r>
          </w:p>
        </w:tc>
      </w:tr>
      <w:tr w:rsidR="00510214" w:rsidRPr="00B202DB" w14:paraId="0BB9AEE9" w14:textId="77777777" w:rsidTr="004A0630">
        <w:tc>
          <w:tcPr>
            <w:tcW w:w="10440" w:type="dxa"/>
            <w:gridSpan w:val="3"/>
            <w:tcBorders>
              <w:top w:val="single" w:sz="2" w:space="0" w:color="000000" w:themeColor="text1"/>
              <w:bottom w:val="single" w:sz="2" w:space="0" w:color="000000" w:themeColor="text1"/>
            </w:tcBorders>
            <w:hideMark/>
          </w:tcPr>
          <w:p w14:paraId="33FCFE6F" w14:textId="77777777" w:rsidR="00510214" w:rsidRPr="00B202DB" w:rsidRDefault="00510214">
            <w:pPr>
              <w:pStyle w:val="NormalWeb"/>
              <w:rPr>
                <w:b/>
              </w:rPr>
            </w:pPr>
            <w:r w:rsidRPr="00B202DB">
              <w:rPr>
                <w:b/>
              </w:rPr>
              <w:t>Resistant to one or more fluoroquinolones</w:t>
            </w:r>
          </w:p>
        </w:tc>
      </w:tr>
      <w:tr w:rsidR="00510214" w14:paraId="12E28328" w14:textId="77777777" w:rsidTr="00ED59EC">
        <w:trPr>
          <w:cnfStyle w:val="000000010000" w:firstRow="0" w:lastRow="0" w:firstColumn="0" w:lastColumn="0" w:oddVBand="0" w:evenVBand="0" w:oddHBand="0" w:evenHBand="1" w:firstRowFirstColumn="0" w:firstRowLastColumn="0" w:lastRowFirstColumn="0" w:lastRowLastColumn="0"/>
        </w:trPr>
        <w:tc>
          <w:tcPr>
            <w:tcW w:w="6096" w:type="dxa"/>
            <w:tcBorders>
              <w:top w:val="single" w:sz="2" w:space="0" w:color="000000" w:themeColor="text1"/>
              <w:bottom w:val="single" w:sz="2" w:space="0" w:color="000000" w:themeColor="text1"/>
            </w:tcBorders>
            <w:shd w:val="clear" w:color="auto" w:fill="auto"/>
            <w:hideMark/>
          </w:tcPr>
          <w:p w14:paraId="6D77D82A" w14:textId="77777777" w:rsidR="00510214" w:rsidRDefault="00510214" w:rsidP="00B202DB">
            <w:pPr>
              <w:pStyle w:val="NormalWeb"/>
              <w:ind w:left="720"/>
            </w:pPr>
            <w:r>
              <w:t>Yes</w:t>
            </w:r>
          </w:p>
        </w:tc>
        <w:tc>
          <w:tcPr>
            <w:tcW w:w="1804" w:type="dxa"/>
            <w:tcBorders>
              <w:top w:val="single" w:sz="2" w:space="0" w:color="000000" w:themeColor="text1"/>
              <w:bottom w:val="single" w:sz="2" w:space="0" w:color="000000" w:themeColor="text1"/>
            </w:tcBorders>
            <w:shd w:val="clear" w:color="auto" w:fill="auto"/>
            <w:hideMark/>
          </w:tcPr>
          <w:p w14:paraId="29ACB3F4" w14:textId="77777777" w:rsidR="00510214" w:rsidRDefault="00510214" w:rsidP="00B447ED">
            <w:pPr>
              <w:pStyle w:val="NormalWeb"/>
              <w:jc w:val="center"/>
            </w:pPr>
            <w:r>
              <w:t>22</w:t>
            </w:r>
          </w:p>
        </w:tc>
        <w:tc>
          <w:tcPr>
            <w:tcW w:w="2540" w:type="dxa"/>
            <w:tcBorders>
              <w:top w:val="single" w:sz="2" w:space="0" w:color="000000" w:themeColor="text1"/>
              <w:bottom w:val="single" w:sz="2" w:space="0" w:color="000000" w:themeColor="text1"/>
            </w:tcBorders>
            <w:shd w:val="clear" w:color="auto" w:fill="auto"/>
            <w:hideMark/>
          </w:tcPr>
          <w:p w14:paraId="6180524F" w14:textId="77777777" w:rsidR="00510214" w:rsidRDefault="00510214" w:rsidP="00B447ED">
            <w:pPr>
              <w:pStyle w:val="NormalWeb"/>
              <w:jc w:val="center"/>
            </w:pPr>
            <w:r>
              <w:t>5.9</w:t>
            </w:r>
          </w:p>
        </w:tc>
      </w:tr>
      <w:tr w:rsidR="00510214" w14:paraId="2B089ECC" w14:textId="77777777" w:rsidTr="00ED59EC">
        <w:tc>
          <w:tcPr>
            <w:tcW w:w="6096" w:type="dxa"/>
            <w:tcBorders>
              <w:top w:val="single" w:sz="2" w:space="0" w:color="000000" w:themeColor="text1"/>
              <w:bottom w:val="single" w:sz="2" w:space="0" w:color="000000" w:themeColor="text1"/>
            </w:tcBorders>
            <w:shd w:val="clear" w:color="auto" w:fill="auto"/>
            <w:hideMark/>
          </w:tcPr>
          <w:p w14:paraId="16CE62EF" w14:textId="77777777" w:rsidR="00510214" w:rsidRDefault="00510214" w:rsidP="00B202DB">
            <w:pPr>
              <w:pStyle w:val="NormalWeb"/>
              <w:ind w:left="720"/>
            </w:pPr>
            <w:r>
              <w:t>No</w:t>
            </w:r>
          </w:p>
        </w:tc>
        <w:tc>
          <w:tcPr>
            <w:tcW w:w="1804" w:type="dxa"/>
            <w:tcBorders>
              <w:top w:val="single" w:sz="2" w:space="0" w:color="000000" w:themeColor="text1"/>
              <w:bottom w:val="single" w:sz="2" w:space="0" w:color="000000" w:themeColor="text1"/>
            </w:tcBorders>
            <w:shd w:val="clear" w:color="auto" w:fill="auto"/>
            <w:hideMark/>
          </w:tcPr>
          <w:p w14:paraId="06B636A8" w14:textId="77777777" w:rsidR="00510214" w:rsidRDefault="00510214" w:rsidP="00B447ED">
            <w:pPr>
              <w:pStyle w:val="NormalWeb"/>
              <w:jc w:val="center"/>
            </w:pPr>
            <w:r>
              <w:t>353</w:t>
            </w:r>
          </w:p>
        </w:tc>
        <w:tc>
          <w:tcPr>
            <w:tcW w:w="2540" w:type="dxa"/>
            <w:tcBorders>
              <w:top w:val="single" w:sz="2" w:space="0" w:color="000000" w:themeColor="text1"/>
              <w:bottom w:val="single" w:sz="2" w:space="0" w:color="000000" w:themeColor="text1"/>
            </w:tcBorders>
            <w:shd w:val="clear" w:color="auto" w:fill="auto"/>
            <w:hideMark/>
          </w:tcPr>
          <w:p w14:paraId="175B779E" w14:textId="77777777" w:rsidR="00510214" w:rsidRDefault="00510214" w:rsidP="00B447ED">
            <w:pPr>
              <w:pStyle w:val="NormalWeb"/>
              <w:jc w:val="center"/>
            </w:pPr>
            <w:r>
              <w:t>94.1</w:t>
            </w:r>
          </w:p>
        </w:tc>
      </w:tr>
      <w:tr w:rsidR="00E153EE" w:rsidRPr="00E153EE" w14:paraId="7385717B" w14:textId="77777777" w:rsidTr="00E153EE">
        <w:trPr>
          <w:cnfStyle w:val="000000010000" w:firstRow="0" w:lastRow="0" w:firstColumn="0" w:lastColumn="0" w:oddVBand="0" w:evenVBand="0" w:oddHBand="0" w:evenHBand="1" w:firstRowFirstColumn="0" w:firstRowLastColumn="0" w:lastRowFirstColumn="0" w:lastRowLastColumn="0"/>
        </w:trPr>
        <w:tc>
          <w:tcPr>
            <w:tcW w:w="10440" w:type="dxa"/>
            <w:gridSpan w:val="3"/>
            <w:tcBorders>
              <w:top w:val="single" w:sz="2" w:space="0" w:color="000000" w:themeColor="text1"/>
              <w:bottom w:val="single" w:sz="2" w:space="0" w:color="000000" w:themeColor="text1"/>
            </w:tcBorders>
            <w:shd w:val="clear" w:color="auto" w:fill="auto"/>
            <w:hideMark/>
          </w:tcPr>
          <w:p w14:paraId="04C0CD02" w14:textId="77777777" w:rsidR="00510214" w:rsidRPr="00E153EE" w:rsidRDefault="00510214">
            <w:pPr>
              <w:pStyle w:val="NormalWeb"/>
              <w:rPr>
                <w:b/>
              </w:rPr>
            </w:pPr>
            <w:r w:rsidRPr="00E153EE">
              <w:rPr>
                <w:b/>
              </w:rPr>
              <w:t>XDR-TB</w:t>
            </w:r>
          </w:p>
        </w:tc>
      </w:tr>
      <w:tr w:rsidR="00510214" w14:paraId="081FF10A" w14:textId="77777777" w:rsidTr="00ED59EC">
        <w:tc>
          <w:tcPr>
            <w:tcW w:w="6096" w:type="dxa"/>
            <w:tcBorders>
              <w:top w:val="single" w:sz="2" w:space="0" w:color="000000" w:themeColor="text1"/>
              <w:bottom w:val="single" w:sz="2" w:space="0" w:color="000000" w:themeColor="text1"/>
            </w:tcBorders>
            <w:shd w:val="clear" w:color="auto" w:fill="auto"/>
            <w:hideMark/>
          </w:tcPr>
          <w:p w14:paraId="615F7EE2" w14:textId="77777777" w:rsidR="00510214" w:rsidRDefault="00510214" w:rsidP="00A12ED7">
            <w:pPr>
              <w:pStyle w:val="NormalWeb"/>
              <w:ind w:left="720"/>
            </w:pPr>
            <w:r>
              <w:t>Yes</w:t>
            </w:r>
          </w:p>
        </w:tc>
        <w:tc>
          <w:tcPr>
            <w:tcW w:w="1804" w:type="dxa"/>
            <w:tcBorders>
              <w:top w:val="single" w:sz="2" w:space="0" w:color="000000" w:themeColor="text1"/>
              <w:bottom w:val="single" w:sz="2" w:space="0" w:color="000000" w:themeColor="text1"/>
            </w:tcBorders>
            <w:shd w:val="clear" w:color="auto" w:fill="auto"/>
            <w:hideMark/>
          </w:tcPr>
          <w:p w14:paraId="2793800A" w14:textId="77777777" w:rsidR="00510214" w:rsidRDefault="00510214" w:rsidP="00B447ED">
            <w:pPr>
              <w:pStyle w:val="NormalWeb"/>
              <w:jc w:val="center"/>
            </w:pPr>
            <w:r>
              <w:t>7</w:t>
            </w:r>
          </w:p>
        </w:tc>
        <w:tc>
          <w:tcPr>
            <w:tcW w:w="2540" w:type="dxa"/>
            <w:tcBorders>
              <w:top w:val="single" w:sz="2" w:space="0" w:color="000000" w:themeColor="text1"/>
              <w:bottom w:val="single" w:sz="2" w:space="0" w:color="000000" w:themeColor="text1"/>
            </w:tcBorders>
            <w:shd w:val="clear" w:color="auto" w:fill="auto"/>
            <w:hideMark/>
          </w:tcPr>
          <w:p w14:paraId="60A3D49A" w14:textId="77777777" w:rsidR="00510214" w:rsidRDefault="00510214" w:rsidP="00B447ED">
            <w:pPr>
              <w:pStyle w:val="NormalWeb"/>
              <w:jc w:val="center"/>
            </w:pPr>
            <w:r>
              <w:t>1.8</w:t>
            </w:r>
          </w:p>
        </w:tc>
      </w:tr>
      <w:tr w:rsidR="00510214" w14:paraId="5008291B" w14:textId="77777777" w:rsidTr="00ED59EC">
        <w:trPr>
          <w:cnfStyle w:val="000000010000" w:firstRow="0" w:lastRow="0" w:firstColumn="0" w:lastColumn="0" w:oddVBand="0" w:evenVBand="0" w:oddHBand="0" w:evenHBand="1" w:firstRowFirstColumn="0" w:firstRowLastColumn="0" w:lastRowFirstColumn="0" w:lastRowLastColumn="0"/>
        </w:trPr>
        <w:tc>
          <w:tcPr>
            <w:tcW w:w="6096" w:type="dxa"/>
            <w:tcBorders>
              <w:top w:val="single" w:sz="2" w:space="0" w:color="000000" w:themeColor="text1"/>
              <w:bottom w:val="single" w:sz="2" w:space="0" w:color="000000" w:themeColor="text1"/>
            </w:tcBorders>
            <w:shd w:val="clear" w:color="auto" w:fill="auto"/>
            <w:hideMark/>
          </w:tcPr>
          <w:p w14:paraId="4C6EBEFC" w14:textId="77777777" w:rsidR="00510214" w:rsidRDefault="00510214" w:rsidP="00A12ED7">
            <w:pPr>
              <w:pStyle w:val="NormalWeb"/>
              <w:ind w:left="720"/>
            </w:pPr>
            <w:r>
              <w:t>No</w:t>
            </w:r>
          </w:p>
        </w:tc>
        <w:tc>
          <w:tcPr>
            <w:tcW w:w="1804" w:type="dxa"/>
            <w:tcBorders>
              <w:top w:val="single" w:sz="2" w:space="0" w:color="000000" w:themeColor="text1"/>
              <w:bottom w:val="single" w:sz="2" w:space="0" w:color="000000" w:themeColor="text1"/>
            </w:tcBorders>
            <w:shd w:val="clear" w:color="auto" w:fill="auto"/>
            <w:hideMark/>
          </w:tcPr>
          <w:p w14:paraId="4FA1A5C8" w14:textId="77777777" w:rsidR="00510214" w:rsidRDefault="00510214" w:rsidP="00B447ED">
            <w:pPr>
              <w:pStyle w:val="NormalWeb"/>
              <w:jc w:val="center"/>
            </w:pPr>
            <w:r>
              <w:t>368</w:t>
            </w:r>
          </w:p>
        </w:tc>
        <w:tc>
          <w:tcPr>
            <w:tcW w:w="2540" w:type="dxa"/>
            <w:tcBorders>
              <w:top w:val="single" w:sz="2" w:space="0" w:color="000000" w:themeColor="text1"/>
              <w:bottom w:val="single" w:sz="2" w:space="0" w:color="000000" w:themeColor="text1"/>
            </w:tcBorders>
            <w:shd w:val="clear" w:color="auto" w:fill="auto"/>
            <w:hideMark/>
          </w:tcPr>
          <w:p w14:paraId="0761DA81" w14:textId="77777777" w:rsidR="00510214" w:rsidRDefault="00510214" w:rsidP="00B447ED">
            <w:pPr>
              <w:pStyle w:val="NormalWeb"/>
              <w:jc w:val="center"/>
            </w:pPr>
            <w:r>
              <w:t>98.1</w:t>
            </w:r>
          </w:p>
        </w:tc>
      </w:tr>
      <w:tr w:rsidR="00F77375" w:rsidRPr="00F77375" w14:paraId="66027354" w14:textId="77777777" w:rsidTr="004A0630">
        <w:tc>
          <w:tcPr>
            <w:tcW w:w="10440" w:type="dxa"/>
            <w:gridSpan w:val="3"/>
            <w:tcBorders>
              <w:top w:val="single" w:sz="2" w:space="0" w:color="000000" w:themeColor="text1"/>
              <w:bottom w:val="single" w:sz="2" w:space="0" w:color="000000" w:themeColor="text1"/>
            </w:tcBorders>
            <w:shd w:val="clear" w:color="auto" w:fill="808080" w:themeFill="background1" w:themeFillShade="80"/>
            <w:hideMark/>
          </w:tcPr>
          <w:p w14:paraId="641DCB05" w14:textId="77777777" w:rsidR="00510214" w:rsidRPr="00F77375" w:rsidRDefault="00510214">
            <w:pPr>
              <w:pStyle w:val="NormalWeb"/>
              <w:rPr>
                <w:b/>
                <w:color w:val="FFFFFF" w:themeColor="background1"/>
              </w:rPr>
            </w:pPr>
            <w:r w:rsidRPr="00F77375">
              <w:rPr>
                <w:b/>
                <w:color w:val="FFFFFF" w:themeColor="background1"/>
              </w:rPr>
              <w:t>Selected risk factors for TB acquisition</w:t>
            </w:r>
          </w:p>
        </w:tc>
      </w:tr>
      <w:tr w:rsidR="00510214" w:rsidRPr="00952AD7" w14:paraId="706371DB" w14:textId="77777777" w:rsidTr="00ED59EC">
        <w:trPr>
          <w:cnfStyle w:val="000000010000" w:firstRow="0" w:lastRow="0" w:firstColumn="0" w:lastColumn="0" w:oddVBand="0" w:evenVBand="0" w:oddHBand="0" w:evenHBand="1" w:firstRowFirstColumn="0" w:firstRowLastColumn="0" w:lastRowFirstColumn="0" w:lastRowLastColumn="0"/>
        </w:trPr>
        <w:tc>
          <w:tcPr>
            <w:tcW w:w="10440" w:type="dxa"/>
            <w:gridSpan w:val="3"/>
            <w:tcBorders>
              <w:top w:val="single" w:sz="2" w:space="0" w:color="000000" w:themeColor="text1"/>
              <w:bottom w:val="single" w:sz="2" w:space="0" w:color="000000" w:themeColor="text1"/>
            </w:tcBorders>
            <w:shd w:val="clear" w:color="auto" w:fill="auto"/>
            <w:hideMark/>
          </w:tcPr>
          <w:p w14:paraId="070F48AB" w14:textId="77777777" w:rsidR="00510214" w:rsidRPr="00952AD7" w:rsidRDefault="00510214">
            <w:pPr>
              <w:pStyle w:val="NormalWeb"/>
              <w:rPr>
                <w:b/>
              </w:rPr>
            </w:pPr>
            <w:r w:rsidRPr="00952AD7">
              <w:rPr>
                <w:b/>
              </w:rPr>
              <w:t>TB high risk country: past travel or residence (not country of birth)</w:t>
            </w:r>
          </w:p>
        </w:tc>
      </w:tr>
      <w:tr w:rsidR="00510214" w14:paraId="223967A4" w14:textId="77777777" w:rsidTr="00ED59EC">
        <w:tc>
          <w:tcPr>
            <w:tcW w:w="6096" w:type="dxa"/>
            <w:tcBorders>
              <w:top w:val="single" w:sz="2" w:space="0" w:color="000000" w:themeColor="text1"/>
              <w:bottom w:val="single" w:sz="2" w:space="0" w:color="000000" w:themeColor="text1"/>
            </w:tcBorders>
            <w:shd w:val="clear" w:color="auto" w:fill="auto"/>
            <w:hideMark/>
          </w:tcPr>
          <w:p w14:paraId="3213BF11" w14:textId="77777777" w:rsidR="00510214" w:rsidRDefault="00510214" w:rsidP="00952AD7">
            <w:pPr>
              <w:pStyle w:val="NormalWeb"/>
              <w:ind w:left="720"/>
            </w:pPr>
            <w:r>
              <w:t>Yes</w:t>
            </w:r>
          </w:p>
        </w:tc>
        <w:tc>
          <w:tcPr>
            <w:tcW w:w="1804" w:type="dxa"/>
            <w:tcBorders>
              <w:top w:val="single" w:sz="2" w:space="0" w:color="000000" w:themeColor="text1"/>
              <w:bottom w:val="single" w:sz="2" w:space="0" w:color="000000" w:themeColor="text1"/>
            </w:tcBorders>
            <w:shd w:val="clear" w:color="auto" w:fill="auto"/>
            <w:hideMark/>
          </w:tcPr>
          <w:p w14:paraId="3A95C738" w14:textId="77777777" w:rsidR="00510214" w:rsidRDefault="00510214" w:rsidP="00B447ED">
            <w:pPr>
              <w:pStyle w:val="NormalWeb"/>
              <w:jc w:val="center"/>
            </w:pPr>
            <w:r>
              <w:t>245</w:t>
            </w:r>
          </w:p>
        </w:tc>
        <w:tc>
          <w:tcPr>
            <w:tcW w:w="2540" w:type="dxa"/>
            <w:tcBorders>
              <w:top w:val="single" w:sz="2" w:space="0" w:color="000000" w:themeColor="text1"/>
              <w:bottom w:val="single" w:sz="2" w:space="0" w:color="000000" w:themeColor="text1"/>
            </w:tcBorders>
            <w:shd w:val="clear" w:color="auto" w:fill="auto"/>
            <w:hideMark/>
          </w:tcPr>
          <w:p w14:paraId="1F08733B" w14:textId="77777777" w:rsidR="00510214" w:rsidRDefault="00510214" w:rsidP="00B447ED">
            <w:pPr>
              <w:pStyle w:val="NormalWeb"/>
              <w:jc w:val="center"/>
            </w:pPr>
            <w:r>
              <w:t>65.3</w:t>
            </w:r>
          </w:p>
        </w:tc>
      </w:tr>
      <w:tr w:rsidR="00510214" w14:paraId="2CE8E5EE" w14:textId="77777777" w:rsidTr="00ED59EC">
        <w:trPr>
          <w:cnfStyle w:val="000000010000" w:firstRow="0" w:lastRow="0" w:firstColumn="0" w:lastColumn="0" w:oddVBand="0" w:evenVBand="0" w:oddHBand="0" w:evenHBand="1" w:firstRowFirstColumn="0" w:firstRowLastColumn="0" w:lastRowFirstColumn="0" w:lastRowLastColumn="0"/>
        </w:trPr>
        <w:tc>
          <w:tcPr>
            <w:tcW w:w="6096" w:type="dxa"/>
            <w:tcBorders>
              <w:top w:val="single" w:sz="2" w:space="0" w:color="000000" w:themeColor="text1"/>
              <w:bottom w:val="single" w:sz="2" w:space="0" w:color="000000" w:themeColor="text1"/>
            </w:tcBorders>
            <w:shd w:val="clear" w:color="auto" w:fill="auto"/>
            <w:hideMark/>
          </w:tcPr>
          <w:p w14:paraId="0F49C3D1" w14:textId="77777777" w:rsidR="00510214" w:rsidRDefault="00510214" w:rsidP="00952AD7">
            <w:pPr>
              <w:pStyle w:val="NormalWeb"/>
              <w:ind w:left="720"/>
            </w:pPr>
            <w:r>
              <w:t>No</w:t>
            </w:r>
          </w:p>
        </w:tc>
        <w:tc>
          <w:tcPr>
            <w:tcW w:w="1804" w:type="dxa"/>
            <w:tcBorders>
              <w:top w:val="single" w:sz="2" w:space="0" w:color="000000" w:themeColor="text1"/>
              <w:bottom w:val="single" w:sz="2" w:space="0" w:color="000000" w:themeColor="text1"/>
            </w:tcBorders>
            <w:shd w:val="clear" w:color="auto" w:fill="auto"/>
            <w:hideMark/>
          </w:tcPr>
          <w:p w14:paraId="1BE9D61C" w14:textId="77777777" w:rsidR="00510214" w:rsidRDefault="00510214" w:rsidP="00B447ED">
            <w:pPr>
              <w:pStyle w:val="NormalWeb"/>
              <w:jc w:val="center"/>
            </w:pPr>
            <w:r>
              <w:t>130</w:t>
            </w:r>
          </w:p>
        </w:tc>
        <w:tc>
          <w:tcPr>
            <w:tcW w:w="2540" w:type="dxa"/>
            <w:tcBorders>
              <w:top w:val="single" w:sz="2" w:space="0" w:color="000000" w:themeColor="text1"/>
              <w:bottom w:val="single" w:sz="2" w:space="0" w:color="000000" w:themeColor="text1"/>
            </w:tcBorders>
            <w:shd w:val="clear" w:color="auto" w:fill="auto"/>
            <w:hideMark/>
          </w:tcPr>
          <w:p w14:paraId="74C7B7F3" w14:textId="77777777" w:rsidR="00510214" w:rsidRDefault="00510214" w:rsidP="00B447ED">
            <w:pPr>
              <w:pStyle w:val="NormalWeb"/>
              <w:jc w:val="center"/>
            </w:pPr>
            <w:r>
              <w:t>34.7</w:t>
            </w:r>
          </w:p>
        </w:tc>
      </w:tr>
      <w:tr w:rsidR="00E153EE" w:rsidRPr="00E153EE" w14:paraId="3D8AE4AA" w14:textId="77777777" w:rsidTr="00E153EE">
        <w:tc>
          <w:tcPr>
            <w:tcW w:w="10440" w:type="dxa"/>
            <w:gridSpan w:val="3"/>
            <w:tcBorders>
              <w:top w:val="single" w:sz="2" w:space="0" w:color="000000" w:themeColor="text1"/>
              <w:bottom w:val="single" w:sz="2" w:space="0" w:color="000000" w:themeColor="text1"/>
            </w:tcBorders>
            <w:shd w:val="clear" w:color="auto" w:fill="auto"/>
            <w:hideMark/>
          </w:tcPr>
          <w:p w14:paraId="7DC9B0A7" w14:textId="77777777" w:rsidR="00510214" w:rsidRPr="00CA352F" w:rsidRDefault="00510214">
            <w:pPr>
              <w:pStyle w:val="NormalWeb"/>
              <w:rPr>
                <w:b/>
              </w:rPr>
            </w:pPr>
            <w:r w:rsidRPr="00CA352F">
              <w:rPr>
                <w:b/>
              </w:rPr>
              <w:t>Close contact/household contact with a TB case</w:t>
            </w:r>
          </w:p>
        </w:tc>
      </w:tr>
      <w:tr w:rsidR="00510214" w14:paraId="30CF2517" w14:textId="77777777" w:rsidTr="00ED59EC">
        <w:trPr>
          <w:cnfStyle w:val="000000010000" w:firstRow="0" w:lastRow="0" w:firstColumn="0" w:lastColumn="0" w:oddVBand="0" w:evenVBand="0" w:oddHBand="0" w:evenHBand="1" w:firstRowFirstColumn="0" w:firstRowLastColumn="0" w:lastRowFirstColumn="0" w:lastRowLastColumn="0"/>
        </w:trPr>
        <w:tc>
          <w:tcPr>
            <w:tcW w:w="6096" w:type="dxa"/>
            <w:tcBorders>
              <w:top w:val="single" w:sz="2" w:space="0" w:color="000000" w:themeColor="text1"/>
              <w:bottom w:val="single" w:sz="2" w:space="0" w:color="000000" w:themeColor="text1"/>
            </w:tcBorders>
            <w:shd w:val="clear" w:color="auto" w:fill="auto"/>
            <w:hideMark/>
          </w:tcPr>
          <w:p w14:paraId="14731A1D" w14:textId="77777777" w:rsidR="00510214" w:rsidRDefault="00510214" w:rsidP="009F0BD4">
            <w:pPr>
              <w:pStyle w:val="NormalWeb"/>
              <w:ind w:left="720"/>
            </w:pPr>
            <w:r>
              <w:t>Yes</w:t>
            </w:r>
          </w:p>
        </w:tc>
        <w:tc>
          <w:tcPr>
            <w:tcW w:w="1804" w:type="dxa"/>
            <w:tcBorders>
              <w:top w:val="single" w:sz="2" w:space="0" w:color="000000" w:themeColor="text1"/>
              <w:bottom w:val="single" w:sz="2" w:space="0" w:color="000000" w:themeColor="text1"/>
            </w:tcBorders>
            <w:shd w:val="clear" w:color="auto" w:fill="auto"/>
            <w:hideMark/>
          </w:tcPr>
          <w:p w14:paraId="1EBD8189" w14:textId="77777777" w:rsidR="00510214" w:rsidRDefault="00510214" w:rsidP="00B447ED">
            <w:pPr>
              <w:pStyle w:val="NormalWeb"/>
              <w:jc w:val="center"/>
            </w:pPr>
            <w:r>
              <w:t>46</w:t>
            </w:r>
          </w:p>
        </w:tc>
        <w:tc>
          <w:tcPr>
            <w:tcW w:w="2540" w:type="dxa"/>
            <w:tcBorders>
              <w:top w:val="single" w:sz="2" w:space="0" w:color="000000" w:themeColor="text1"/>
              <w:bottom w:val="single" w:sz="2" w:space="0" w:color="000000" w:themeColor="text1"/>
            </w:tcBorders>
            <w:shd w:val="clear" w:color="auto" w:fill="auto"/>
            <w:hideMark/>
          </w:tcPr>
          <w:p w14:paraId="671F24AE" w14:textId="77777777" w:rsidR="00510214" w:rsidRDefault="00510214" w:rsidP="00B447ED">
            <w:pPr>
              <w:pStyle w:val="NormalWeb"/>
              <w:jc w:val="center"/>
            </w:pPr>
            <w:r>
              <w:t>12.3</w:t>
            </w:r>
          </w:p>
        </w:tc>
      </w:tr>
      <w:tr w:rsidR="00510214" w14:paraId="17150DCD" w14:textId="77777777" w:rsidTr="00ED59EC">
        <w:tc>
          <w:tcPr>
            <w:tcW w:w="6096" w:type="dxa"/>
            <w:tcBorders>
              <w:top w:val="single" w:sz="2" w:space="0" w:color="000000" w:themeColor="text1"/>
              <w:bottom w:val="single" w:sz="2" w:space="0" w:color="000000" w:themeColor="text1"/>
            </w:tcBorders>
            <w:shd w:val="clear" w:color="auto" w:fill="auto"/>
            <w:hideMark/>
          </w:tcPr>
          <w:p w14:paraId="15CEC331" w14:textId="77777777" w:rsidR="00510214" w:rsidRDefault="00510214" w:rsidP="009F0BD4">
            <w:pPr>
              <w:pStyle w:val="NormalWeb"/>
              <w:ind w:left="720"/>
            </w:pPr>
            <w:r>
              <w:t>No</w:t>
            </w:r>
          </w:p>
        </w:tc>
        <w:tc>
          <w:tcPr>
            <w:tcW w:w="1804" w:type="dxa"/>
            <w:tcBorders>
              <w:top w:val="single" w:sz="2" w:space="0" w:color="000000" w:themeColor="text1"/>
              <w:bottom w:val="single" w:sz="2" w:space="0" w:color="000000" w:themeColor="text1"/>
            </w:tcBorders>
            <w:shd w:val="clear" w:color="auto" w:fill="auto"/>
            <w:hideMark/>
          </w:tcPr>
          <w:p w14:paraId="3822EE7E" w14:textId="77777777" w:rsidR="00510214" w:rsidRDefault="00510214" w:rsidP="00B447ED">
            <w:pPr>
              <w:pStyle w:val="NormalWeb"/>
              <w:jc w:val="center"/>
            </w:pPr>
            <w:r>
              <w:t>329</w:t>
            </w:r>
          </w:p>
        </w:tc>
        <w:tc>
          <w:tcPr>
            <w:tcW w:w="2540" w:type="dxa"/>
            <w:tcBorders>
              <w:top w:val="single" w:sz="2" w:space="0" w:color="000000" w:themeColor="text1"/>
              <w:bottom w:val="single" w:sz="2" w:space="0" w:color="000000" w:themeColor="text1"/>
            </w:tcBorders>
            <w:shd w:val="clear" w:color="auto" w:fill="auto"/>
            <w:hideMark/>
          </w:tcPr>
          <w:p w14:paraId="2F241A63" w14:textId="77777777" w:rsidR="00510214" w:rsidRDefault="00510214" w:rsidP="00B447ED">
            <w:pPr>
              <w:pStyle w:val="NormalWeb"/>
              <w:jc w:val="center"/>
            </w:pPr>
            <w:r>
              <w:t>87.7</w:t>
            </w:r>
          </w:p>
        </w:tc>
      </w:tr>
      <w:tr w:rsidR="00E153EE" w:rsidRPr="00E153EE" w14:paraId="4AA2BCCF" w14:textId="77777777" w:rsidTr="00E153EE">
        <w:trPr>
          <w:cnfStyle w:val="000000010000" w:firstRow="0" w:lastRow="0" w:firstColumn="0" w:lastColumn="0" w:oddVBand="0" w:evenVBand="0" w:oddHBand="0" w:evenHBand="1" w:firstRowFirstColumn="0" w:firstRowLastColumn="0" w:lastRowFirstColumn="0" w:lastRowLastColumn="0"/>
        </w:trPr>
        <w:tc>
          <w:tcPr>
            <w:tcW w:w="10440" w:type="dxa"/>
            <w:gridSpan w:val="3"/>
            <w:tcBorders>
              <w:top w:val="single" w:sz="2" w:space="0" w:color="000000" w:themeColor="text1"/>
              <w:bottom w:val="single" w:sz="2" w:space="0" w:color="000000" w:themeColor="text1"/>
            </w:tcBorders>
            <w:shd w:val="clear" w:color="auto" w:fill="auto"/>
            <w:hideMark/>
          </w:tcPr>
          <w:p w14:paraId="1DBF300A" w14:textId="77777777" w:rsidR="00510214" w:rsidRPr="00CA352F" w:rsidRDefault="00510214">
            <w:pPr>
              <w:pStyle w:val="NormalWeb"/>
              <w:rPr>
                <w:b/>
              </w:rPr>
            </w:pPr>
            <w:r w:rsidRPr="00CA352F">
              <w:rPr>
                <w:b/>
              </w:rPr>
              <w:t>Health industry employment</w:t>
            </w:r>
          </w:p>
        </w:tc>
      </w:tr>
      <w:tr w:rsidR="00510214" w14:paraId="71BC4C1F" w14:textId="77777777" w:rsidTr="00ED59EC">
        <w:tc>
          <w:tcPr>
            <w:tcW w:w="6096" w:type="dxa"/>
            <w:tcBorders>
              <w:top w:val="single" w:sz="2" w:space="0" w:color="000000" w:themeColor="text1"/>
              <w:bottom w:val="single" w:sz="2" w:space="0" w:color="000000" w:themeColor="text1"/>
            </w:tcBorders>
            <w:shd w:val="clear" w:color="auto" w:fill="auto"/>
            <w:hideMark/>
          </w:tcPr>
          <w:p w14:paraId="60322E7C" w14:textId="77777777" w:rsidR="00510214" w:rsidRDefault="00510214" w:rsidP="009F0BD4">
            <w:pPr>
              <w:pStyle w:val="NormalWeb"/>
              <w:ind w:left="720"/>
            </w:pPr>
            <w:r>
              <w:t>Yes</w:t>
            </w:r>
          </w:p>
        </w:tc>
        <w:tc>
          <w:tcPr>
            <w:tcW w:w="1804" w:type="dxa"/>
            <w:tcBorders>
              <w:top w:val="single" w:sz="2" w:space="0" w:color="000000" w:themeColor="text1"/>
              <w:bottom w:val="single" w:sz="2" w:space="0" w:color="000000" w:themeColor="text1"/>
            </w:tcBorders>
            <w:shd w:val="clear" w:color="auto" w:fill="auto"/>
            <w:hideMark/>
          </w:tcPr>
          <w:p w14:paraId="002E2A5C" w14:textId="77777777" w:rsidR="00510214" w:rsidRDefault="00510214" w:rsidP="00B447ED">
            <w:pPr>
              <w:pStyle w:val="NormalWeb"/>
              <w:jc w:val="center"/>
            </w:pPr>
            <w:r>
              <w:t>32</w:t>
            </w:r>
          </w:p>
        </w:tc>
        <w:tc>
          <w:tcPr>
            <w:tcW w:w="2540" w:type="dxa"/>
            <w:tcBorders>
              <w:top w:val="single" w:sz="2" w:space="0" w:color="000000" w:themeColor="text1"/>
              <w:bottom w:val="single" w:sz="2" w:space="0" w:color="000000" w:themeColor="text1"/>
            </w:tcBorders>
            <w:shd w:val="clear" w:color="auto" w:fill="auto"/>
            <w:hideMark/>
          </w:tcPr>
          <w:p w14:paraId="061BC0B3" w14:textId="77777777" w:rsidR="00510214" w:rsidRDefault="00510214" w:rsidP="00B447ED">
            <w:pPr>
              <w:pStyle w:val="NormalWeb"/>
              <w:jc w:val="center"/>
            </w:pPr>
            <w:r>
              <w:t>8.5</w:t>
            </w:r>
          </w:p>
        </w:tc>
      </w:tr>
      <w:tr w:rsidR="00510214" w14:paraId="460383E9" w14:textId="77777777" w:rsidTr="00ED59EC">
        <w:trPr>
          <w:cnfStyle w:val="000000010000" w:firstRow="0" w:lastRow="0" w:firstColumn="0" w:lastColumn="0" w:oddVBand="0" w:evenVBand="0" w:oddHBand="0" w:evenHBand="1" w:firstRowFirstColumn="0" w:firstRowLastColumn="0" w:lastRowFirstColumn="0" w:lastRowLastColumn="0"/>
        </w:trPr>
        <w:tc>
          <w:tcPr>
            <w:tcW w:w="6096" w:type="dxa"/>
            <w:tcBorders>
              <w:top w:val="single" w:sz="2" w:space="0" w:color="000000" w:themeColor="text1"/>
            </w:tcBorders>
            <w:shd w:val="clear" w:color="auto" w:fill="auto"/>
            <w:hideMark/>
          </w:tcPr>
          <w:p w14:paraId="5FC13935" w14:textId="77777777" w:rsidR="00510214" w:rsidRDefault="00510214" w:rsidP="009F0BD4">
            <w:pPr>
              <w:pStyle w:val="NormalWeb"/>
              <w:ind w:left="720"/>
            </w:pPr>
            <w:r>
              <w:t>No</w:t>
            </w:r>
          </w:p>
        </w:tc>
        <w:tc>
          <w:tcPr>
            <w:tcW w:w="1804" w:type="dxa"/>
            <w:tcBorders>
              <w:top w:val="single" w:sz="2" w:space="0" w:color="000000" w:themeColor="text1"/>
            </w:tcBorders>
            <w:shd w:val="clear" w:color="auto" w:fill="auto"/>
            <w:hideMark/>
          </w:tcPr>
          <w:p w14:paraId="12BC8830" w14:textId="77777777" w:rsidR="00510214" w:rsidRDefault="00510214" w:rsidP="00B447ED">
            <w:pPr>
              <w:pStyle w:val="NormalWeb"/>
              <w:jc w:val="center"/>
            </w:pPr>
            <w:r>
              <w:t>343</w:t>
            </w:r>
          </w:p>
        </w:tc>
        <w:tc>
          <w:tcPr>
            <w:tcW w:w="2540" w:type="dxa"/>
            <w:tcBorders>
              <w:top w:val="single" w:sz="2" w:space="0" w:color="000000" w:themeColor="text1"/>
            </w:tcBorders>
            <w:shd w:val="clear" w:color="auto" w:fill="auto"/>
            <w:hideMark/>
          </w:tcPr>
          <w:p w14:paraId="65C15C6C" w14:textId="77777777" w:rsidR="00510214" w:rsidRDefault="00510214" w:rsidP="00B447ED">
            <w:pPr>
              <w:pStyle w:val="NormalWeb"/>
              <w:jc w:val="center"/>
            </w:pPr>
            <w:r>
              <w:t>91.5</w:t>
            </w:r>
          </w:p>
        </w:tc>
      </w:tr>
    </w:tbl>
    <w:p w14:paraId="0FE851F9" w14:textId="77777777" w:rsidR="00510214" w:rsidRDefault="00510214">
      <w:pPr>
        <w:pStyle w:val="NormalWeb"/>
      </w:pPr>
      <w:r>
        <w:t>Pertaining to the diagnosis and clinical management of MDR-TB, timeframes between initial presentation and notification received date, specimen collection and treatment commencement, and case notification and treatment commencement were calculated (Table 3). Current data fields precluded determination of other parameters outlined in the study objectives.</w:t>
      </w:r>
    </w:p>
    <w:p w14:paraId="5E9D6624" w14:textId="77777777" w:rsidR="008E4247" w:rsidRDefault="008E4247" w:rsidP="008E4247">
      <w:pPr>
        <w:pStyle w:val="CDIFigures"/>
        <w:sectPr w:rsidR="008E4247" w:rsidSect="00A30C37">
          <w:pgSz w:w="11906" w:h="16838"/>
          <w:pgMar w:top="720" w:right="720" w:bottom="1134" w:left="720" w:header="709" w:footer="284" w:gutter="0"/>
          <w:cols w:space="708"/>
          <w:titlePg/>
          <w:docGrid w:linePitch="360"/>
        </w:sectPr>
      </w:pPr>
    </w:p>
    <w:p w14:paraId="5764651E" w14:textId="77777777" w:rsidR="00510214" w:rsidRDefault="00510214" w:rsidP="008E4247">
      <w:pPr>
        <w:pStyle w:val="CDIFigures"/>
      </w:pPr>
      <w:r>
        <w:lastRenderedPageBreak/>
        <w:t>Table 3: Timeframe between initial presentation and case notification received date, specimen collection and treatment commencement, and case notification and treatment commencement, by selected immigration status at the time of diagnosis, in multidrug-resistant tuberculosis case notifications in Australia (1999–2018)</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his table presents a summary of median and interquartile range of timeframes (in days) between initial presentation and case notification received date, specimen collection and treatment commencement, and case notification and treatment commencement, classified by selected immigration status at the time of diagnosis, in multidrug-resistant tuberculosis case notifications in Australia between 1999 and 2018. The median timeframe between initial presentation and case notification received date ranged from 21 days for Australian-born cases, to 66 days for residents of the Torres Strait Protected Zone (TSPZ) accessing TB treatment in Queensland. The median timeframe between specimen collection and treatment commencement ranged from 5 days in Australian-born cases to 25 days in other (undefined) categories. The median timeframe between case notification and treatment commencement ranged from 0 days in visitors and in other (undefined) categories to 1 day in cases that were Australian-born, permanent residents, overseas students and residents of the TSPZ accessing TB treatment in Queensland.&#10;"/>
      </w:tblPr>
      <w:tblGrid>
        <w:gridCol w:w="7230"/>
        <w:gridCol w:w="3210"/>
      </w:tblGrid>
      <w:tr w:rsidR="000B6931" w:rsidRPr="000B6931" w14:paraId="7A3485AE" w14:textId="77777777" w:rsidTr="00B029F0">
        <w:trPr>
          <w:cnfStyle w:val="100000000000" w:firstRow="1" w:lastRow="0" w:firstColumn="0" w:lastColumn="0" w:oddVBand="0" w:evenVBand="0" w:oddHBand="0" w:evenHBand="0" w:firstRowFirstColumn="0" w:firstRowLastColumn="0" w:lastRowFirstColumn="0" w:lastRowLastColumn="0"/>
          <w:tblHeader/>
        </w:trPr>
        <w:tc>
          <w:tcPr>
            <w:tcW w:w="7230" w:type="dxa"/>
            <w:vMerge w:val="restart"/>
            <w:hideMark/>
          </w:tcPr>
          <w:p w14:paraId="41881B45" w14:textId="77777777" w:rsidR="00510214" w:rsidRPr="000B6931" w:rsidRDefault="00510214">
            <w:pPr>
              <w:pStyle w:val="NormalWeb"/>
              <w:rPr>
                <w:color w:val="FFFFFF" w:themeColor="background1"/>
              </w:rPr>
            </w:pPr>
            <w:r w:rsidRPr="000B6931">
              <w:rPr>
                <w:color w:val="FFFFFF" w:themeColor="background1"/>
              </w:rPr>
              <w:t>Immigration status</w:t>
            </w:r>
          </w:p>
        </w:tc>
        <w:tc>
          <w:tcPr>
            <w:tcW w:w="3210" w:type="dxa"/>
            <w:hideMark/>
          </w:tcPr>
          <w:p w14:paraId="1D8B0B12" w14:textId="77777777" w:rsidR="00510214" w:rsidRPr="000B6931" w:rsidRDefault="00510214" w:rsidP="0092464E">
            <w:pPr>
              <w:pStyle w:val="NormalWeb"/>
              <w:jc w:val="center"/>
              <w:rPr>
                <w:color w:val="FFFFFF" w:themeColor="background1"/>
              </w:rPr>
            </w:pPr>
            <w:r w:rsidRPr="000B6931">
              <w:rPr>
                <w:color w:val="FFFFFF" w:themeColor="background1"/>
              </w:rPr>
              <w:t>Timeframe (days)</w:t>
            </w:r>
          </w:p>
        </w:tc>
      </w:tr>
      <w:tr w:rsidR="000B6931" w:rsidRPr="000B6931" w14:paraId="3868ACD4" w14:textId="77777777" w:rsidTr="00B029F0">
        <w:trPr>
          <w:cnfStyle w:val="100000000000" w:firstRow="1" w:lastRow="0" w:firstColumn="0" w:lastColumn="0" w:oddVBand="0" w:evenVBand="0" w:oddHBand="0" w:evenHBand="0" w:firstRowFirstColumn="0" w:firstRowLastColumn="0" w:lastRowFirstColumn="0" w:lastRowLastColumn="0"/>
          <w:tblHeader/>
        </w:trPr>
        <w:tc>
          <w:tcPr>
            <w:tcW w:w="7230" w:type="dxa"/>
            <w:vMerge/>
            <w:hideMark/>
          </w:tcPr>
          <w:p w14:paraId="4BF963BD" w14:textId="77777777" w:rsidR="00510214" w:rsidRPr="000B6931" w:rsidRDefault="00510214">
            <w:pPr>
              <w:rPr>
                <w:color w:val="FFFFFF" w:themeColor="background1"/>
                <w:sz w:val="24"/>
                <w:szCs w:val="24"/>
              </w:rPr>
            </w:pPr>
          </w:p>
        </w:tc>
        <w:tc>
          <w:tcPr>
            <w:tcW w:w="3210" w:type="dxa"/>
            <w:hideMark/>
          </w:tcPr>
          <w:p w14:paraId="3974297F" w14:textId="77777777" w:rsidR="00510214" w:rsidRPr="000B6931" w:rsidRDefault="00510214" w:rsidP="0092464E">
            <w:pPr>
              <w:pStyle w:val="NormalWeb"/>
              <w:jc w:val="center"/>
              <w:rPr>
                <w:color w:val="FFFFFF" w:themeColor="background1"/>
              </w:rPr>
            </w:pPr>
            <w:r w:rsidRPr="000B6931">
              <w:rPr>
                <w:color w:val="FFFFFF" w:themeColor="background1"/>
              </w:rPr>
              <w:t>Median (interquartile range)</w:t>
            </w:r>
          </w:p>
        </w:tc>
      </w:tr>
      <w:tr w:rsidR="0014416A" w:rsidRPr="0014416A" w14:paraId="7B86FD51" w14:textId="77777777" w:rsidTr="003C381C">
        <w:tc>
          <w:tcPr>
            <w:tcW w:w="10440" w:type="dxa"/>
            <w:gridSpan w:val="2"/>
            <w:shd w:val="clear" w:color="auto" w:fill="808080" w:themeFill="background1" w:themeFillShade="80"/>
            <w:hideMark/>
          </w:tcPr>
          <w:p w14:paraId="22BB03A1" w14:textId="77777777" w:rsidR="00510214" w:rsidRPr="0014416A" w:rsidRDefault="00510214" w:rsidP="0092464E">
            <w:pPr>
              <w:pStyle w:val="NormalWeb"/>
              <w:rPr>
                <w:b/>
                <w:color w:val="FFFFFF" w:themeColor="background1"/>
              </w:rPr>
            </w:pPr>
            <w:r w:rsidRPr="0014416A">
              <w:rPr>
                <w:b/>
                <w:color w:val="FFFFFF" w:themeColor="background1"/>
              </w:rPr>
              <w:t>Initial presentation to case notification received</w:t>
            </w:r>
          </w:p>
        </w:tc>
      </w:tr>
      <w:tr w:rsidR="00510214" w14:paraId="0D016BFA" w14:textId="77777777" w:rsidTr="003C381C">
        <w:trPr>
          <w:cnfStyle w:val="000000010000" w:firstRow="0" w:lastRow="0" w:firstColumn="0" w:lastColumn="0" w:oddVBand="0" w:evenVBand="0" w:oddHBand="0" w:evenHBand="1" w:firstRowFirstColumn="0" w:firstRowLastColumn="0" w:lastRowFirstColumn="0" w:lastRowLastColumn="0"/>
        </w:trPr>
        <w:tc>
          <w:tcPr>
            <w:tcW w:w="7230" w:type="dxa"/>
            <w:tcBorders>
              <w:bottom w:val="single" w:sz="2" w:space="0" w:color="808080" w:themeColor="background1" w:themeShade="80"/>
            </w:tcBorders>
            <w:shd w:val="clear" w:color="auto" w:fill="auto"/>
            <w:hideMark/>
          </w:tcPr>
          <w:p w14:paraId="04B117B9" w14:textId="77777777" w:rsidR="00510214" w:rsidRDefault="00510214">
            <w:pPr>
              <w:pStyle w:val="NormalWeb"/>
            </w:pPr>
            <w:r>
              <w:t>Australian-born</w:t>
            </w:r>
          </w:p>
        </w:tc>
        <w:tc>
          <w:tcPr>
            <w:tcW w:w="3210" w:type="dxa"/>
            <w:tcBorders>
              <w:bottom w:val="single" w:sz="2" w:space="0" w:color="808080" w:themeColor="background1" w:themeShade="80"/>
            </w:tcBorders>
            <w:shd w:val="clear" w:color="auto" w:fill="auto"/>
            <w:hideMark/>
          </w:tcPr>
          <w:p w14:paraId="18E7BB19" w14:textId="77777777" w:rsidR="00510214" w:rsidRDefault="00510214" w:rsidP="0092464E">
            <w:pPr>
              <w:pStyle w:val="NormalWeb"/>
              <w:jc w:val="center"/>
            </w:pPr>
            <w:r>
              <w:t>21 (3–114)</w:t>
            </w:r>
          </w:p>
        </w:tc>
      </w:tr>
      <w:tr w:rsidR="00510214" w14:paraId="12B86795" w14:textId="77777777" w:rsidTr="003C381C">
        <w:tc>
          <w:tcPr>
            <w:tcW w:w="7230" w:type="dxa"/>
            <w:tcBorders>
              <w:top w:val="single" w:sz="2" w:space="0" w:color="808080" w:themeColor="background1" w:themeShade="80"/>
              <w:bottom w:val="single" w:sz="2" w:space="0" w:color="808080" w:themeColor="background1" w:themeShade="80"/>
            </w:tcBorders>
            <w:shd w:val="clear" w:color="auto" w:fill="auto"/>
            <w:hideMark/>
          </w:tcPr>
          <w:p w14:paraId="0A980AA6" w14:textId="77777777" w:rsidR="00510214" w:rsidRDefault="00510214">
            <w:pPr>
              <w:pStyle w:val="NormalWeb"/>
            </w:pPr>
            <w:r>
              <w:t>Permanent resident</w:t>
            </w:r>
          </w:p>
        </w:tc>
        <w:tc>
          <w:tcPr>
            <w:tcW w:w="3210" w:type="dxa"/>
            <w:tcBorders>
              <w:top w:val="single" w:sz="2" w:space="0" w:color="808080" w:themeColor="background1" w:themeShade="80"/>
              <w:bottom w:val="single" w:sz="2" w:space="0" w:color="808080" w:themeColor="background1" w:themeShade="80"/>
            </w:tcBorders>
            <w:shd w:val="clear" w:color="auto" w:fill="auto"/>
            <w:hideMark/>
          </w:tcPr>
          <w:p w14:paraId="05DD37F5" w14:textId="77777777" w:rsidR="00510214" w:rsidRDefault="00510214" w:rsidP="0092464E">
            <w:pPr>
              <w:pStyle w:val="NormalWeb"/>
              <w:jc w:val="center"/>
            </w:pPr>
            <w:r>
              <w:t>37 (10–92)</w:t>
            </w:r>
          </w:p>
        </w:tc>
      </w:tr>
      <w:tr w:rsidR="00510214" w14:paraId="07C914AF" w14:textId="77777777" w:rsidTr="003C381C">
        <w:trPr>
          <w:cnfStyle w:val="000000010000" w:firstRow="0" w:lastRow="0" w:firstColumn="0" w:lastColumn="0" w:oddVBand="0" w:evenVBand="0" w:oddHBand="0" w:evenHBand="1" w:firstRowFirstColumn="0" w:firstRowLastColumn="0" w:lastRowFirstColumn="0" w:lastRowLastColumn="0"/>
        </w:trPr>
        <w:tc>
          <w:tcPr>
            <w:tcW w:w="7230" w:type="dxa"/>
            <w:tcBorders>
              <w:top w:val="single" w:sz="2" w:space="0" w:color="808080" w:themeColor="background1" w:themeShade="80"/>
              <w:bottom w:val="single" w:sz="2" w:space="0" w:color="808080" w:themeColor="background1" w:themeShade="80"/>
            </w:tcBorders>
            <w:shd w:val="clear" w:color="auto" w:fill="auto"/>
            <w:hideMark/>
          </w:tcPr>
          <w:p w14:paraId="476A6DBC" w14:textId="77777777" w:rsidR="00510214" w:rsidRDefault="00510214">
            <w:pPr>
              <w:pStyle w:val="NormalWeb"/>
            </w:pPr>
            <w:r>
              <w:t xml:space="preserve">TSPZ </w:t>
            </w:r>
            <w:proofErr w:type="spellStart"/>
            <w:r>
              <w:t>residents</w:t>
            </w:r>
            <w:r w:rsidRPr="009033B2">
              <w:rPr>
                <w:vertAlign w:val="superscript"/>
              </w:rPr>
              <w:t>a</w:t>
            </w:r>
            <w:proofErr w:type="spellEnd"/>
          </w:p>
        </w:tc>
        <w:tc>
          <w:tcPr>
            <w:tcW w:w="3210" w:type="dxa"/>
            <w:tcBorders>
              <w:top w:val="single" w:sz="2" w:space="0" w:color="808080" w:themeColor="background1" w:themeShade="80"/>
              <w:bottom w:val="single" w:sz="2" w:space="0" w:color="808080" w:themeColor="background1" w:themeShade="80"/>
            </w:tcBorders>
            <w:shd w:val="clear" w:color="auto" w:fill="auto"/>
            <w:hideMark/>
          </w:tcPr>
          <w:p w14:paraId="59009E63" w14:textId="77777777" w:rsidR="00510214" w:rsidRDefault="00510214" w:rsidP="0092464E">
            <w:pPr>
              <w:pStyle w:val="NormalWeb"/>
              <w:jc w:val="center"/>
            </w:pPr>
            <w:r>
              <w:t>66 (25–123)</w:t>
            </w:r>
          </w:p>
        </w:tc>
      </w:tr>
      <w:tr w:rsidR="00510214" w14:paraId="0574E596" w14:textId="77777777" w:rsidTr="003C381C">
        <w:tc>
          <w:tcPr>
            <w:tcW w:w="7230" w:type="dxa"/>
            <w:tcBorders>
              <w:top w:val="single" w:sz="2" w:space="0" w:color="808080" w:themeColor="background1" w:themeShade="80"/>
              <w:bottom w:val="single" w:sz="2" w:space="0" w:color="808080" w:themeColor="background1" w:themeShade="80"/>
            </w:tcBorders>
            <w:shd w:val="clear" w:color="auto" w:fill="auto"/>
            <w:hideMark/>
          </w:tcPr>
          <w:p w14:paraId="482B3373" w14:textId="77777777" w:rsidR="00510214" w:rsidRDefault="00510214">
            <w:pPr>
              <w:pStyle w:val="NormalWeb"/>
            </w:pPr>
            <w:r>
              <w:t>Overseas student</w:t>
            </w:r>
          </w:p>
        </w:tc>
        <w:tc>
          <w:tcPr>
            <w:tcW w:w="3210" w:type="dxa"/>
            <w:tcBorders>
              <w:top w:val="single" w:sz="2" w:space="0" w:color="808080" w:themeColor="background1" w:themeShade="80"/>
              <w:bottom w:val="single" w:sz="2" w:space="0" w:color="808080" w:themeColor="background1" w:themeShade="80"/>
            </w:tcBorders>
            <w:shd w:val="clear" w:color="auto" w:fill="auto"/>
            <w:hideMark/>
          </w:tcPr>
          <w:p w14:paraId="3C618D42" w14:textId="77777777" w:rsidR="00510214" w:rsidRDefault="00510214" w:rsidP="0092464E">
            <w:pPr>
              <w:pStyle w:val="NormalWeb"/>
              <w:jc w:val="center"/>
            </w:pPr>
            <w:r>
              <w:t>30 (10–92)</w:t>
            </w:r>
          </w:p>
        </w:tc>
      </w:tr>
      <w:tr w:rsidR="00510214" w14:paraId="15FC4720" w14:textId="77777777" w:rsidTr="003C381C">
        <w:trPr>
          <w:cnfStyle w:val="000000010000" w:firstRow="0" w:lastRow="0" w:firstColumn="0" w:lastColumn="0" w:oddVBand="0" w:evenVBand="0" w:oddHBand="0" w:evenHBand="1" w:firstRowFirstColumn="0" w:firstRowLastColumn="0" w:lastRowFirstColumn="0" w:lastRowLastColumn="0"/>
        </w:trPr>
        <w:tc>
          <w:tcPr>
            <w:tcW w:w="7230" w:type="dxa"/>
            <w:tcBorders>
              <w:top w:val="single" w:sz="2" w:space="0" w:color="808080" w:themeColor="background1" w:themeShade="80"/>
              <w:bottom w:val="single" w:sz="2" w:space="0" w:color="808080" w:themeColor="background1" w:themeShade="80"/>
            </w:tcBorders>
            <w:shd w:val="clear" w:color="auto" w:fill="auto"/>
            <w:hideMark/>
          </w:tcPr>
          <w:p w14:paraId="70985F57" w14:textId="77777777" w:rsidR="00510214" w:rsidRDefault="00510214">
            <w:pPr>
              <w:pStyle w:val="NormalWeb"/>
            </w:pPr>
            <w:r>
              <w:t>Visitor</w:t>
            </w:r>
          </w:p>
        </w:tc>
        <w:tc>
          <w:tcPr>
            <w:tcW w:w="3210" w:type="dxa"/>
            <w:tcBorders>
              <w:top w:val="single" w:sz="2" w:space="0" w:color="808080" w:themeColor="background1" w:themeShade="80"/>
              <w:bottom w:val="single" w:sz="2" w:space="0" w:color="808080" w:themeColor="background1" w:themeShade="80"/>
            </w:tcBorders>
            <w:shd w:val="clear" w:color="auto" w:fill="auto"/>
            <w:hideMark/>
          </w:tcPr>
          <w:p w14:paraId="208E811F" w14:textId="77777777" w:rsidR="00510214" w:rsidRDefault="00510214" w:rsidP="0092464E">
            <w:pPr>
              <w:pStyle w:val="NormalWeb"/>
              <w:jc w:val="center"/>
            </w:pPr>
            <w:r>
              <w:t>37 (16–67)</w:t>
            </w:r>
          </w:p>
        </w:tc>
      </w:tr>
      <w:tr w:rsidR="00510214" w14:paraId="72059F55" w14:textId="77777777" w:rsidTr="003C381C">
        <w:tc>
          <w:tcPr>
            <w:tcW w:w="7230" w:type="dxa"/>
            <w:tcBorders>
              <w:top w:val="single" w:sz="2" w:space="0" w:color="808080" w:themeColor="background1" w:themeShade="80"/>
            </w:tcBorders>
            <w:shd w:val="clear" w:color="auto" w:fill="auto"/>
            <w:hideMark/>
          </w:tcPr>
          <w:p w14:paraId="0A414755" w14:textId="77777777" w:rsidR="00510214" w:rsidRDefault="00510214">
            <w:pPr>
              <w:pStyle w:val="NormalWeb"/>
            </w:pPr>
            <w:r>
              <w:t>Other (undefined)</w:t>
            </w:r>
          </w:p>
        </w:tc>
        <w:tc>
          <w:tcPr>
            <w:tcW w:w="3210" w:type="dxa"/>
            <w:tcBorders>
              <w:top w:val="single" w:sz="2" w:space="0" w:color="808080" w:themeColor="background1" w:themeShade="80"/>
            </w:tcBorders>
            <w:shd w:val="clear" w:color="auto" w:fill="auto"/>
            <w:hideMark/>
          </w:tcPr>
          <w:p w14:paraId="055A3DE8" w14:textId="77777777" w:rsidR="00510214" w:rsidRDefault="00510214" w:rsidP="0092464E">
            <w:pPr>
              <w:pStyle w:val="NormalWeb"/>
              <w:jc w:val="center"/>
            </w:pPr>
            <w:r>
              <w:t>36 (16–51)</w:t>
            </w:r>
          </w:p>
        </w:tc>
      </w:tr>
      <w:tr w:rsidR="00F80EB2" w:rsidRPr="00F80EB2" w14:paraId="0F73235A" w14:textId="77777777" w:rsidTr="00694AB0">
        <w:trPr>
          <w:cnfStyle w:val="000000010000" w:firstRow="0" w:lastRow="0" w:firstColumn="0" w:lastColumn="0" w:oddVBand="0" w:evenVBand="0" w:oddHBand="0" w:evenHBand="1" w:firstRowFirstColumn="0" w:firstRowLastColumn="0" w:lastRowFirstColumn="0" w:lastRowLastColumn="0"/>
        </w:trPr>
        <w:tc>
          <w:tcPr>
            <w:tcW w:w="10440" w:type="dxa"/>
            <w:gridSpan w:val="2"/>
            <w:shd w:val="clear" w:color="auto" w:fill="808080" w:themeFill="background1" w:themeFillShade="80"/>
            <w:hideMark/>
          </w:tcPr>
          <w:p w14:paraId="5CBE669B" w14:textId="77777777" w:rsidR="00510214" w:rsidRPr="00F80EB2" w:rsidRDefault="00510214" w:rsidP="0092464E">
            <w:pPr>
              <w:pStyle w:val="NormalWeb"/>
              <w:rPr>
                <w:b/>
                <w:color w:val="FFFFFF" w:themeColor="background1"/>
              </w:rPr>
            </w:pPr>
            <w:r w:rsidRPr="00F80EB2">
              <w:rPr>
                <w:b/>
                <w:color w:val="FFFFFF" w:themeColor="background1"/>
              </w:rPr>
              <w:t>Specimen collection to treatment commencement</w:t>
            </w:r>
          </w:p>
        </w:tc>
      </w:tr>
      <w:tr w:rsidR="00510214" w14:paraId="38319996" w14:textId="77777777" w:rsidTr="00694AB0">
        <w:tc>
          <w:tcPr>
            <w:tcW w:w="7230" w:type="dxa"/>
            <w:tcBorders>
              <w:bottom w:val="single" w:sz="2" w:space="0" w:color="808080" w:themeColor="background1" w:themeShade="80"/>
            </w:tcBorders>
            <w:shd w:val="clear" w:color="auto" w:fill="auto"/>
            <w:hideMark/>
          </w:tcPr>
          <w:p w14:paraId="4F1FDB68" w14:textId="77777777" w:rsidR="00510214" w:rsidRDefault="00510214">
            <w:pPr>
              <w:pStyle w:val="NormalWeb"/>
            </w:pPr>
            <w:r>
              <w:t>Australian-born</w:t>
            </w:r>
          </w:p>
        </w:tc>
        <w:tc>
          <w:tcPr>
            <w:tcW w:w="3210" w:type="dxa"/>
            <w:tcBorders>
              <w:bottom w:val="single" w:sz="2" w:space="0" w:color="808080" w:themeColor="background1" w:themeShade="80"/>
            </w:tcBorders>
            <w:shd w:val="clear" w:color="auto" w:fill="auto"/>
            <w:hideMark/>
          </w:tcPr>
          <w:p w14:paraId="143108F7" w14:textId="77777777" w:rsidR="00510214" w:rsidRDefault="00510214" w:rsidP="0092464E">
            <w:pPr>
              <w:pStyle w:val="NormalWeb"/>
              <w:jc w:val="center"/>
            </w:pPr>
            <w:r>
              <w:t>5 (2–10)</w:t>
            </w:r>
          </w:p>
        </w:tc>
      </w:tr>
      <w:tr w:rsidR="00510214" w14:paraId="70DA406D" w14:textId="77777777" w:rsidTr="00694AB0">
        <w:trPr>
          <w:cnfStyle w:val="000000010000" w:firstRow="0" w:lastRow="0" w:firstColumn="0" w:lastColumn="0" w:oddVBand="0" w:evenVBand="0" w:oddHBand="0" w:evenHBand="1" w:firstRowFirstColumn="0" w:firstRowLastColumn="0" w:lastRowFirstColumn="0" w:lastRowLastColumn="0"/>
        </w:trPr>
        <w:tc>
          <w:tcPr>
            <w:tcW w:w="7230" w:type="dxa"/>
            <w:tcBorders>
              <w:top w:val="single" w:sz="2" w:space="0" w:color="808080" w:themeColor="background1" w:themeShade="80"/>
              <w:bottom w:val="single" w:sz="2" w:space="0" w:color="808080" w:themeColor="background1" w:themeShade="80"/>
            </w:tcBorders>
            <w:shd w:val="clear" w:color="auto" w:fill="auto"/>
            <w:hideMark/>
          </w:tcPr>
          <w:p w14:paraId="61DDEFA0" w14:textId="77777777" w:rsidR="00510214" w:rsidRDefault="00510214">
            <w:pPr>
              <w:pStyle w:val="NormalWeb"/>
            </w:pPr>
            <w:r>
              <w:t>Permanent resident</w:t>
            </w:r>
          </w:p>
        </w:tc>
        <w:tc>
          <w:tcPr>
            <w:tcW w:w="3210" w:type="dxa"/>
            <w:tcBorders>
              <w:top w:val="single" w:sz="2" w:space="0" w:color="808080" w:themeColor="background1" w:themeShade="80"/>
              <w:bottom w:val="single" w:sz="2" w:space="0" w:color="808080" w:themeColor="background1" w:themeShade="80"/>
            </w:tcBorders>
            <w:shd w:val="clear" w:color="auto" w:fill="auto"/>
            <w:hideMark/>
          </w:tcPr>
          <w:p w14:paraId="1A3EA8B1" w14:textId="77777777" w:rsidR="00510214" w:rsidRDefault="00510214" w:rsidP="0092464E">
            <w:pPr>
              <w:pStyle w:val="NormalWeb"/>
              <w:jc w:val="center"/>
            </w:pPr>
            <w:r>
              <w:t>16 (2–42)</w:t>
            </w:r>
          </w:p>
        </w:tc>
      </w:tr>
      <w:tr w:rsidR="00510214" w14:paraId="5D7B58E9" w14:textId="77777777" w:rsidTr="00694AB0">
        <w:tc>
          <w:tcPr>
            <w:tcW w:w="7230" w:type="dxa"/>
            <w:tcBorders>
              <w:top w:val="single" w:sz="2" w:space="0" w:color="808080" w:themeColor="background1" w:themeShade="80"/>
              <w:bottom w:val="single" w:sz="2" w:space="0" w:color="808080" w:themeColor="background1" w:themeShade="80"/>
            </w:tcBorders>
            <w:shd w:val="clear" w:color="auto" w:fill="auto"/>
            <w:hideMark/>
          </w:tcPr>
          <w:p w14:paraId="7FE6834A" w14:textId="77777777" w:rsidR="00510214" w:rsidRDefault="00510214">
            <w:pPr>
              <w:pStyle w:val="NormalWeb"/>
            </w:pPr>
            <w:r>
              <w:t xml:space="preserve">TSPZ </w:t>
            </w:r>
            <w:proofErr w:type="spellStart"/>
            <w:r>
              <w:t>residents</w:t>
            </w:r>
            <w:r w:rsidRPr="009033B2">
              <w:rPr>
                <w:vertAlign w:val="superscript"/>
              </w:rPr>
              <w:t>a</w:t>
            </w:r>
            <w:proofErr w:type="spellEnd"/>
          </w:p>
        </w:tc>
        <w:tc>
          <w:tcPr>
            <w:tcW w:w="3210" w:type="dxa"/>
            <w:tcBorders>
              <w:top w:val="single" w:sz="2" w:space="0" w:color="808080" w:themeColor="background1" w:themeShade="80"/>
              <w:bottom w:val="single" w:sz="2" w:space="0" w:color="808080" w:themeColor="background1" w:themeShade="80"/>
            </w:tcBorders>
            <w:shd w:val="clear" w:color="auto" w:fill="auto"/>
            <w:hideMark/>
          </w:tcPr>
          <w:p w14:paraId="4947AB16" w14:textId="77777777" w:rsidR="00510214" w:rsidRDefault="00510214" w:rsidP="0092464E">
            <w:pPr>
              <w:pStyle w:val="NormalWeb"/>
              <w:jc w:val="center"/>
            </w:pPr>
            <w:r>
              <w:t>10 (0–43)</w:t>
            </w:r>
          </w:p>
        </w:tc>
      </w:tr>
      <w:tr w:rsidR="00510214" w14:paraId="22CEF21B" w14:textId="77777777" w:rsidTr="00694AB0">
        <w:trPr>
          <w:cnfStyle w:val="000000010000" w:firstRow="0" w:lastRow="0" w:firstColumn="0" w:lastColumn="0" w:oddVBand="0" w:evenVBand="0" w:oddHBand="0" w:evenHBand="1" w:firstRowFirstColumn="0" w:firstRowLastColumn="0" w:lastRowFirstColumn="0" w:lastRowLastColumn="0"/>
        </w:trPr>
        <w:tc>
          <w:tcPr>
            <w:tcW w:w="7230" w:type="dxa"/>
            <w:tcBorders>
              <w:top w:val="single" w:sz="2" w:space="0" w:color="808080" w:themeColor="background1" w:themeShade="80"/>
              <w:bottom w:val="single" w:sz="2" w:space="0" w:color="808080" w:themeColor="background1" w:themeShade="80"/>
            </w:tcBorders>
            <w:shd w:val="clear" w:color="auto" w:fill="auto"/>
            <w:hideMark/>
          </w:tcPr>
          <w:p w14:paraId="600ECE64" w14:textId="77777777" w:rsidR="00510214" w:rsidRDefault="00510214">
            <w:pPr>
              <w:pStyle w:val="NormalWeb"/>
            </w:pPr>
            <w:r>
              <w:t>Overseas student</w:t>
            </w:r>
          </w:p>
        </w:tc>
        <w:tc>
          <w:tcPr>
            <w:tcW w:w="3210" w:type="dxa"/>
            <w:tcBorders>
              <w:top w:val="single" w:sz="2" w:space="0" w:color="808080" w:themeColor="background1" w:themeShade="80"/>
              <w:bottom w:val="single" w:sz="2" w:space="0" w:color="808080" w:themeColor="background1" w:themeShade="80"/>
            </w:tcBorders>
            <w:shd w:val="clear" w:color="auto" w:fill="auto"/>
            <w:hideMark/>
          </w:tcPr>
          <w:p w14:paraId="3310B3D0" w14:textId="77777777" w:rsidR="00510214" w:rsidRDefault="00510214" w:rsidP="0092464E">
            <w:pPr>
              <w:pStyle w:val="NormalWeb"/>
              <w:jc w:val="center"/>
            </w:pPr>
            <w:r>
              <w:t>14 (3–26)</w:t>
            </w:r>
          </w:p>
        </w:tc>
      </w:tr>
      <w:tr w:rsidR="00510214" w14:paraId="4D2BFA97" w14:textId="77777777" w:rsidTr="00694AB0">
        <w:tc>
          <w:tcPr>
            <w:tcW w:w="7230" w:type="dxa"/>
            <w:tcBorders>
              <w:top w:val="single" w:sz="2" w:space="0" w:color="808080" w:themeColor="background1" w:themeShade="80"/>
              <w:bottom w:val="single" w:sz="2" w:space="0" w:color="808080" w:themeColor="background1" w:themeShade="80"/>
            </w:tcBorders>
            <w:shd w:val="clear" w:color="auto" w:fill="auto"/>
            <w:hideMark/>
          </w:tcPr>
          <w:p w14:paraId="782AAA7B" w14:textId="77777777" w:rsidR="00510214" w:rsidRDefault="00510214">
            <w:pPr>
              <w:pStyle w:val="NormalWeb"/>
            </w:pPr>
            <w:r>
              <w:t>Visitor</w:t>
            </w:r>
          </w:p>
        </w:tc>
        <w:tc>
          <w:tcPr>
            <w:tcW w:w="3210" w:type="dxa"/>
            <w:tcBorders>
              <w:top w:val="single" w:sz="2" w:space="0" w:color="808080" w:themeColor="background1" w:themeShade="80"/>
              <w:bottom w:val="single" w:sz="2" w:space="0" w:color="808080" w:themeColor="background1" w:themeShade="80"/>
            </w:tcBorders>
            <w:shd w:val="clear" w:color="auto" w:fill="auto"/>
            <w:hideMark/>
          </w:tcPr>
          <w:p w14:paraId="17DB2520" w14:textId="77777777" w:rsidR="00510214" w:rsidRDefault="00510214" w:rsidP="0092464E">
            <w:pPr>
              <w:pStyle w:val="NormalWeb"/>
              <w:jc w:val="center"/>
            </w:pPr>
            <w:r>
              <w:t>14 (2–31)</w:t>
            </w:r>
          </w:p>
        </w:tc>
      </w:tr>
      <w:tr w:rsidR="00510214" w14:paraId="16C71880" w14:textId="77777777" w:rsidTr="00694AB0">
        <w:trPr>
          <w:cnfStyle w:val="000000010000" w:firstRow="0" w:lastRow="0" w:firstColumn="0" w:lastColumn="0" w:oddVBand="0" w:evenVBand="0" w:oddHBand="0" w:evenHBand="1" w:firstRowFirstColumn="0" w:firstRowLastColumn="0" w:lastRowFirstColumn="0" w:lastRowLastColumn="0"/>
        </w:trPr>
        <w:tc>
          <w:tcPr>
            <w:tcW w:w="7230" w:type="dxa"/>
            <w:tcBorders>
              <w:top w:val="single" w:sz="2" w:space="0" w:color="808080" w:themeColor="background1" w:themeShade="80"/>
            </w:tcBorders>
            <w:shd w:val="clear" w:color="auto" w:fill="auto"/>
            <w:hideMark/>
          </w:tcPr>
          <w:p w14:paraId="2B395503" w14:textId="77777777" w:rsidR="00510214" w:rsidRDefault="00510214">
            <w:pPr>
              <w:pStyle w:val="NormalWeb"/>
            </w:pPr>
            <w:r>
              <w:t>Other (undefined)</w:t>
            </w:r>
          </w:p>
        </w:tc>
        <w:tc>
          <w:tcPr>
            <w:tcW w:w="3210" w:type="dxa"/>
            <w:tcBorders>
              <w:top w:val="single" w:sz="2" w:space="0" w:color="808080" w:themeColor="background1" w:themeShade="80"/>
            </w:tcBorders>
            <w:shd w:val="clear" w:color="auto" w:fill="auto"/>
            <w:hideMark/>
          </w:tcPr>
          <w:p w14:paraId="517F2BFB" w14:textId="77777777" w:rsidR="00510214" w:rsidRDefault="00510214" w:rsidP="0092464E">
            <w:pPr>
              <w:pStyle w:val="NormalWeb"/>
              <w:jc w:val="center"/>
            </w:pPr>
            <w:r>
              <w:t>25 (4–42)</w:t>
            </w:r>
          </w:p>
        </w:tc>
      </w:tr>
      <w:tr w:rsidR="00F80EB2" w:rsidRPr="00F80EB2" w14:paraId="76F4EBF9" w14:textId="77777777" w:rsidTr="008575FE">
        <w:tc>
          <w:tcPr>
            <w:tcW w:w="10440" w:type="dxa"/>
            <w:gridSpan w:val="2"/>
            <w:shd w:val="clear" w:color="auto" w:fill="808080" w:themeFill="background1" w:themeFillShade="80"/>
            <w:hideMark/>
          </w:tcPr>
          <w:p w14:paraId="6F039195" w14:textId="77777777" w:rsidR="00510214" w:rsidRPr="00F80EB2" w:rsidRDefault="00510214" w:rsidP="0092464E">
            <w:pPr>
              <w:pStyle w:val="NormalWeb"/>
              <w:rPr>
                <w:b/>
                <w:color w:val="FFFFFF" w:themeColor="background1"/>
              </w:rPr>
            </w:pPr>
            <w:r w:rsidRPr="00F80EB2">
              <w:rPr>
                <w:b/>
                <w:color w:val="FFFFFF" w:themeColor="background1"/>
              </w:rPr>
              <w:t xml:space="preserve">Case notification to treatment </w:t>
            </w:r>
            <w:proofErr w:type="spellStart"/>
            <w:r w:rsidRPr="00F80EB2">
              <w:rPr>
                <w:b/>
                <w:color w:val="FFFFFF" w:themeColor="background1"/>
              </w:rPr>
              <w:t>commencement</w:t>
            </w:r>
            <w:r w:rsidRPr="004519C5">
              <w:rPr>
                <w:b/>
                <w:color w:val="FFFFFF" w:themeColor="background1"/>
                <w:vertAlign w:val="superscript"/>
              </w:rPr>
              <w:t>b</w:t>
            </w:r>
            <w:proofErr w:type="spellEnd"/>
          </w:p>
        </w:tc>
      </w:tr>
      <w:tr w:rsidR="00510214" w14:paraId="57AA141F" w14:textId="77777777" w:rsidTr="008575FE">
        <w:trPr>
          <w:cnfStyle w:val="000000010000" w:firstRow="0" w:lastRow="0" w:firstColumn="0" w:lastColumn="0" w:oddVBand="0" w:evenVBand="0" w:oddHBand="0" w:evenHBand="1" w:firstRowFirstColumn="0" w:firstRowLastColumn="0" w:lastRowFirstColumn="0" w:lastRowLastColumn="0"/>
        </w:trPr>
        <w:tc>
          <w:tcPr>
            <w:tcW w:w="7230" w:type="dxa"/>
            <w:tcBorders>
              <w:bottom w:val="single" w:sz="2" w:space="0" w:color="808080" w:themeColor="background1" w:themeShade="80"/>
            </w:tcBorders>
            <w:shd w:val="clear" w:color="auto" w:fill="auto"/>
            <w:hideMark/>
          </w:tcPr>
          <w:p w14:paraId="2D0DB08F" w14:textId="77777777" w:rsidR="00510214" w:rsidRDefault="00510214">
            <w:pPr>
              <w:pStyle w:val="NormalWeb"/>
            </w:pPr>
            <w:r>
              <w:t>Australian-born</w:t>
            </w:r>
          </w:p>
        </w:tc>
        <w:tc>
          <w:tcPr>
            <w:tcW w:w="3210" w:type="dxa"/>
            <w:tcBorders>
              <w:bottom w:val="single" w:sz="2" w:space="0" w:color="808080" w:themeColor="background1" w:themeShade="80"/>
            </w:tcBorders>
            <w:shd w:val="clear" w:color="auto" w:fill="auto"/>
            <w:hideMark/>
          </w:tcPr>
          <w:p w14:paraId="013B3698" w14:textId="77777777" w:rsidR="00510214" w:rsidRDefault="00510214" w:rsidP="0092464E">
            <w:pPr>
              <w:pStyle w:val="NormalWeb"/>
              <w:jc w:val="center"/>
            </w:pPr>
            <w:r>
              <w:t>1 (-1–11)</w:t>
            </w:r>
          </w:p>
        </w:tc>
      </w:tr>
      <w:tr w:rsidR="00510214" w14:paraId="5B0976EB" w14:textId="77777777" w:rsidTr="008575FE">
        <w:tc>
          <w:tcPr>
            <w:tcW w:w="7230" w:type="dxa"/>
            <w:tcBorders>
              <w:top w:val="single" w:sz="2" w:space="0" w:color="808080" w:themeColor="background1" w:themeShade="80"/>
              <w:bottom w:val="single" w:sz="2" w:space="0" w:color="808080" w:themeColor="background1" w:themeShade="80"/>
            </w:tcBorders>
            <w:shd w:val="clear" w:color="auto" w:fill="auto"/>
            <w:hideMark/>
          </w:tcPr>
          <w:p w14:paraId="32D2DE3A" w14:textId="77777777" w:rsidR="00510214" w:rsidRDefault="00510214">
            <w:pPr>
              <w:pStyle w:val="NormalWeb"/>
            </w:pPr>
            <w:r>
              <w:t>Permanent resident</w:t>
            </w:r>
          </w:p>
        </w:tc>
        <w:tc>
          <w:tcPr>
            <w:tcW w:w="3210" w:type="dxa"/>
            <w:tcBorders>
              <w:top w:val="single" w:sz="2" w:space="0" w:color="808080" w:themeColor="background1" w:themeShade="80"/>
              <w:bottom w:val="single" w:sz="2" w:space="0" w:color="808080" w:themeColor="background1" w:themeShade="80"/>
            </w:tcBorders>
            <w:shd w:val="clear" w:color="auto" w:fill="auto"/>
            <w:hideMark/>
          </w:tcPr>
          <w:p w14:paraId="5EA42AC3" w14:textId="77777777" w:rsidR="00510214" w:rsidRDefault="00510214" w:rsidP="0092464E">
            <w:pPr>
              <w:pStyle w:val="NormalWeb"/>
              <w:jc w:val="center"/>
            </w:pPr>
            <w:r>
              <w:t>1 (-1–10)</w:t>
            </w:r>
          </w:p>
        </w:tc>
      </w:tr>
      <w:tr w:rsidR="00510214" w14:paraId="3E28FFAA" w14:textId="77777777" w:rsidTr="008575FE">
        <w:trPr>
          <w:cnfStyle w:val="000000010000" w:firstRow="0" w:lastRow="0" w:firstColumn="0" w:lastColumn="0" w:oddVBand="0" w:evenVBand="0" w:oddHBand="0" w:evenHBand="1" w:firstRowFirstColumn="0" w:firstRowLastColumn="0" w:lastRowFirstColumn="0" w:lastRowLastColumn="0"/>
        </w:trPr>
        <w:tc>
          <w:tcPr>
            <w:tcW w:w="7230" w:type="dxa"/>
            <w:tcBorders>
              <w:top w:val="single" w:sz="2" w:space="0" w:color="808080" w:themeColor="background1" w:themeShade="80"/>
              <w:bottom w:val="single" w:sz="2" w:space="0" w:color="808080" w:themeColor="background1" w:themeShade="80"/>
            </w:tcBorders>
            <w:shd w:val="clear" w:color="auto" w:fill="auto"/>
            <w:hideMark/>
          </w:tcPr>
          <w:p w14:paraId="15240DC9" w14:textId="77777777" w:rsidR="00510214" w:rsidRDefault="00510214">
            <w:pPr>
              <w:pStyle w:val="NormalWeb"/>
            </w:pPr>
            <w:r>
              <w:t xml:space="preserve">TSPZ </w:t>
            </w:r>
            <w:proofErr w:type="spellStart"/>
            <w:r>
              <w:t>residents</w:t>
            </w:r>
            <w:r w:rsidRPr="009033B2">
              <w:rPr>
                <w:vertAlign w:val="superscript"/>
              </w:rPr>
              <w:t>a</w:t>
            </w:r>
            <w:proofErr w:type="spellEnd"/>
          </w:p>
        </w:tc>
        <w:tc>
          <w:tcPr>
            <w:tcW w:w="3210" w:type="dxa"/>
            <w:tcBorders>
              <w:top w:val="single" w:sz="2" w:space="0" w:color="808080" w:themeColor="background1" w:themeShade="80"/>
              <w:bottom w:val="single" w:sz="2" w:space="0" w:color="808080" w:themeColor="background1" w:themeShade="80"/>
            </w:tcBorders>
            <w:shd w:val="clear" w:color="auto" w:fill="auto"/>
            <w:hideMark/>
          </w:tcPr>
          <w:p w14:paraId="23318787" w14:textId="77777777" w:rsidR="00510214" w:rsidRDefault="00510214" w:rsidP="0092464E">
            <w:pPr>
              <w:pStyle w:val="NormalWeb"/>
              <w:jc w:val="center"/>
            </w:pPr>
            <w:r>
              <w:t>1 (-9–36)</w:t>
            </w:r>
          </w:p>
        </w:tc>
      </w:tr>
      <w:tr w:rsidR="00510214" w14:paraId="02FAB3D4" w14:textId="77777777" w:rsidTr="008575FE">
        <w:tc>
          <w:tcPr>
            <w:tcW w:w="7230" w:type="dxa"/>
            <w:tcBorders>
              <w:top w:val="single" w:sz="2" w:space="0" w:color="808080" w:themeColor="background1" w:themeShade="80"/>
              <w:bottom w:val="single" w:sz="2" w:space="0" w:color="808080" w:themeColor="background1" w:themeShade="80"/>
            </w:tcBorders>
            <w:shd w:val="clear" w:color="auto" w:fill="auto"/>
            <w:hideMark/>
          </w:tcPr>
          <w:p w14:paraId="45E4EA62" w14:textId="77777777" w:rsidR="00510214" w:rsidRDefault="00510214">
            <w:pPr>
              <w:pStyle w:val="NormalWeb"/>
            </w:pPr>
            <w:r>
              <w:t>Overseas student</w:t>
            </w:r>
          </w:p>
        </w:tc>
        <w:tc>
          <w:tcPr>
            <w:tcW w:w="3210" w:type="dxa"/>
            <w:tcBorders>
              <w:top w:val="single" w:sz="2" w:space="0" w:color="808080" w:themeColor="background1" w:themeShade="80"/>
              <w:bottom w:val="single" w:sz="2" w:space="0" w:color="808080" w:themeColor="background1" w:themeShade="80"/>
            </w:tcBorders>
            <w:shd w:val="clear" w:color="auto" w:fill="auto"/>
            <w:hideMark/>
          </w:tcPr>
          <w:p w14:paraId="7A009255" w14:textId="77777777" w:rsidR="00510214" w:rsidRDefault="00510214" w:rsidP="0092464E">
            <w:pPr>
              <w:pStyle w:val="NormalWeb"/>
              <w:jc w:val="center"/>
            </w:pPr>
            <w:r>
              <w:t>1 (0–6)</w:t>
            </w:r>
          </w:p>
        </w:tc>
      </w:tr>
      <w:tr w:rsidR="00510214" w14:paraId="6FDAEDAE" w14:textId="77777777" w:rsidTr="008575FE">
        <w:trPr>
          <w:cnfStyle w:val="000000010000" w:firstRow="0" w:lastRow="0" w:firstColumn="0" w:lastColumn="0" w:oddVBand="0" w:evenVBand="0" w:oddHBand="0" w:evenHBand="1" w:firstRowFirstColumn="0" w:firstRowLastColumn="0" w:lastRowFirstColumn="0" w:lastRowLastColumn="0"/>
        </w:trPr>
        <w:tc>
          <w:tcPr>
            <w:tcW w:w="7230" w:type="dxa"/>
            <w:tcBorders>
              <w:top w:val="single" w:sz="2" w:space="0" w:color="808080" w:themeColor="background1" w:themeShade="80"/>
              <w:bottom w:val="single" w:sz="2" w:space="0" w:color="808080" w:themeColor="background1" w:themeShade="80"/>
            </w:tcBorders>
            <w:shd w:val="clear" w:color="auto" w:fill="auto"/>
            <w:hideMark/>
          </w:tcPr>
          <w:p w14:paraId="66D183AF" w14:textId="77777777" w:rsidR="00510214" w:rsidRDefault="00510214">
            <w:pPr>
              <w:pStyle w:val="NormalWeb"/>
            </w:pPr>
            <w:r>
              <w:t>Visitor</w:t>
            </w:r>
          </w:p>
        </w:tc>
        <w:tc>
          <w:tcPr>
            <w:tcW w:w="3210" w:type="dxa"/>
            <w:tcBorders>
              <w:top w:val="single" w:sz="2" w:space="0" w:color="808080" w:themeColor="background1" w:themeShade="80"/>
              <w:bottom w:val="single" w:sz="2" w:space="0" w:color="808080" w:themeColor="background1" w:themeShade="80"/>
            </w:tcBorders>
            <w:shd w:val="clear" w:color="auto" w:fill="auto"/>
            <w:hideMark/>
          </w:tcPr>
          <w:p w14:paraId="0EB5CF35" w14:textId="77777777" w:rsidR="00510214" w:rsidRDefault="00510214" w:rsidP="0092464E">
            <w:pPr>
              <w:pStyle w:val="NormalWeb"/>
              <w:jc w:val="center"/>
            </w:pPr>
            <w:r>
              <w:t>0 (-2–8)</w:t>
            </w:r>
          </w:p>
        </w:tc>
      </w:tr>
      <w:tr w:rsidR="00510214" w14:paraId="57793588" w14:textId="77777777" w:rsidTr="008575FE">
        <w:tc>
          <w:tcPr>
            <w:tcW w:w="7230" w:type="dxa"/>
            <w:tcBorders>
              <w:top w:val="single" w:sz="2" w:space="0" w:color="808080" w:themeColor="background1" w:themeShade="80"/>
            </w:tcBorders>
            <w:shd w:val="clear" w:color="auto" w:fill="auto"/>
            <w:hideMark/>
          </w:tcPr>
          <w:p w14:paraId="3CDD2CB7" w14:textId="77777777" w:rsidR="00510214" w:rsidRDefault="00510214">
            <w:pPr>
              <w:pStyle w:val="NormalWeb"/>
            </w:pPr>
            <w:r>
              <w:t>Other (undefined)</w:t>
            </w:r>
          </w:p>
        </w:tc>
        <w:tc>
          <w:tcPr>
            <w:tcW w:w="3210" w:type="dxa"/>
            <w:tcBorders>
              <w:top w:val="single" w:sz="2" w:space="0" w:color="808080" w:themeColor="background1" w:themeShade="80"/>
            </w:tcBorders>
            <w:shd w:val="clear" w:color="auto" w:fill="auto"/>
            <w:hideMark/>
          </w:tcPr>
          <w:p w14:paraId="0C092FBE" w14:textId="77777777" w:rsidR="00510214" w:rsidRDefault="00510214" w:rsidP="0092464E">
            <w:pPr>
              <w:pStyle w:val="NormalWeb"/>
              <w:jc w:val="center"/>
            </w:pPr>
            <w:r>
              <w:t>0 (-6–8)</w:t>
            </w:r>
          </w:p>
        </w:tc>
      </w:tr>
    </w:tbl>
    <w:p w14:paraId="6007945F" w14:textId="77777777" w:rsidR="00510214" w:rsidRDefault="00510214" w:rsidP="00EA3A4A">
      <w:pPr>
        <w:pStyle w:val="CDIfootnotes"/>
        <w:spacing w:after="0" w:afterAutospacing="0"/>
      </w:pPr>
      <w:r>
        <w:t>a</w:t>
      </w:r>
      <w:r>
        <w:tab/>
        <w:t>Residents of the Torres Strait Protected Zone (TSPZ) accessing TB treatment in Queensland.</w:t>
      </w:r>
    </w:p>
    <w:p w14:paraId="1DD3E4EB" w14:textId="77777777" w:rsidR="00510214" w:rsidRDefault="00510214" w:rsidP="00EA3A4A">
      <w:pPr>
        <w:pStyle w:val="CDIfootnotes"/>
        <w:spacing w:before="0" w:beforeAutospacing="0"/>
      </w:pPr>
      <w:r>
        <w:t>b</w:t>
      </w:r>
      <w:r>
        <w:tab/>
        <w:t>Negative timeframes observed between case notification and treatment commencement likely reflect delays between treatment commencement and notification to health authorities.</w:t>
      </w:r>
    </w:p>
    <w:p w14:paraId="6501CE21" w14:textId="77777777" w:rsidR="00510214" w:rsidRDefault="00510214">
      <w:pPr>
        <w:pStyle w:val="NormalWeb"/>
      </w:pPr>
      <w:r>
        <w:t xml:space="preserve">Tuberculosis drugs received were recorded for the majority of cases (n = 355; 94.7%). Antimicrobial susceptibility profiles were recorded for all cases; the median number of TB drugs against which resistance was reported was four (range: 2–10). Isoniazid and rifampicin excluded, resistance was most commonly reported against streptomycin (n = 233; 62.1%), followed by ethionamide or </w:t>
      </w:r>
      <w:proofErr w:type="spellStart"/>
      <w:r>
        <w:t>prothionamide</w:t>
      </w:r>
      <w:proofErr w:type="spellEnd"/>
      <w:r>
        <w:t xml:space="preserve"> (n = 161; 42.9%) and rifabutin (n = 150; 40.0%). Only one case (0.27%) did not receive treatment and was transferred overseas. The majority of cases had a treatment commencement date recorded (n = 345; 92.0%); of those without a treatment commencement date, nearly half (14/30; 46.7%) were transferred overseas. </w:t>
      </w:r>
    </w:p>
    <w:p w14:paraId="114DC220" w14:textId="77777777" w:rsidR="00510214" w:rsidRDefault="00510214">
      <w:pPr>
        <w:pStyle w:val="NormalWeb"/>
      </w:pPr>
      <w:r>
        <w:t xml:space="preserve">The most frequent risk factors for TB acquisition were: past travel to or residence in a TB high-risk country (defined by the Australian Government as countries with 60 or more incident cases per 100,000 population per annum) for a cumulative period of at least 3 months (other than the individual’s country of birth) (n = 245; 65.3%); close contact with, or being a household member of a confirmed TB case (n = 46; 12.3%); and previous or current employment in </w:t>
      </w:r>
      <w:r>
        <w:lastRenderedPageBreak/>
        <w:t xml:space="preserve">the health industry (including laboratories) overseas or in Australia (n = 32; 8.5%). Of Australian-born cases, 47% (16/34) had previous travel to or residence in a TB high-risk country. </w:t>
      </w:r>
    </w:p>
    <w:p w14:paraId="6F1CFBF2" w14:textId="77777777" w:rsidR="00510214" w:rsidRDefault="00510214">
      <w:pPr>
        <w:pStyle w:val="NormalWeb"/>
      </w:pPr>
      <w:r>
        <w:t xml:space="preserve">Treatment outcomes in the largest cohort of overseas-born cases (PNG nationals) were further investigated. Treatment success was achieved in 20/75 cases (26.7%), whereas 29/75 (38.7%) had their treatment transferred overseas; 13/75 (17.3%) died due to TB; 9/75 (12.0%) were lost to follow-up; and 4/75 (5.3%) were still under treatment when the outcome was recorded. Queensland notified the majority of PNG-born cases (n = 74; 98.5%); of these, 69/74 (92.2%) were cross-border cases (i.e. PNG-born residents of the Torres Strait Protected Zone (TSPZ) accessing TB treatment in Queensland), and 58/74 (78.4%) were classified as new cases. The majority of deaths attributed to MDR-TB in the national dataset occurred in PNG-born cross-border cases (11/17; 64.7%). </w:t>
      </w:r>
    </w:p>
    <w:p w14:paraId="45FA6734" w14:textId="77777777" w:rsidR="00510214" w:rsidRDefault="00510214">
      <w:pPr>
        <w:pStyle w:val="Heading2"/>
        <w:rPr>
          <w:rFonts w:eastAsia="Times New Roman"/>
        </w:rPr>
      </w:pPr>
      <w:r>
        <w:rPr>
          <w:rFonts w:eastAsia="Times New Roman"/>
        </w:rPr>
        <w:t xml:space="preserve">Analytical epidemiology </w:t>
      </w:r>
    </w:p>
    <w:p w14:paraId="32560C22" w14:textId="77777777" w:rsidR="00510214" w:rsidRDefault="00510214">
      <w:pPr>
        <w:pStyle w:val="NormalWeb"/>
      </w:pPr>
      <w:r>
        <w:t>Comparison groups were defined as cases with treatment success (n = 233), and cases with no treatment success (n = 18) (Figure 1). On univariable analysis, there was a statistically significant association between treatment success and case notifications from NSW, and receiving treatment with a fluoroquinolone, or a second-line injectable agent, as well as having received a combination of both. There was a statistically significant association between no treatment success and case notifications from Queensland, having PNG as country of birth, having pulmonary TB and having XDR-TB (Table 4). After adjusting for other factors, only case notifications from Queensland and XDR-TB cases remained associated with no treatment success, whereas treatment with fluoroquinolones remained significantly associated with treatment success (Table 5).</w:t>
      </w:r>
    </w:p>
    <w:p w14:paraId="2A1C50D1" w14:textId="77777777" w:rsidR="00510214" w:rsidRDefault="00510214" w:rsidP="006D5AD0">
      <w:pPr>
        <w:pStyle w:val="CDIFigures"/>
      </w:pPr>
      <w:r>
        <w:t>Table 4: Factors associated with treatment success on univariable analyses</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his table presents a summary of the results of univariable analysis investigating the association between treatment success and selected demographic, clinical, TB treatment, TB drug resistance profile and selected risk factors for TB acquisition. There was a statistically significant association between treatment success and case notifications from NSW (OR: 10.7, 95% CI: 1.4–81.79, p-value: 0.022), and receiving treatment with a fluoroquinolone (OR: 3.85, 95% CI: 1.45–10.24, p-value: 0.007), or a second-line injectable agent (OR: 5.37, 95% CI: 2–14.39, p-value: 0.001), as well as having received a combination of both (OR: 3.66, 95% CI: 1.36–9.83, p-value: 0.01). There was a statistically significant association between no treatment success and case notifications from Queensland (OR: 0.04, 95% CI: 0.012–0.159, p-value: 0.000), having PNG as country of birth (OR: 0.03, 95% CI: 0.01–0.11, p-value: 0.000), having pulmonary TB (OR: 0.14, 95% CI: 0–0.89, p-value: 0.034) and having XDR-TB (OR: 0.13, 95% CI: 0.02–0.82, p-value: 0.029). &#10;"/>
      </w:tblPr>
      <w:tblGrid>
        <w:gridCol w:w="6796"/>
        <w:gridCol w:w="1838"/>
        <w:gridCol w:w="1806"/>
      </w:tblGrid>
      <w:tr w:rsidR="00262581" w:rsidRPr="00262581" w14:paraId="77A301A7" w14:textId="77777777" w:rsidTr="00A16A8B">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hideMark/>
          </w:tcPr>
          <w:p w14:paraId="1B551AF3" w14:textId="77777777" w:rsidR="00510214" w:rsidRPr="00262581" w:rsidRDefault="00510214">
            <w:pPr>
              <w:pStyle w:val="NormalWeb"/>
              <w:rPr>
                <w:color w:val="FFFFFF" w:themeColor="background1"/>
              </w:rPr>
            </w:pPr>
            <w:r w:rsidRPr="00262581">
              <w:rPr>
                <w:color w:val="FFFFFF" w:themeColor="background1"/>
              </w:rPr>
              <w:t>Variables included</w:t>
            </w:r>
          </w:p>
        </w:tc>
        <w:tc>
          <w:tcPr>
            <w:tcW w:w="3644" w:type="dxa"/>
            <w:gridSpan w:val="2"/>
            <w:tcBorders>
              <w:left w:val="single" w:sz="2" w:space="0" w:color="FFFFFF" w:themeColor="background1"/>
              <w:bottom w:val="single" w:sz="2" w:space="0" w:color="FFFFFF" w:themeColor="background1"/>
            </w:tcBorders>
            <w:hideMark/>
          </w:tcPr>
          <w:p w14:paraId="2AF79885" w14:textId="77777777" w:rsidR="00510214" w:rsidRPr="00262581" w:rsidRDefault="00510214" w:rsidP="00773A9F">
            <w:pPr>
              <w:pStyle w:val="NormalWeb"/>
              <w:jc w:val="center"/>
              <w:rPr>
                <w:color w:val="FFFFFF" w:themeColor="background1"/>
              </w:rPr>
            </w:pPr>
            <w:r w:rsidRPr="00262581">
              <w:rPr>
                <w:color w:val="FFFFFF" w:themeColor="background1"/>
              </w:rPr>
              <w:t>Treatment outcome (n = 251)</w:t>
            </w:r>
          </w:p>
        </w:tc>
      </w:tr>
      <w:tr w:rsidR="00262581" w:rsidRPr="00262581" w14:paraId="476F802E" w14:textId="77777777" w:rsidTr="00A16A8B">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bottom w:val="single" w:sz="2" w:space="0" w:color="FFFFFF" w:themeColor="background1"/>
              <w:right w:val="single" w:sz="2" w:space="0" w:color="FFFFFF" w:themeColor="background1"/>
            </w:tcBorders>
            <w:hideMark/>
          </w:tcPr>
          <w:p w14:paraId="43834D9E" w14:textId="77777777" w:rsidR="00510214" w:rsidRPr="00262581" w:rsidRDefault="00510214">
            <w:pPr>
              <w:rPr>
                <w:color w:val="FFFFFF" w:themeColor="background1"/>
                <w:sz w:val="24"/>
                <w:szCs w:val="24"/>
              </w:rPr>
            </w:pPr>
          </w:p>
        </w:tc>
        <w:tc>
          <w:tcPr>
            <w:tcW w:w="3644" w:type="dxa"/>
            <w:gridSpan w:val="2"/>
            <w:tcBorders>
              <w:top w:val="single" w:sz="2" w:space="0" w:color="FFFFFF" w:themeColor="background1"/>
              <w:left w:val="single" w:sz="2" w:space="0" w:color="FFFFFF" w:themeColor="background1"/>
              <w:bottom w:val="single" w:sz="2" w:space="0" w:color="FFFFFF" w:themeColor="background1"/>
            </w:tcBorders>
            <w:hideMark/>
          </w:tcPr>
          <w:p w14:paraId="1F457A3F" w14:textId="77777777" w:rsidR="00510214" w:rsidRPr="00262581" w:rsidRDefault="00510214" w:rsidP="00773A9F">
            <w:pPr>
              <w:pStyle w:val="NormalWeb"/>
              <w:jc w:val="center"/>
              <w:rPr>
                <w:color w:val="FFFFFF" w:themeColor="background1"/>
              </w:rPr>
            </w:pPr>
            <w:r w:rsidRPr="00262581">
              <w:rPr>
                <w:color w:val="FFFFFF" w:themeColor="background1"/>
              </w:rPr>
              <w:t>Univariable analysis</w:t>
            </w:r>
          </w:p>
        </w:tc>
      </w:tr>
      <w:tr w:rsidR="00262581" w:rsidRPr="00262581" w14:paraId="616190F6" w14:textId="77777777" w:rsidTr="00A16A8B">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14:paraId="1B952E85" w14:textId="77777777" w:rsidR="00510214" w:rsidRPr="00262581" w:rsidRDefault="00510214">
            <w:pPr>
              <w:rPr>
                <w:color w:val="FFFFFF" w:themeColor="background1"/>
                <w:sz w:val="24"/>
                <w:szCs w:val="24"/>
              </w:rPr>
            </w:pPr>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45265492" w14:textId="77777777" w:rsidR="00510214" w:rsidRPr="00262581" w:rsidRDefault="00510214" w:rsidP="00773A9F">
            <w:pPr>
              <w:pStyle w:val="NormalWeb"/>
              <w:jc w:val="center"/>
              <w:rPr>
                <w:color w:val="FFFFFF" w:themeColor="background1"/>
              </w:rPr>
            </w:pPr>
            <w:r w:rsidRPr="00262581">
              <w:rPr>
                <w:color w:val="FFFFFF" w:themeColor="background1"/>
              </w:rPr>
              <w:t>Crude OR (95% CI)</w:t>
            </w:r>
          </w:p>
        </w:tc>
        <w:tc>
          <w:tcPr>
            <w:tcW w:w="1769" w:type="dxa"/>
            <w:tcBorders>
              <w:top w:val="single" w:sz="2" w:space="0" w:color="FFFFFF" w:themeColor="background1"/>
              <w:left w:val="single" w:sz="2" w:space="0" w:color="FFFFFF" w:themeColor="background1"/>
            </w:tcBorders>
            <w:hideMark/>
          </w:tcPr>
          <w:p w14:paraId="6A873DFA" w14:textId="77777777" w:rsidR="00510214" w:rsidRPr="00262581" w:rsidRDefault="00510214" w:rsidP="00773A9F">
            <w:pPr>
              <w:pStyle w:val="NormalWeb"/>
              <w:jc w:val="center"/>
              <w:rPr>
                <w:color w:val="FFFFFF" w:themeColor="background1"/>
              </w:rPr>
            </w:pPr>
            <w:r w:rsidRPr="006936C1">
              <w:rPr>
                <w:i/>
                <w:color w:val="FFFFFF" w:themeColor="background1"/>
              </w:rPr>
              <w:t>p</w:t>
            </w:r>
            <w:r w:rsidRPr="00262581">
              <w:rPr>
                <w:color w:val="FFFFFF" w:themeColor="background1"/>
              </w:rPr>
              <w:t xml:space="preserve"> value</w:t>
            </w:r>
          </w:p>
        </w:tc>
      </w:tr>
      <w:tr w:rsidR="003F3411" w:rsidRPr="003F3411" w14:paraId="4BD07B90" w14:textId="77777777" w:rsidTr="003F3411">
        <w:tc>
          <w:tcPr>
            <w:tcW w:w="10440" w:type="dxa"/>
            <w:gridSpan w:val="3"/>
            <w:shd w:val="clear" w:color="auto" w:fill="808080" w:themeFill="background1" w:themeFillShade="80"/>
            <w:hideMark/>
          </w:tcPr>
          <w:p w14:paraId="770311D8" w14:textId="77777777" w:rsidR="00510214" w:rsidRPr="003F3411" w:rsidRDefault="00510214" w:rsidP="00773A9F">
            <w:pPr>
              <w:pStyle w:val="NormalWeb"/>
              <w:rPr>
                <w:b/>
                <w:color w:val="FFFFFF" w:themeColor="background1"/>
              </w:rPr>
            </w:pPr>
            <w:r w:rsidRPr="003F3411">
              <w:rPr>
                <w:b/>
                <w:color w:val="FFFFFF" w:themeColor="background1"/>
              </w:rPr>
              <w:t>Demographic</w:t>
            </w:r>
          </w:p>
        </w:tc>
      </w:tr>
      <w:tr w:rsidR="00510214" w14:paraId="4833A9C9" w14:textId="77777777" w:rsidTr="00773A9F">
        <w:trPr>
          <w:cnfStyle w:val="000000010000" w:firstRow="0" w:lastRow="0" w:firstColumn="0" w:lastColumn="0" w:oddVBand="0" w:evenVBand="0" w:oddHBand="0" w:evenHBand="1" w:firstRowFirstColumn="0" w:firstRowLastColumn="0" w:lastRowFirstColumn="0" w:lastRowLastColumn="0"/>
        </w:trPr>
        <w:tc>
          <w:tcPr>
            <w:tcW w:w="0" w:type="auto"/>
            <w:hideMark/>
          </w:tcPr>
          <w:p w14:paraId="182112F7" w14:textId="77777777" w:rsidR="00510214" w:rsidRDefault="00510214">
            <w:pPr>
              <w:pStyle w:val="NormalWeb"/>
            </w:pPr>
            <w:r>
              <w:t>Male sex</w:t>
            </w:r>
          </w:p>
        </w:tc>
        <w:tc>
          <w:tcPr>
            <w:tcW w:w="0" w:type="auto"/>
            <w:hideMark/>
          </w:tcPr>
          <w:p w14:paraId="47E1446E" w14:textId="77777777" w:rsidR="00510214" w:rsidRDefault="00510214" w:rsidP="00773A9F">
            <w:pPr>
              <w:pStyle w:val="NormalWeb"/>
              <w:jc w:val="center"/>
            </w:pPr>
            <w:r>
              <w:t>1.8 (0.66–5.01)</w:t>
            </w:r>
          </w:p>
        </w:tc>
        <w:tc>
          <w:tcPr>
            <w:tcW w:w="1769" w:type="dxa"/>
            <w:hideMark/>
          </w:tcPr>
          <w:p w14:paraId="280AFA5E" w14:textId="77777777" w:rsidR="00510214" w:rsidRDefault="00510214" w:rsidP="00773A9F">
            <w:pPr>
              <w:pStyle w:val="NormalWeb"/>
              <w:jc w:val="center"/>
            </w:pPr>
            <w:r>
              <w:t>0.247</w:t>
            </w:r>
          </w:p>
        </w:tc>
      </w:tr>
      <w:tr w:rsidR="00510214" w14:paraId="7ED2C886" w14:textId="77777777" w:rsidTr="00773A9F">
        <w:tc>
          <w:tcPr>
            <w:tcW w:w="0" w:type="auto"/>
            <w:hideMark/>
          </w:tcPr>
          <w:p w14:paraId="0105625C" w14:textId="77777777" w:rsidR="00510214" w:rsidRDefault="00510214">
            <w:pPr>
              <w:pStyle w:val="NormalWeb"/>
            </w:pPr>
            <w:r>
              <w:t>Age group (years): 30–49</w:t>
            </w:r>
          </w:p>
        </w:tc>
        <w:tc>
          <w:tcPr>
            <w:tcW w:w="0" w:type="auto"/>
            <w:hideMark/>
          </w:tcPr>
          <w:p w14:paraId="469B0AD6" w14:textId="77777777" w:rsidR="00510214" w:rsidRDefault="00510214" w:rsidP="00773A9F">
            <w:pPr>
              <w:pStyle w:val="NormalWeb"/>
              <w:jc w:val="center"/>
            </w:pPr>
            <w:r>
              <w:t>2.45 (0.78–7.68)</w:t>
            </w:r>
          </w:p>
        </w:tc>
        <w:tc>
          <w:tcPr>
            <w:tcW w:w="1769" w:type="dxa"/>
            <w:hideMark/>
          </w:tcPr>
          <w:p w14:paraId="44FB7C0D" w14:textId="77777777" w:rsidR="00510214" w:rsidRDefault="00510214" w:rsidP="00773A9F">
            <w:pPr>
              <w:pStyle w:val="NormalWeb"/>
              <w:jc w:val="center"/>
            </w:pPr>
            <w:r>
              <w:t>0.123</w:t>
            </w:r>
          </w:p>
        </w:tc>
      </w:tr>
      <w:tr w:rsidR="00510214" w14:paraId="4F27E32A" w14:textId="77777777" w:rsidTr="00773A9F">
        <w:trPr>
          <w:cnfStyle w:val="000000010000" w:firstRow="0" w:lastRow="0" w:firstColumn="0" w:lastColumn="0" w:oddVBand="0" w:evenVBand="0" w:oddHBand="0" w:evenHBand="1" w:firstRowFirstColumn="0" w:firstRowLastColumn="0" w:lastRowFirstColumn="0" w:lastRowLastColumn="0"/>
        </w:trPr>
        <w:tc>
          <w:tcPr>
            <w:tcW w:w="0" w:type="auto"/>
            <w:hideMark/>
          </w:tcPr>
          <w:p w14:paraId="7763B9A8" w14:textId="77777777" w:rsidR="00510214" w:rsidRDefault="00510214">
            <w:pPr>
              <w:pStyle w:val="NormalWeb"/>
            </w:pPr>
            <w:r>
              <w:t>Indigenous</w:t>
            </w:r>
          </w:p>
        </w:tc>
        <w:tc>
          <w:tcPr>
            <w:tcW w:w="0" w:type="auto"/>
            <w:hideMark/>
          </w:tcPr>
          <w:p w14:paraId="47D66156" w14:textId="77777777" w:rsidR="00510214" w:rsidRDefault="00510214" w:rsidP="00773A9F">
            <w:pPr>
              <w:pStyle w:val="NormalWeb"/>
              <w:jc w:val="center"/>
            </w:pPr>
            <w:r>
              <w:t>0.15 (0.13–1.7)</w:t>
            </w:r>
          </w:p>
        </w:tc>
        <w:tc>
          <w:tcPr>
            <w:tcW w:w="1769" w:type="dxa"/>
            <w:hideMark/>
          </w:tcPr>
          <w:p w14:paraId="0660EB19" w14:textId="77777777" w:rsidR="00510214" w:rsidRDefault="00510214" w:rsidP="00773A9F">
            <w:pPr>
              <w:pStyle w:val="NormalWeb"/>
              <w:jc w:val="center"/>
            </w:pPr>
            <w:r>
              <w:t>0.125</w:t>
            </w:r>
          </w:p>
        </w:tc>
      </w:tr>
      <w:tr w:rsidR="00510214" w14:paraId="3C2CA129" w14:textId="77777777" w:rsidTr="00773A9F">
        <w:tc>
          <w:tcPr>
            <w:tcW w:w="0" w:type="auto"/>
            <w:hideMark/>
          </w:tcPr>
          <w:p w14:paraId="4842AE3B" w14:textId="77777777" w:rsidR="00510214" w:rsidRDefault="00510214">
            <w:pPr>
              <w:pStyle w:val="NormalWeb"/>
            </w:pPr>
            <w:r>
              <w:t>Country of birth: PNG</w:t>
            </w:r>
          </w:p>
        </w:tc>
        <w:tc>
          <w:tcPr>
            <w:tcW w:w="0" w:type="auto"/>
            <w:hideMark/>
          </w:tcPr>
          <w:p w14:paraId="4122DD75" w14:textId="77777777" w:rsidR="00510214" w:rsidRDefault="00510214" w:rsidP="00773A9F">
            <w:pPr>
              <w:pStyle w:val="NormalWeb"/>
              <w:jc w:val="center"/>
            </w:pPr>
            <w:r>
              <w:t>0.03 (0.01–0.11)</w:t>
            </w:r>
          </w:p>
        </w:tc>
        <w:tc>
          <w:tcPr>
            <w:tcW w:w="1769" w:type="dxa"/>
            <w:hideMark/>
          </w:tcPr>
          <w:p w14:paraId="7196AB0A" w14:textId="77777777" w:rsidR="00510214" w:rsidRDefault="00510214" w:rsidP="00773A9F">
            <w:pPr>
              <w:pStyle w:val="NormalWeb"/>
              <w:jc w:val="center"/>
            </w:pPr>
            <w:r>
              <w:t>&lt; 0.001</w:t>
            </w:r>
            <w:r w:rsidRPr="00AA70AB">
              <w:rPr>
                <w:vertAlign w:val="superscript"/>
              </w:rPr>
              <w:t>a</w:t>
            </w:r>
          </w:p>
        </w:tc>
      </w:tr>
      <w:tr w:rsidR="00510214" w14:paraId="5E7CCA40" w14:textId="77777777" w:rsidTr="00773A9F">
        <w:trPr>
          <w:cnfStyle w:val="000000010000" w:firstRow="0" w:lastRow="0" w:firstColumn="0" w:lastColumn="0" w:oddVBand="0" w:evenVBand="0" w:oddHBand="0" w:evenHBand="1" w:firstRowFirstColumn="0" w:firstRowLastColumn="0" w:lastRowFirstColumn="0" w:lastRowLastColumn="0"/>
        </w:trPr>
        <w:tc>
          <w:tcPr>
            <w:tcW w:w="0" w:type="auto"/>
            <w:hideMark/>
          </w:tcPr>
          <w:p w14:paraId="172F658F" w14:textId="77777777" w:rsidR="00510214" w:rsidRDefault="00510214">
            <w:pPr>
              <w:pStyle w:val="NormalWeb"/>
            </w:pPr>
            <w:r>
              <w:t>Notifying jurisdiction: Qld</w:t>
            </w:r>
          </w:p>
        </w:tc>
        <w:tc>
          <w:tcPr>
            <w:tcW w:w="0" w:type="auto"/>
            <w:hideMark/>
          </w:tcPr>
          <w:p w14:paraId="1057D341" w14:textId="77777777" w:rsidR="00510214" w:rsidRDefault="00510214" w:rsidP="00773A9F">
            <w:pPr>
              <w:pStyle w:val="NormalWeb"/>
              <w:jc w:val="center"/>
            </w:pPr>
            <w:r>
              <w:t>0.04 (0.012–0.159)</w:t>
            </w:r>
          </w:p>
        </w:tc>
        <w:tc>
          <w:tcPr>
            <w:tcW w:w="1769" w:type="dxa"/>
            <w:hideMark/>
          </w:tcPr>
          <w:p w14:paraId="14500FDA" w14:textId="77777777" w:rsidR="00510214" w:rsidRDefault="00510214" w:rsidP="00773A9F">
            <w:pPr>
              <w:pStyle w:val="NormalWeb"/>
              <w:jc w:val="center"/>
            </w:pPr>
            <w:r>
              <w:t>&lt; 0.001</w:t>
            </w:r>
            <w:r w:rsidRPr="00AA70AB">
              <w:rPr>
                <w:vertAlign w:val="superscript"/>
              </w:rPr>
              <w:t>a</w:t>
            </w:r>
          </w:p>
        </w:tc>
      </w:tr>
      <w:tr w:rsidR="00510214" w14:paraId="17EA2655" w14:textId="77777777" w:rsidTr="00773A9F">
        <w:tc>
          <w:tcPr>
            <w:tcW w:w="0" w:type="auto"/>
            <w:hideMark/>
          </w:tcPr>
          <w:p w14:paraId="7467F1F5" w14:textId="77777777" w:rsidR="00510214" w:rsidRDefault="00510214">
            <w:pPr>
              <w:pStyle w:val="NormalWeb"/>
            </w:pPr>
            <w:r>
              <w:t>Notifying jurisdiction: NSW</w:t>
            </w:r>
          </w:p>
        </w:tc>
        <w:tc>
          <w:tcPr>
            <w:tcW w:w="0" w:type="auto"/>
            <w:hideMark/>
          </w:tcPr>
          <w:p w14:paraId="52BA35BF" w14:textId="77777777" w:rsidR="00510214" w:rsidRDefault="00510214" w:rsidP="00773A9F">
            <w:pPr>
              <w:pStyle w:val="NormalWeb"/>
              <w:jc w:val="center"/>
            </w:pPr>
            <w:r>
              <w:t>10.7 (1.4–81.79)</w:t>
            </w:r>
          </w:p>
        </w:tc>
        <w:tc>
          <w:tcPr>
            <w:tcW w:w="1769" w:type="dxa"/>
            <w:hideMark/>
          </w:tcPr>
          <w:p w14:paraId="4CACB009" w14:textId="77777777" w:rsidR="00510214" w:rsidRDefault="00510214" w:rsidP="00773A9F">
            <w:pPr>
              <w:pStyle w:val="NormalWeb"/>
              <w:jc w:val="center"/>
            </w:pPr>
            <w:r>
              <w:t>0.022</w:t>
            </w:r>
            <w:r w:rsidRPr="00AA70AB">
              <w:rPr>
                <w:vertAlign w:val="superscript"/>
              </w:rPr>
              <w:t>a</w:t>
            </w:r>
          </w:p>
        </w:tc>
      </w:tr>
      <w:tr w:rsidR="003F3411" w:rsidRPr="003F3411" w14:paraId="3C4D9328" w14:textId="77777777" w:rsidTr="003F3411">
        <w:trPr>
          <w:cnfStyle w:val="000000010000" w:firstRow="0" w:lastRow="0" w:firstColumn="0" w:lastColumn="0" w:oddVBand="0" w:evenVBand="0" w:oddHBand="0" w:evenHBand="1" w:firstRowFirstColumn="0" w:firstRowLastColumn="0" w:lastRowFirstColumn="0" w:lastRowLastColumn="0"/>
        </w:trPr>
        <w:tc>
          <w:tcPr>
            <w:tcW w:w="10440" w:type="dxa"/>
            <w:gridSpan w:val="3"/>
            <w:shd w:val="clear" w:color="auto" w:fill="808080" w:themeFill="background1" w:themeFillShade="80"/>
            <w:hideMark/>
          </w:tcPr>
          <w:p w14:paraId="0CCD5549" w14:textId="77777777" w:rsidR="00510214" w:rsidRPr="003F3411" w:rsidRDefault="00510214" w:rsidP="00773A9F">
            <w:pPr>
              <w:pStyle w:val="NormalWeb"/>
              <w:rPr>
                <w:b/>
                <w:color w:val="FFFFFF" w:themeColor="background1"/>
              </w:rPr>
            </w:pPr>
            <w:r w:rsidRPr="003F3411">
              <w:rPr>
                <w:b/>
                <w:color w:val="FFFFFF" w:themeColor="background1"/>
              </w:rPr>
              <w:t>Clinical</w:t>
            </w:r>
          </w:p>
        </w:tc>
      </w:tr>
      <w:tr w:rsidR="00510214" w14:paraId="783F7C9E" w14:textId="77777777" w:rsidTr="00773A9F">
        <w:tc>
          <w:tcPr>
            <w:tcW w:w="0" w:type="auto"/>
            <w:hideMark/>
          </w:tcPr>
          <w:p w14:paraId="071343DF" w14:textId="77777777" w:rsidR="00510214" w:rsidRDefault="00510214">
            <w:pPr>
              <w:pStyle w:val="NormalWeb"/>
            </w:pPr>
            <w:r>
              <w:t xml:space="preserve">Pulmonary </w:t>
            </w:r>
            <w:proofErr w:type="spellStart"/>
            <w:r>
              <w:t>TB</w:t>
            </w:r>
            <w:r w:rsidRPr="00B815A9">
              <w:rPr>
                <w:vertAlign w:val="superscript"/>
              </w:rPr>
              <w:t>b</w:t>
            </w:r>
            <w:proofErr w:type="spellEnd"/>
          </w:p>
        </w:tc>
        <w:tc>
          <w:tcPr>
            <w:tcW w:w="0" w:type="auto"/>
            <w:hideMark/>
          </w:tcPr>
          <w:p w14:paraId="091F696D" w14:textId="77777777" w:rsidR="00510214" w:rsidRDefault="00510214" w:rsidP="00773A9F">
            <w:pPr>
              <w:pStyle w:val="NormalWeb"/>
              <w:jc w:val="center"/>
            </w:pPr>
            <w:r>
              <w:t>0.14 (0–0.89)</w:t>
            </w:r>
          </w:p>
        </w:tc>
        <w:tc>
          <w:tcPr>
            <w:tcW w:w="1769" w:type="dxa"/>
            <w:hideMark/>
          </w:tcPr>
          <w:p w14:paraId="151C42E8" w14:textId="77777777" w:rsidR="00510214" w:rsidRDefault="00510214" w:rsidP="00773A9F">
            <w:pPr>
              <w:pStyle w:val="NormalWeb"/>
              <w:jc w:val="center"/>
            </w:pPr>
            <w:r>
              <w:t>0.034</w:t>
            </w:r>
            <w:r w:rsidRPr="00AA70AB">
              <w:rPr>
                <w:vertAlign w:val="superscript"/>
              </w:rPr>
              <w:t>a</w:t>
            </w:r>
          </w:p>
        </w:tc>
      </w:tr>
      <w:tr w:rsidR="00510214" w14:paraId="4B85A27A" w14:textId="77777777" w:rsidTr="00773A9F">
        <w:trPr>
          <w:cnfStyle w:val="000000010000" w:firstRow="0" w:lastRow="0" w:firstColumn="0" w:lastColumn="0" w:oddVBand="0" w:evenVBand="0" w:oddHBand="0" w:evenHBand="1" w:firstRowFirstColumn="0" w:firstRowLastColumn="0" w:lastRowFirstColumn="0" w:lastRowLastColumn="0"/>
        </w:trPr>
        <w:tc>
          <w:tcPr>
            <w:tcW w:w="0" w:type="auto"/>
            <w:hideMark/>
          </w:tcPr>
          <w:p w14:paraId="369CBE66" w14:textId="77777777" w:rsidR="00510214" w:rsidRDefault="00510214">
            <w:pPr>
              <w:pStyle w:val="NormalWeb"/>
            </w:pPr>
            <w:r>
              <w:t>HIV-positive</w:t>
            </w:r>
          </w:p>
        </w:tc>
        <w:tc>
          <w:tcPr>
            <w:tcW w:w="0" w:type="auto"/>
            <w:hideMark/>
          </w:tcPr>
          <w:p w14:paraId="3641126B" w14:textId="77777777" w:rsidR="00510214" w:rsidRDefault="00510214" w:rsidP="00773A9F">
            <w:pPr>
              <w:pStyle w:val="NormalWeb"/>
              <w:jc w:val="center"/>
            </w:pPr>
            <w:r>
              <w:t>0.18 (0.03–1.08)</w:t>
            </w:r>
          </w:p>
        </w:tc>
        <w:tc>
          <w:tcPr>
            <w:tcW w:w="1769" w:type="dxa"/>
            <w:hideMark/>
          </w:tcPr>
          <w:p w14:paraId="796C51A8" w14:textId="77777777" w:rsidR="00510214" w:rsidRDefault="00510214" w:rsidP="00773A9F">
            <w:pPr>
              <w:pStyle w:val="NormalWeb"/>
              <w:jc w:val="center"/>
            </w:pPr>
            <w:r>
              <w:t>0.061</w:t>
            </w:r>
          </w:p>
        </w:tc>
      </w:tr>
      <w:tr w:rsidR="003F3411" w:rsidRPr="003F3411" w14:paraId="65A151D3" w14:textId="77777777" w:rsidTr="003F3411">
        <w:tc>
          <w:tcPr>
            <w:tcW w:w="10440" w:type="dxa"/>
            <w:gridSpan w:val="3"/>
            <w:shd w:val="clear" w:color="auto" w:fill="808080" w:themeFill="background1" w:themeFillShade="80"/>
            <w:hideMark/>
          </w:tcPr>
          <w:p w14:paraId="60B6F351" w14:textId="77777777" w:rsidR="00510214" w:rsidRPr="003F3411" w:rsidRDefault="00510214" w:rsidP="00773A9F">
            <w:pPr>
              <w:pStyle w:val="NormalWeb"/>
              <w:rPr>
                <w:b/>
                <w:color w:val="FFFFFF" w:themeColor="background1"/>
              </w:rPr>
            </w:pPr>
            <w:r w:rsidRPr="003F3411">
              <w:rPr>
                <w:b/>
                <w:color w:val="FFFFFF" w:themeColor="background1"/>
              </w:rPr>
              <w:t>TB treatment</w:t>
            </w:r>
          </w:p>
        </w:tc>
      </w:tr>
      <w:tr w:rsidR="00510214" w14:paraId="35B26BD2" w14:textId="77777777" w:rsidTr="00773A9F">
        <w:trPr>
          <w:cnfStyle w:val="000000010000" w:firstRow="0" w:lastRow="0" w:firstColumn="0" w:lastColumn="0" w:oddVBand="0" w:evenVBand="0" w:oddHBand="0" w:evenHBand="1" w:firstRowFirstColumn="0" w:firstRowLastColumn="0" w:lastRowFirstColumn="0" w:lastRowLastColumn="0"/>
        </w:trPr>
        <w:tc>
          <w:tcPr>
            <w:tcW w:w="0" w:type="auto"/>
            <w:hideMark/>
          </w:tcPr>
          <w:p w14:paraId="78CCFEF7" w14:textId="77777777" w:rsidR="00510214" w:rsidRDefault="00510214">
            <w:pPr>
              <w:pStyle w:val="NormalWeb"/>
            </w:pPr>
            <w:r>
              <w:t>Previous TB treatment</w:t>
            </w:r>
          </w:p>
        </w:tc>
        <w:tc>
          <w:tcPr>
            <w:tcW w:w="0" w:type="auto"/>
            <w:hideMark/>
          </w:tcPr>
          <w:p w14:paraId="6B5E3879" w14:textId="77777777" w:rsidR="00510214" w:rsidRDefault="00510214" w:rsidP="00773A9F">
            <w:pPr>
              <w:pStyle w:val="NormalWeb"/>
              <w:jc w:val="center"/>
            </w:pPr>
            <w:r>
              <w:t>0.89 (0.28–2.86)</w:t>
            </w:r>
          </w:p>
        </w:tc>
        <w:tc>
          <w:tcPr>
            <w:tcW w:w="1769" w:type="dxa"/>
            <w:hideMark/>
          </w:tcPr>
          <w:p w14:paraId="18A965C8" w14:textId="77777777" w:rsidR="00510214" w:rsidRDefault="00510214" w:rsidP="00773A9F">
            <w:pPr>
              <w:pStyle w:val="NormalWeb"/>
              <w:jc w:val="center"/>
            </w:pPr>
            <w:r>
              <w:t>0.858</w:t>
            </w:r>
          </w:p>
        </w:tc>
      </w:tr>
      <w:tr w:rsidR="00510214" w14:paraId="32CFE9C8" w14:textId="77777777" w:rsidTr="00773A9F">
        <w:tc>
          <w:tcPr>
            <w:tcW w:w="0" w:type="auto"/>
            <w:hideMark/>
          </w:tcPr>
          <w:p w14:paraId="18DF19AE" w14:textId="77777777" w:rsidR="00510214" w:rsidRDefault="00510214">
            <w:pPr>
              <w:pStyle w:val="NormalWeb"/>
            </w:pPr>
            <w:r>
              <w:t>Fluoroquinolone treatment</w:t>
            </w:r>
          </w:p>
        </w:tc>
        <w:tc>
          <w:tcPr>
            <w:tcW w:w="0" w:type="auto"/>
            <w:hideMark/>
          </w:tcPr>
          <w:p w14:paraId="41E8D924" w14:textId="77777777" w:rsidR="00510214" w:rsidRDefault="00510214" w:rsidP="00773A9F">
            <w:pPr>
              <w:pStyle w:val="NormalWeb"/>
              <w:jc w:val="center"/>
            </w:pPr>
            <w:r>
              <w:t>3.85 (1.45–10.24)</w:t>
            </w:r>
          </w:p>
        </w:tc>
        <w:tc>
          <w:tcPr>
            <w:tcW w:w="1769" w:type="dxa"/>
            <w:hideMark/>
          </w:tcPr>
          <w:p w14:paraId="1CDF0502" w14:textId="77777777" w:rsidR="00510214" w:rsidRDefault="00510214" w:rsidP="00773A9F">
            <w:pPr>
              <w:pStyle w:val="NormalWeb"/>
              <w:jc w:val="center"/>
            </w:pPr>
            <w:r>
              <w:t>0.007</w:t>
            </w:r>
            <w:r w:rsidRPr="00AA70AB">
              <w:rPr>
                <w:vertAlign w:val="superscript"/>
              </w:rPr>
              <w:t>a</w:t>
            </w:r>
          </w:p>
        </w:tc>
      </w:tr>
      <w:tr w:rsidR="00510214" w14:paraId="57C0D70D" w14:textId="77777777" w:rsidTr="00773A9F">
        <w:trPr>
          <w:cnfStyle w:val="000000010000" w:firstRow="0" w:lastRow="0" w:firstColumn="0" w:lastColumn="0" w:oddVBand="0" w:evenVBand="0" w:oddHBand="0" w:evenHBand="1" w:firstRowFirstColumn="0" w:firstRowLastColumn="0" w:lastRowFirstColumn="0" w:lastRowLastColumn="0"/>
        </w:trPr>
        <w:tc>
          <w:tcPr>
            <w:tcW w:w="0" w:type="auto"/>
            <w:hideMark/>
          </w:tcPr>
          <w:p w14:paraId="6D485F24" w14:textId="77777777" w:rsidR="00510214" w:rsidRDefault="00510214">
            <w:pPr>
              <w:pStyle w:val="NormalWeb"/>
            </w:pPr>
            <w:r>
              <w:t>Second-line injectable treatment</w:t>
            </w:r>
          </w:p>
        </w:tc>
        <w:tc>
          <w:tcPr>
            <w:tcW w:w="0" w:type="auto"/>
            <w:hideMark/>
          </w:tcPr>
          <w:p w14:paraId="0C76DED8" w14:textId="77777777" w:rsidR="00510214" w:rsidRDefault="00510214" w:rsidP="00773A9F">
            <w:pPr>
              <w:pStyle w:val="NormalWeb"/>
              <w:jc w:val="center"/>
            </w:pPr>
            <w:r>
              <w:t>5.37 (2–14.39)</w:t>
            </w:r>
          </w:p>
        </w:tc>
        <w:tc>
          <w:tcPr>
            <w:tcW w:w="1769" w:type="dxa"/>
            <w:hideMark/>
          </w:tcPr>
          <w:p w14:paraId="474FB433" w14:textId="77777777" w:rsidR="00510214" w:rsidRDefault="00510214" w:rsidP="00773A9F">
            <w:pPr>
              <w:pStyle w:val="NormalWeb"/>
              <w:jc w:val="center"/>
            </w:pPr>
            <w:r>
              <w:t>0.001</w:t>
            </w:r>
            <w:r w:rsidRPr="00AA70AB">
              <w:rPr>
                <w:vertAlign w:val="superscript"/>
              </w:rPr>
              <w:t>a</w:t>
            </w:r>
          </w:p>
        </w:tc>
      </w:tr>
      <w:tr w:rsidR="00510214" w14:paraId="41C1E6B9" w14:textId="77777777" w:rsidTr="00773A9F">
        <w:tc>
          <w:tcPr>
            <w:tcW w:w="0" w:type="auto"/>
            <w:hideMark/>
          </w:tcPr>
          <w:p w14:paraId="1C06F55A" w14:textId="77777777" w:rsidR="00510214" w:rsidRDefault="00510214">
            <w:pPr>
              <w:pStyle w:val="NormalWeb"/>
            </w:pPr>
            <w:r>
              <w:t>Combination therapy (Fluoroquinolones and second-line injectable agents)</w:t>
            </w:r>
          </w:p>
        </w:tc>
        <w:tc>
          <w:tcPr>
            <w:tcW w:w="0" w:type="auto"/>
            <w:hideMark/>
          </w:tcPr>
          <w:p w14:paraId="51FF3930" w14:textId="77777777" w:rsidR="00510214" w:rsidRDefault="00510214" w:rsidP="00773A9F">
            <w:pPr>
              <w:pStyle w:val="NormalWeb"/>
              <w:jc w:val="center"/>
            </w:pPr>
            <w:r>
              <w:t>3.66 (1.36–9.83)</w:t>
            </w:r>
          </w:p>
        </w:tc>
        <w:tc>
          <w:tcPr>
            <w:tcW w:w="1769" w:type="dxa"/>
            <w:hideMark/>
          </w:tcPr>
          <w:p w14:paraId="4741C8D1" w14:textId="77777777" w:rsidR="00510214" w:rsidRDefault="00510214" w:rsidP="00773A9F">
            <w:pPr>
              <w:pStyle w:val="NormalWeb"/>
              <w:jc w:val="center"/>
            </w:pPr>
            <w:r>
              <w:t>0.010</w:t>
            </w:r>
            <w:r w:rsidRPr="00A940CD">
              <w:rPr>
                <w:vertAlign w:val="superscript"/>
              </w:rPr>
              <w:t>a</w:t>
            </w:r>
          </w:p>
        </w:tc>
      </w:tr>
      <w:tr w:rsidR="001E2B20" w:rsidRPr="001E2B20" w14:paraId="5F2E2C1A" w14:textId="77777777" w:rsidTr="001E2B20">
        <w:trPr>
          <w:cnfStyle w:val="000000010000" w:firstRow="0" w:lastRow="0" w:firstColumn="0" w:lastColumn="0" w:oddVBand="0" w:evenVBand="0" w:oddHBand="0" w:evenHBand="1" w:firstRowFirstColumn="0" w:firstRowLastColumn="0" w:lastRowFirstColumn="0" w:lastRowLastColumn="0"/>
        </w:trPr>
        <w:tc>
          <w:tcPr>
            <w:tcW w:w="10440" w:type="dxa"/>
            <w:gridSpan w:val="3"/>
            <w:shd w:val="clear" w:color="auto" w:fill="808080" w:themeFill="background1" w:themeFillShade="80"/>
            <w:hideMark/>
          </w:tcPr>
          <w:p w14:paraId="46BD1728" w14:textId="77777777" w:rsidR="00510214" w:rsidRPr="001E2B20" w:rsidRDefault="00510214" w:rsidP="00773A9F">
            <w:pPr>
              <w:pStyle w:val="NormalWeb"/>
              <w:rPr>
                <w:b/>
                <w:color w:val="FFFFFF" w:themeColor="background1"/>
              </w:rPr>
            </w:pPr>
            <w:r w:rsidRPr="001E2B20">
              <w:rPr>
                <w:b/>
                <w:color w:val="FFFFFF" w:themeColor="background1"/>
              </w:rPr>
              <w:lastRenderedPageBreak/>
              <w:t>TB drug resistance profile</w:t>
            </w:r>
          </w:p>
        </w:tc>
      </w:tr>
      <w:tr w:rsidR="00510214" w14:paraId="6C25DD76" w14:textId="77777777" w:rsidTr="00773A9F">
        <w:tc>
          <w:tcPr>
            <w:tcW w:w="0" w:type="auto"/>
            <w:hideMark/>
          </w:tcPr>
          <w:p w14:paraId="095EC1BB" w14:textId="77777777" w:rsidR="00510214" w:rsidRDefault="00510214">
            <w:pPr>
              <w:pStyle w:val="NormalWeb"/>
            </w:pPr>
            <w:r>
              <w:t>Fluoroquinolone resistance</w:t>
            </w:r>
          </w:p>
        </w:tc>
        <w:tc>
          <w:tcPr>
            <w:tcW w:w="0" w:type="auto"/>
            <w:hideMark/>
          </w:tcPr>
          <w:p w14:paraId="133AE613" w14:textId="77777777" w:rsidR="00510214" w:rsidRDefault="00510214" w:rsidP="00773A9F">
            <w:pPr>
              <w:pStyle w:val="NormalWeb"/>
              <w:jc w:val="center"/>
            </w:pPr>
            <w:r>
              <w:t>0.63 (0.17–2.32)</w:t>
            </w:r>
          </w:p>
        </w:tc>
        <w:tc>
          <w:tcPr>
            <w:tcW w:w="1769" w:type="dxa"/>
            <w:hideMark/>
          </w:tcPr>
          <w:p w14:paraId="559910C9" w14:textId="77777777" w:rsidR="00510214" w:rsidRDefault="00510214" w:rsidP="00773A9F">
            <w:pPr>
              <w:pStyle w:val="NormalWeb"/>
              <w:jc w:val="center"/>
            </w:pPr>
            <w:r>
              <w:t>0.458</w:t>
            </w:r>
          </w:p>
        </w:tc>
      </w:tr>
      <w:tr w:rsidR="00510214" w14:paraId="558B92AC" w14:textId="77777777" w:rsidTr="00773A9F">
        <w:trPr>
          <w:cnfStyle w:val="000000010000" w:firstRow="0" w:lastRow="0" w:firstColumn="0" w:lastColumn="0" w:oddVBand="0" w:evenVBand="0" w:oddHBand="0" w:evenHBand="1" w:firstRowFirstColumn="0" w:firstRowLastColumn="0" w:lastRowFirstColumn="0" w:lastRowLastColumn="0"/>
        </w:trPr>
        <w:tc>
          <w:tcPr>
            <w:tcW w:w="0" w:type="auto"/>
            <w:hideMark/>
          </w:tcPr>
          <w:p w14:paraId="03ADEE08" w14:textId="77777777" w:rsidR="00510214" w:rsidRDefault="00510214">
            <w:pPr>
              <w:pStyle w:val="NormalWeb"/>
            </w:pPr>
            <w:r>
              <w:t>Second-line injectable resistance</w:t>
            </w:r>
          </w:p>
        </w:tc>
        <w:tc>
          <w:tcPr>
            <w:tcW w:w="0" w:type="auto"/>
            <w:hideMark/>
          </w:tcPr>
          <w:p w14:paraId="42916D9E" w14:textId="77777777" w:rsidR="00510214" w:rsidRDefault="00510214" w:rsidP="00773A9F">
            <w:pPr>
              <w:pStyle w:val="NormalWeb"/>
              <w:jc w:val="center"/>
            </w:pPr>
            <w:r>
              <w:t>0.63 (0.13–2.97)</w:t>
            </w:r>
          </w:p>
        </w:tc>
        <w:tc>
          <w:tcPr>
            <w:tcW w:w="1769" w:type="dxa"/>
            <w:hideMark/>
          </w:tcPr>
          <w:p w14:paraId="60270F87" w14:textId="77777777" w:rsidR="00510214" w:rsidRDefault="00510214" w:rsidP="00773A9F">
            <w:pPr>
              <w:pStyle w:val="NormalWeb"/>
              <w:jc w:val="center"/>
            </w:pPr>
            <w:r>
              <w:t>0.559</w:t>
            </w:r>
          </w:p>
        </w:tc>
      </w:tr>
      <w:tr w:rsidR="00510214" w14:paraId="72A35157" w14:textId="77777777" w:rsidTr="00773A9F">
        <w:tc>
          <w:tcPr>
            <w:tcW w:w="0" w:type="auto"/>
            <w:hideMark/>
          </w:tcPr>
          <w:p w14:paraId="6686A826" w14:textId="77777777" w:rsidR="00510214" w:rsidRDefault="00510214">
            <w:pPr>
              <w:pStyle w:val="NormalWeb"/>
            </w:pPr>
            <w:r>
              <w:t>XDR-TB</w:t>
            </w:r>
          </w:p>
        </w:tc>
        <w:tc>
          <w:tcPr>
            <w:tcW w:w="0" w:type="auto"/>
            <w:hideMark/>
          </w:tcPr>
          <w:p w14:paraId="56EDA793" w14:textId="77777777" w:rsidR="00510214" w:rsidRDefault="00510214" w:rsidP="00773A9F">
            <w:pPr>
              <w:pStyle w:val="NormalWeb"/>
              <w:jc w:val="center"/>
            </w:pPr>
            <w:r>
              <w:t>0.13 (0.02–0.82)</w:t>
            </w:r>
          </w:p>
        </w:tc>
        <w:tc>
          <w:tcPr>
            <w:tcW w:w="1769" w:type="dxa"/>
            <w:hideMark/>
          </w:tcPr>
          <w:p w14:paraId="76429036" w14:textId="77777777" w:rsidR="00510214" w:rsidRDefault="00510214" w:rsidP="00773A9F">
            <w:pPr>
              <w:pStyle w:val="NormalWeb"/>
              <w:jc w:val="center"/>
            </w:pPr>
            <w:r>
              <w:t>0.029</w:t>
            </w:r>
            <w:r w:rsidRPr="00A940CD">
              <w:rPr>
                <w:vertAlign w:val="superscript"/>
              </w:rPr>
              <w:t>a</w:t>
            </w:r>
          </w:p>
        </w:tc>
      </w:tr>
      <w:tr w:rsidR="001E2B20" w:rsidRPr="001E2B20" w14:paraId="50F3E381" w14:textId="77777777" w:rsidTr="001E2B20">
        <w:trPr>
          <w:cnfStyle w:val="000000010000" w:firstRow="0" w:lastRow="0" w:firstColumn="0" w:lastColumn="0" w:oddVBand="0" w:evenVBand="0" w:oddHBand="0" w:evenHBand="1" w:firstRowFirstColumn="0" w:firstRowLastColumn="0" w:lastRowFirstColumn="0" w:lastRowLastColumn="0"/>
        </w:trPr>
        <w:tc>
          <w:tcPr>
            <w:tcW w:w="10440" w:type="dxa"/>
            <w:gridSpan w:val="3"/>
            <w:shd w:val="clear" w:color="auto" w:fill="808080" w:themeFill="background1" w:themeFillShade="80"/>
            <w:hideMark/>
          </w:tcPr>
          <w:p w14:paraId="7E745BD5" w14:textId="77777777" w:rsidR="00510214" w:rsidRPr="001E2B20" w:rsidRDefault="00510214" w:rsidP="00773A9F">
            <w:pPr>
              <w:pStyle w:val="NormalWeb"/>
              <w:rPr>
                <w:b/>
                <w:color w:val="FFFFFF" w:themeColor="background1"/>
              </w:rPr>
            </w:pPr>
            <w:r w:rsidRPr="001E2B20">
              <w:rPr>
                <w:b/>
                <w:color w:val="FFFFFF" w:themeColor="background1"/>
              </w:rPr>
              <w:t>Selected risk factors for TB acquisition</w:t>
            </w:r>
          </w:p>
        </w:tc>
      </w:tr>
      <w:tr w:rsidR="00510214" w14:paraId="003F07E6" w14:textId="77777777" w:rsidTr="00773A9F">
        <w:tc>
          <w:tcPr>
            <w:tcW w:w="0" w:type="auto"/>
            <w:hideMark/>
          </w:tcPr>
          <w:p w14:paraId="376B9FB5" w14:textId="77777777" w:rsidR="00510214" w:rsidRDefault="00510214">
            <w:pPr>
              <w:pStyle w:val="NormalWeb"/>
            </w:pPr>
            <w:r>
              <w:t>TB high risk country: past travel or residence</w:t>
            </w:r>
          </w:p>
        </w:tc>
        <w:tc>
          <w:tcPr>
            <w:tcW w:w="0" w:type="auto"/>
            <w:hideMark/>
          </w:tcPr>
          <w:p w14:paraId="36DAC669" w14:textId="77777777" w:rsidR="00510214" w:rsidRDefault="00510214" w:rsidP="00773A9F">
            <w:pPr>
              <w:pStyle w:val="NormalWeb"/>
              <w:jc w:val="center"/>
            </w:pPr>
            <w:r>
              <w:t>1.04 (0.36–3.03)</w:t>
            </w:r>
          </w:p>
        </w:tc>
        <w:tc>
          <w:tcPr>
            <w:tcW w:w="1769" w:type="dxa"/>
            <w:hideMark/>
          </w:tcPr>
          <w:p w14:paraId="01FA73F4" w14:textId="77777777" w:rsidR="00510214" w:rsidRDefault="00510214" w:rsidP="00773A9F">
            <w:pPr>
              <w:pStyle w:val="NormalWeb"/>
              <w:jc w:val="center"/>
            </w:pPr>
            <w:r>
              <w:t>0.946</w:t>
            </w:r>
          </w:p>
        </w:tc>
      </w:tr>
      <w:tr w:rsidR="00510214" w14:paraId="0D431E20" w14:textId="77777777" w:rsidTr="004519C5">
        <w:trPr>
          <w:cnfStyle w:val="000000010000" w:firstRow="0" w:lastRow="0" w:firstColumn="0" w:lastColumn="0" w:oddVBand="0" w:evenVBand="0" w:oddHBand="0" w:evenHBand="1" w:firstRowFirstColumn="0" w:firstRowLastColumn="0" w:lastRowFirstColumn="0" w:lastRowLastColumn="0"/>
        </w:trPr>
        <w:tc>
          <w:tcPr>
            <w:tcW w:w="0" w:type="auto"/>
            <w:hideMark/>
          </w:tcPr>
          <w:p w14:paraId="0D1EB523" w14:textId="77777777" w:rsidR="00510214" w:rsidRDefault="00510214">
            <w:pPr>
              <w:pStyle w:val="NormalWeb"/>
            </w:pPr>
            <w:r>
              <w:t>Close/household contact with TB case</w:t>
            </w:r>
          </w:p>
        </w:tc>
        <w:tc>
          <w:tcPr>
            <w:tcW w:w="0" w:type="auto"/>
            <w:hideMark/>
          </w:tcPr>
          <w:p w14:paraId="6E17BB20" w14:textId="77777777" w:rsidR="00510214" w:rsidRDefault="00510214" w:rsidP="00773A9F">
            <w:pPr>
              <w:pStyle w:val="NormalWeb"/>
              <w:jc w:val="center"/>
            </w:pPr>
            <w:r>
              <w:t>0.38 (0.12–1.26)</w:t>
            </w:r>
          </w:p>
        </w:tc>
        <w:tc>
          <w:tcPr>
            <w:tcW w:w="1769" w:type="dxa"/>
            <w:hideMark/>
          </w:tcPr>
          <w:p w14:paraId="1F72AC27" w14:textId="77777777" w:rsidR="00510214" w:rsidRDefault="00510214" w:rsidP="00773A9F">
            <w:pPr>
              <w:pStyle w:val="NormalWeb"/>
              <w:jc w:val="center"/>
            </w:pPr>
            <w:r>
              <w:t>0.115</w:t>
            </w:r>
          </w:p>
        </w:tc>
      </w:tr>
      <w:tr w:rsidR="00510214" w14:paraId="6FBD521A" w14:textId="77777777" w:rsidTr="004519C5">
        <w:tc>
          <w:tcPr>
            <w:tcW w:w="0" w:type="auto"/>
            <w:tcBorders>
              <w:bottom w:val="single" w:sz="4" w:space="0" w:color="auto"/>
            </w:tcBorders>
            <w:hideMark/>
          </w:tcPr>
          <w:p w14:paraId="62E76FD0" w14:textId="77777777" w:rsidR="00510214" w:rsidRDefault="00510214">
            <w:pPr>
              <w:pStyle w:val="NormalWeb"/>
            </w:pPr>
            <w:r>
              <w:t>Health industry employment</w:t>
            </w:r>
          </w:p>
        </w:tc>
        <w:tc>
          <w:tcPr>
            <w:tcW w:w="0" w:type="auto"/>
            <w:tcBorders>
              <w:bottom w:val="single" w:sz="4" w:space="0" w:color="auto"/>
            </w:tcBorders>
            <w:hideMark/>
          </w:tcPr>
          <w:p w14:paraId="63B9759F" w14:textId="77777777" w:rsidR="00510214" w:rsidRDefault="00510214" w:rsidP="00773A9F">
            <w:pPr>
              <w:pStyle w:val="NormalWeb"/>
              <w:jc w:val="center"/>
            </w:pPr>
            <w:r>
              <w:t>1.68 (0.21–13.29)</w:t>
            </w:r>
          </w:p>
        </w:tc>
        <w:tc>
          <w:tcPr>
            <w:tcW w:w="1769" w:type="dxa"/>
            <w:tcBorders>
              <w:bottom w:val="single" w:sz="4" w:space="0" w:color="auto"/>
            </w:tcBorders>
            <w:hideMark/>
          </w:tcPr>
          <w:p w14:paraId="5CE246A7" w14:textId="77777777" w:rsidR="00510214" w:rsidRDefault="00510214" w:rsidP="00773A9F">
            <w:pPr>
              <w:pStyle w:val="NormalWeb"/>
              <w:jc w:val="center"/>
            </w:pPr>
            <w:r>
              <w:t>0.620</w:t>
            </w:r>
          </w:p>
        </w:tc>
      </w:tr>
    </w:tbl>
    <w:p w14:paraId="4D039CB1" w14:textId="77777777" w:rsidR="00510214" w:rsidRDefault="00510214" w:rsidP="004519C5">
      <w:pPr>
        <w:pStyle w:val="CDIfootnotes"/>
        <w:spacing w:after="0" w:afterAutospacing="0"/>
      </w:pPr>
      <w:r>
        <w:t>a</w:t>
      </w:r>
      <w:r>
        <w:tab/>
        <w:t>Statistically significant at α = 0.05.</w:t>
      </w:r>
    </w:p>
    <w:p w14:paraId="1E9F05D9" w14:textId="77777777" w:rsidR="00510214" w:rsidRDefault="00510214" w:rsidP="004519C5">
      <w:pPr>
        <w:pStyle w:val="CDIfootnotes"/>
        <w:spacing w:before="0" w:beforeAutospacing="0"/>
      </w:pPr>
      <w:r>
        <w:t>b</w:t>
      </w:r>
      <w:r>
        <w:tab/>
        <w:t xml:space="preserve">Odds ratio, confidence interval and </w:t>
      </w:r>
      <w:r w:rsidRPr="004519C5">
        <w:rPr>
          <w:i/>
        </w:rPr>
        <w:t>p</w:t>
      </w:r>
      <w:r>
        <w:t xml:space="preserve"> value calculated using exact logistic regression.</w:t>
      </w:r>
    </w:p>
    <w:p w14:paraId="55B01D9D" w14:textId="77777777" w:rsidR="00510214" w:rsidRDefault="00510214" w:rsidP="008B5166">
      <w:pPr>
        <w:pStyle w:val="CDIFigures"/>
      </w:pPr>
      <w:r>
        <w:t>Table 5: Factors associated with treatment success on multivariable analyses</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his table presents a summary of the results of multivariable analysis investigating the association between treatment success and selected demographic, clinical, TB treatment, TB drug resistance profile and selected risk factors for TB acquisition. After adjusting for other factors, only case notifications from Queensland (OR: 0.06, 95% CI: 0.01–0.48, p-value: 0.009) and XDR-TB cases (OR: 0.06, 95% CI: 0.01–0.63, p-value: 0.020) remained associated with no treatment success; whereas treatment with fluoroquinolones remained significantly associated with treatment success (OR: 7.02, 95% CI: 1.77–27.86, p-value: 0.006).&#10;"/>
      </w:tblPr>
      <w:tblGrid>
        <w:gridCol w:w="5812"/>
        <w:gridCol w:w="2410"/>
        <w:gridCol w:w="2244"/>
      </w:tblGrid>
      <w:tr w:rsidR="0070796A" w:rsidRPr="0070796A" w14:paraId="67C90917" w14:textId="77777777" w:rsidTr="00D66916">
        <w:trPr>
          <w:cnfStyle w:val="100000000000" w:firstRow="1" w:lastRow="0" w:firstColumn="0" w:lastColumn="0" w:oddVBand="0" w:evenVBand="0" w:oddHBand="0" w:evenHBand="0" w:firstRowFirstColumn="0" w:firstRowLastColumn="0" w:lastRowFirstColumn="0" w:lastRowLastColumn="0"/>
          <w:tblHeader/>
        </w:trPr>
        <w:tc>
          <w:tcPr>
            <w:tcW w:w="5812" w:type="dxa"/>
            <w:vMerge w:val="restart"/>
            <w:tcBorders>
              <w:bottom w:val="single" w:sz="2" w:space="0" w:color="FFFFFF" w:themeColor="background1"/>
              <w:right w:val="single" w:sz="2" w:space="0" w:color="FFFFFF" w:themeColor="background1"/>
            </w:tcBorders>
            <w:hideMark/>
          </w:tcPr>
          <w:p w14:paraId="606CEA52" w14:textId="77777777" w:rsidR="00510214" w:rsidRPr="0070796A" w:rsidRDefault="00510214">
            <w:pPr>
              <w:pStyle w:val="NormalWeb"/>
              <w:rPr>
                <w:color w:val="FFFFFF" w:themeColor="background1"/>
              </w:rPr>
            </w:pPr>
            <w:r w:rsidRPr="0070796A">
              <w:rPr>
                <w:color w:val="FFFFFF" w:themeColor="background1"/>
              </w:rPr>
              <w:t>Variables included</w:t>
            </w:r>
          </w:p>
        </w:tc>
        <w:tc>
          <w:tcPr>
            <w:tcW w:w="4654" w:type="dxa"/>
            <w:gridSpan w:val="2"/>
            <w:tcBorders>
              <w:left w:val="single" w:sz="2" w:space="0" w:color="FFFFFF" w:themeColor="background1"/>
              <w:bottom w:val="single" w:sz="2" w:space="0" w:color="FFFFFF" w:themeColor="background1"/>
            </w:tcBorders>
            <w:hideMark/>
          </w:tcPr>
          <w:p w14:paraId="4D664745" w14:textId="77777777" w:rsidR="00510214" w:rsidRPr="0070796A" w:rsidRDefault="00510214" w:rsidP="00A47C53">
            <w:pPr>
              <w:pStyle w:val="NormalWeb"/>
              <w:jc w:val="center"/>
              <w:rPr>
                <w:color w:val="FFFFFF" w:themeColor="background1"/>
              </w:rPr>
            </w:pPr>
            <w:r w:rsidRPr="0070796A">
              <w:rPr>
                <w:color w:val="FFFFFF" w:themeColor="background1"/>
              </w:rPr>
              <w:t>Treatment outcome (n = 251)</w:t>
            </w:r>
          </w:p>
        </w:tc>
      </w:tr>
      <w:tr w:rsidR="0070796A" w:rsidRPr="0070796A" w14:paraId="26968AD2" w14:textId="77777777" w:rsidTr="00D66916">
        <w:trPr>
          <w:cnfStyle w:val="100000000000" w:firstRow="1" w:lastRow="0" w:firstColumn="0" w:lastColumn="0" w:oddVBand="0" w:evenVBand="0" w:oddHBand="0" w:evenHBand="0" w:firstRowFirstColumn="0" w:firstRowLastColumn="0" w:lastRowFirstColumn="0" w:lastRowLastColumn="0"/>
          <w:tblHeader/>
        </w:trPr>
        <w:tc>
          <w:tcPr>
            <w:tcW w:w="5812" w:type="dxa"/>
            <w:vMerge/>
            <w:tcBorders>
              <w:top w:val="single" w:sz="2" w:space="0" w:color="FFFFFF" w:themeColor="background1"/>
              <w:bottom w:val="single" w:sz="2" w:space="0" w:color="FFFFFF" w:themeColor="background1"/>
              <w:right w:val="single" w:sz="2" w:space="0" w:color="FFFFFF" w:themeColor="background1"/>
            </w:tcBorders>
            <w:hideMark/>
          </w:tcPr>
          <w:p w14:paraId="266EAE32" w14:textId="77777777" w:rsidR="00510214" w:rsidRPr="0070796A" w:rsidRDefault="00510214">
            <w:pPr>
              <w:rPr>
                <w:color w:val="FFFFFF" w:themeColor="background1"/>
                <w:sz w:val="24"/>
                <w:szCs w:val="24"/>
              </w:rPr>
            </w:pPr>
          </w:p>
        </w:tc>
        <w:tc>
          <w:tcPr>
            <w:tcW w:w="4654" w:type="dxa"/>
            <w:gridSpan w:val="2"/>
            <w:tcBorders>
              <w:top w:val="single" w:sz="2" w:space="0" w:color="FFFFFF" w:themeColor="background1"/>
              <w:left w:val="single" w:sz="2" w:space="0" w:color="FFFFFF" w:themeColor="background1"/>
              <w:bottom w:val="single" w:sz="2" w:space="0" w:color="FFFFFF" w:themeColor="background1"/>
            </w:tcBorders>
            <w:hideMark/>
          </w:tcPr>
          <w:p w14:paraId="7F1D6AC9" w14:textId="77777777" w:rsidR="00510214" w:rsidRPr="0070796A" w:rsidRDefault="00510214" w:rsidP="00A47C53">
            <w:pPr>
              <w:pStyle w:val="NormalWeb"/>
              <w:jc w:val="center"/>
              <w:rPr>
                <w:color w:val="FFFFFF" w:themeColor="background1"/>
              </w:rPr>
            </w:pPr>
            <w:r w:rsidRPr="0070796A">
              <w:rPr>
                <w:color w:val="FFFFFF" w:themeColor="background1"/>
              </w:rPr>
              <w:t>Multivariable analysis</w:t>
            </w:r>
          </w:p>
        </w:tc>
      </w:tr>
      <w:tr w:rsidR="0070796A" w:rsidRPr="0070796A" w14:paraId="19F611B9" w14:textId="77777777" w:rsidTr="00D66916">
        <w:trPr>
          <w:cnfStyle w:val="100000000000" w:firstRow="1" w:lastRow="0" w:firstColumn="0" w:lastColumn="0" w:oddVBand="0" w:evenVBand="0" w:oddHBand="0" w:evenHBand="0" w:firstRowFirstColumn="0" w:firstRowLastColumn="0" w:lastRowFirstColumn="0" w:lastRowLastColumn="0"/>
          <w:tblHeader/>
        </w:trPr>
        <w:tc>
          <w:tcPr>
            <w:tcW w:w="5812" w:type="dxa"/>
            <w:vMerge/>
            <w:tcBorders>
              <w:top w:val="single" w:sz="2" w:space="0" w:color="FFFFFF" w:themeColor="background1"/>
              <w:right w:val="single" w:sz="2" w:space="0" w:color="FFFFFF" w:themeColor="background1"/>
            </w:tcBorders>
            <w:hideMark/>
          </w:tcPr>
          <w:p w14:paraId="7858600B" w14:textId="77777777" w:rsidR="00510214" w:rsidRPr="0070796A" w:rsidRDefault="00510214">
            <w:pPr>
              <w:rPr>
                <w:color w:val="FFFFFF" w:themeColor="background1"/>
                <w:sz w:val="24"/>
                <w:szCs w:val="24"/>
              </w:rPr>
            </w:pPr>
          </w:p>
        </w:tc>
        <w:tc>
          <w:tcPr>
            <w:tcW w:w="2410" w:type="dxa"/>
            <w:tcBorders>
              <w:top w:val="single" w:sz="2" w:space="0" w:color="FFFFFF" w:themeColor="background1"/>
              <w:left w:val="single" w:sz="2" w:space="0" w:color="FFFFFF" w:themeColor="background1"/>
              <w:right w:val="single" w:sz="2" w:space="0" w:color="FFFFFF" w:themeColor="background1"/>
            </w:tcBorders>
            <w:hideMark/>
          </w:tcPr>
          <w:p w14:paraId="71698A51" w14:textId="77777777" w:rsidR="00510214" w:rsidRPr="0070796A" w:rsidRDefault="00510214" w:rsidP="00A47C53">
            <w:pPr>
              <w:pStyle w:val="NormalWeb"/>
              <w:jc w:val="center"/>
              <w:rPr>
                <w:color w:val="FFFFFF" w:themeColor="background1"/>
              </w:rPr>
            </w:pPr>
            <w:r w:rsidRPr="0070796A">
              <w:rPr>
                <w:color w:val="FFFFFF" w:themeColor="background1"/>
              </w:rPr>
              <w:t>Adjusted OR (95% CI)</w:t>
            </w:r>
          </w:p>
        </w:tc>
        <w:tc>
          <w:tcPr>
            <w:tcW w:w="2244" w:type="dxa"/>
            <w:tcBorders>
              <w:top w:val="single" w:sz="2" w:space="0" w:color="FFFFFF" w:themeColor="background1"/>
              <w:left w:val="single" w:sz="2" w:space="0" w:color="FFFFFF" w:themeColor="background1"/>
            </w:tcBorders>
            <w:hideMark/>
          </w:tcPr>
          <w:p w14:paraId="78EC3D3C" w14:textId="77777777" w:rsidR="00510214" w:rsidRPr="0070796A" w:rsidRDefault="00510214" w:rsidP="00A47C53">
            <w:pPr>
              <w:pStyle w:val="NormalWeb"/>
              <w:jc w:val="center"/>
              <w:rPr>
                <w:color w:val="FFFFFF" w:themeColor="background1"/>
              </w:rPr>
            </w:pPr>
            <w:r w:rsidRPr="0070796A">
              <w:rPr>
                <w:color w:val="FFFFFF" w:themeColor="background1"/>
              </w:rPr>
              <w:t>p value</w:t>
            </w:r>
          </w:p>
        </w:tc>
      </w:tr>
      <w:tr w:rsidR="006A2B95" w:rsidRPr="006A2B95" w14:paraId="35C992CC" w14:textId="77777777" w:rsidTr="006A2B95">
        <w:tc>
          <w:tcPr>
            <w:tcW w:w="10466" w:type="dxa"/>
            <w:gridSpan w:val="3"/>
            <w:shd w:val="clear" w:color="auto" w:fill="808080" w:themeFill="background1" w:themeFillShade="80"/>
            <w:hideMark/>
          </w:tcPr>
          <w:p w14:paraId="1012A17B" w14:textId="77777777" w:rsidR="00510214" w:rsidRPr="006A2B95" w:rsidRDefault="00510214" w:rsidP="00A47C53">
            <w:pPr>
              <w:pStyle w:val="NormalWeb"/>
              <w:rPr>
                <w:b/>
                <w:color w:val="FFFFFF" w:themeColor="background1"/>
              </w:rPr>
            </w:pPr>
            <w:r w:rsidRPr="006A2B95">
              <w:rPr>
                <w:b/>
                <w:color w:val="FFFFFF" w:themeColor="background1"/>
              </w:rPr>
              <w:t>Demographic</w:t>
            </w:r>
          </w:p>
        </w:tc>
      </w:tr>
      <w:tr w:rsidR="00510214" w14:paraId="34EDEE4A" w14:textId="77777777" w:rsidTr="00A47C53">
        <w:trPr>
          <w:cnfStyle w:val="000000010000" w:firstRow="0" w:lastRow="0" w:firstColumn="0" w:lastColumn="0" w:oddVBand="0" w:evenVBand="0" w:oddHBand="0" w:evenHBand="1" w:firstRowFirstColumn="0" w:firstRowLastColumn="0" w:lastRowFirstColumn="0" w:lastRowLastColumn="0"/>
        </w:trPr>
        <w:tc>
          <w:tcPr>
            <w:tcW w:w="5812" w:type="dxa"/>
            <w:hideMark/>
          </w:tcPr>
          <w:p w14:paraId="11116EE9" w14:textId="77777777" w:rsidR="00510214" w:rsidRDefault="00510214">
            <w:pPr>
              <w:pStyle w:val="NormalWeb"/>
            </w:pPr>
            <w:r>
              <w:t>Notifying jurisdiction: Qld</w:t>
            </w:r>
          </w:p>
        </w:tc>
        <w:tc>
          <w:tcPr>
            <w:tcW w:w="2410" w:type="dxa"/>
            <w:hideMark/>
          </w:tcPr>
          <w:p w14:paraId="64D8891B" w14:textId="77777777" w:rsidR="00510214" w:rsidRDefault="00510214" w:rsidP="00A47C53">
            <w:pPr>
              <w:pStyle w:val="NormalWeb"/>
              <w:jc w:val="center"/>
            </w:pPr>
            <w:r>
              <w:t>0.06 (0.01–0.48)</w:t>
            </w:r>
          </w:p>
        </w:tc>
        <w:tc>
          <w:tcPr>
            <w:tcW w:w="2244" w:type="dxa"/>
            <w:hideMark/>
          </w:tcPr>
          <w:p w14:paraId="6210ADF1" w14:textId="77777777" w:rsidR="00510214" w:rsidRDefault="00510214" w:rsidP="00A47C53">
            <w:pPr>
              <w:pStyle w:val="NormalWeb"/>
              <w:jc w:val="center"/>
            </w:pPr>
            <w:r>
              <w:t>0.009</w:t>
            </w:r>
            <w:r w:rsidRPr="001A01F1">
              <w:rPr>
                <w:vertAlign w:val="superscript"/>
              </w:rPr>
              <w:t>a</w:t>
            </w:r>
          </w:p>
        </w:tc>
      </w:tr>
      <w:tr w:rsidR="006A2B95" w:rsidRPr="006A2B95" w14:paraId="45C209C4" w14:textId="77777777" w:rsidTr="006A2B95">
        <w:tc>
          <w:tcPr>
            <w:tcW w:w="10466" w:type="dxa"/>
            <w:gridSpan w:val="3"/>
            <w:shd w:val="clear" w:color="auto" w:fill="808080" w:themeFill="background1" w:themeFillShade="80"/>
            <w:hideMark/>
          </w:tcPr>
          <w:p w14:paraId="26DB4A67" w14:textId="77777777" w:rsidR="00510214" w:rsidRPr="006A2B95" w:rsidRDefault="00510214" w:rsidP="00A47C53">
            <w:pPr>
              <w:pStyle w:val="NormalWeb"/>
              <w:rPr>
                <w:b/>
                <w:color w:val="FFFFFF" w:themeColor="background1"/>
              </w:rPr>
            </w:pPr>
            <w:r w:rsidRPr="006A2B95">
              <w:rPr>
                <w:b/>
                <w:color w:val="FFFFFF" w:themeColor="background1"/>
              </w:rPr>
              <w:t>TB treatment</w:t>
            </w:r>
          </w:p>
        </w:tc>
      </w:tr>
      <w:tr w:rsidR="00510214" w14:paraId="59A91FB7" w14:textId="77777777" w:rsidTr="00A47C53">
        <w:trPr>
          <w:cnfStyle w:val="000000010000" w:firstRow="0" w:lastRow="0" w:firstColumn="0" w:lastColumn="0" w:oddVBand="0" w:evenVBand="0" w:oddHBand="0" w:evenHBand="1" w:firstRowFirstColumn="0" w:firstRowLastColumn="0" w:lastRowFirstColumn="0" w:lastRowLastColumn="0"/>
        </w:trPr>
        <w:tc>
          <w:tcPr>
            <w:tcW w:w="5812" w:type="dxa"/>
            <w:hideMark/>
          </w:tcPr>
          <w:p w14:paraId="3FFD6E75" w14:textId="77777777" w:rsidR="00510214" w:rsidRDefault="00510214">
            <w:pPr>
              <w:pStyle w:val="NormalWeb"/>
            </w:pPr>
            <w:r>
              <w:t>Fluoroquinolone treatment</w:t>
            </w:r>
          </w:p>
        </w:tc>
        <w:tc>
          <w:tcPr>
            <w:tcW w:w="2410" w:type="dxa"/>
            <w:hideMark/>
          </w:tcPr>
          <w:p w14:paraId="78835891" w14:textId="77777777" w:rsidR="00510214" w:rsidRDefault="00510214" w:rsidP="00A47C53">
            <w:pPr>
              <w:pStyle w:val="NormalWeb"/>
              <w:jc w:val="center"/>
            </w:pPr>
            <w:r>
              <w:t>7.02 (1.77–27.86)</w:t>
            </w:r>
          </w:p>
        </w:tc>
        <w:tc>
          <w:tcPr>
            <w:tcW w:w="2244" w:type="dxa"/>
            <w:hideMark/>
          </w:tcPr>
          <w:p w14:paraId="61E99940" w14:textId="77777777" w:rsidR="00510214" w:rsidRDefault="00510214" w:rsidP="00A47C53">
            <w:pPr>
              <w:pStyle w:val="NormalWeb"/>
              <w:jc w:val="center"/>
            </w:pPr>
            <w:r>
              <w:t>0.006</w:t>
            </w:r>
            <w:r w:rsidRPr="001A01F1">
              <w:rPr>
                <w:vertAlign w:val="superscript"/>
              </w:rPr>
              <w:t>a</w:t>
            </w:r>
          </w:p>
        </w:tc>
      </w:tr>
      <w:tr w:rsidR="006A2B95" w:rsidRPr="006A2B95" w14:paraId="5543C68A" w14:textId="77777777" w:rsidTr="006A2B95">
        <w:tc>
          <w:tcPr>
            <w:tcW w:w="10466" w:type="dxa"/>
            <w:gridSpan w:val="3"/>
            <w:shd w:val="clear" w:color="auto" w:fill="808080" w:themeFill="background1" w:themeFillShade="80"/>
            <w:hideMark/>
          </w:tcPr>
          <w:p w14:paraId="483285CC" w14:textId="77777777" w:rsidR="00510214" w:rsidRPr="006A2B95" w:rsidRDefault="00510214" w:rsidP="00A47C53">
            <w:pPr>
              <w:pStyle w:val="NormalWeb"/>
              <w:rPr>
                <w:b/>
                <w:color w:val="FFFFFF" w:themeColor="background1"/>
              </w:rPr>
            </w:pPr>
            <w:r w:rsidRPr="006A2B95">
              <w:rPr>
                <w:b/>
                <w:color w:val="FFFFFF" w:themeColor="background1"/>
              </w:rPr>
              <w:t>TB drug resistance profile</w:t>
            </w:r>
          </w:p>
        </w:tc>
      </w:tr>
      <w:tr w:rsidR="00510214" w14:paraId="2DF30551" w14:textId="77777777" w:rsidTr="00A47C53">
        <w:trPr>
          <w:cnfStyle w:val="000000010000" w:firstRow="0" w:lastRow="0" w:firstColumn="0" w:lastColumn="0" w:oddVBand="0" w:evenVBand="0" w:oddHBand="0" w:evenHBand="1" w:firstRowFirstColumn="0" w:firstRowLastColumn="0" w:lastRowFirstColumn="0" w:lastRowLastColumn="0"/>
        </w:trPr>
        <w:tc>
          <w:tcPr>
            <w:tcW w:w="5812" w:type="dxa"/>
            <w:hideMark/>
          </w:tcPr>
          <w:p w14:paraId="24247766" w14:textId="77777777" w:rsidR="00510214" w:rsidRDefault="00510214">
            <w:pPr>
              <w:pStyle w:val="NormalWeb"/>
            </w:pPr>
            <w:r>
              <w:t>XDR-TB</w:t>
            </w:r>
          </w:p>
        </w:tc>
        <w:tc>
          <w:tcPr>
            <w:tcW w:w="2410" w:type="dxa"/>
            <w:hideMark/>
          </w:tcPr>
          <w:p w14:paraId="260540AC" w14:textId="77777777" w:rsidR="00510214" w:rsidRDefault="00510214" w:rsidP="00A47C53">
            <w:pPr>
              <w:pStyle w:val="NormalWeb"/>
              <w:jc w:val="center"/>
            </w:pPr>
            <w:r>
              <w:t>0.06 (0.01–0.63)</w:t>
            </w:r>
          </w:p>
        </w:tc>
        <w:tc>
          <w:tcPr>
            <w:tcW w:w="2244" w:type="dxa"/>
            <w:hideMark/>
          </w:tcPr>
          <w:p w14:paraId="328EDE4D" w14:textId="77777777" w:rsidR="00510214" w:rsidRDefault="00510214" w:rsidP="00A47C53">
            <w:pPr>
              <w:pStyle w:val="NormalWeb"/>
              <w:jc w:val="center"/>
            </w:pPr>
            <w:r>
              <w:t>0.020</w:t>
            </w:r>
            <w:r w:rsidRPr="001A01F1">
              <w:rPr>
                <w:vertAlign w:val="superscript"/>
              </w:rPr>
              <w:t>a</w:t>
            </w:r>
          </w:p>
        </w:tc>
      </w:tr>
    </w:tbl>
    <w:p w14:paraId="5F1FC9FE" w14:textId="77777777" w:rsidR="00D22824" w:rsidRDefault="0069060C" w:rsidP="00D22824">
      <w:pPr>
        <w:pStyle w:val="CDIfootnotes"/>
      </w:pPr>
      <w:r>
        <w:t>a</w:t>
      </w:r>
      <w:r>
        <w:tab/>
      </w:r>
      <w:r w:rsidR="00510214">
        <w:t>Statistically significant at α = 0.05.</w:t>
      </w:r>
    </w:p>
    <w:p w14:paraId="6194FFBF" w14:textId="77777777" w:rsidR="00D22824" w:rsidRDefault="00D22824" w:rsidP="00D22824">
      <w:pPr>
        <w:pStyle w:val="CDIfootnotes"/>
      </w:pPr>
      <w:r w:rsidRPr="00D22824">
        <w:rPr>
          <w:noProof/>
        </w:rPr>
        <w:t xml:space="preserve"> </w:t>
      </w:r>
      <w:r>
        <w:rPr>
          <w:noProof/>
        </w:rPr>
        <mc:AlternateContent>
          <mc:Choice Requires="wps">
            <w:drawing>
              <wp:inline distT="0" distB="0" distL="0" distR="0" wp14:anchorId="1E93F1E0" wp14:editId="2CB2D30D">
                <wp:extent cx="6489497" cy="1901952"/>
                <wp:effectExtent l="0" t="0" r="26035" b="22225"/>
                <wp:docPr id="217" name="Text Box 2" descr="This text box presents a summary of data fields for proposed addition to the national TB dataset, as follows: date of laboratory confirmation of resistance, per drug; drug resistance detection method (drug susceptibility testing or molecular diagnostics); treatment start date, per drug; treatment end date, per drug; treatment completion date; treatment failure date; date of cure and date of death.&#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497" cy="1901952"/>
                        </a:xfrm>
                        <a:prstGeom prst="rect">
                          <a:avLst/>
                        </a:prstGeom>
                        <a:solidFill>
                          <a:schemeClr val="bg1">
                            <a:lumMod val="95000"/>
                          </a:schemeClr>
                        </a:solidFill>
                        <a:ln w="3175">
                          <a:solidFill>
                            <a:schemeClr val="bg1">
                              <a:lumMod val="75000"/>
                            </a:schemeClr>
                          </a:solidFill>
                          <a:miter lim="800000"/>
                          <a:headEnd/>
                          <a:tailEnd/>
                        </a:ln>
                      </wps:spPr>
                      <wps:txbx>
                        <w:txbxContent>
                          <w:p w14:paraId="2095A59E" w14:textId="77777777" w:rsidR="004E36B8" w:rsidRDefault="004E36B8" w:rsidP="00D22824">
                            <w:pPr>
                              <w:pStyle w:val="CDIFigures"/>
                            </w:pPr>
                            <w:r>
                              <w:t>Box 1: Summary of data fields for proposed addition to the national TB dataset</w:t>
                            </w:r>
                          </w:p>
                          <w:p w14:paraId="27FF6B34" w14:textId="77777777" w:rsidR="004E36B8" w:rsidRDefault="004E36B8" w:rsidP="00D22824">
                            <w:pPr>
                              <w:numPr>
                                <w:ilvl w:val="0"/>
                                <w:numId w:val="7"/>
                              </w:numPr>
                              <w:spacing w:before="100" w:beforeAutospacing="1" w:after="100" w:afterAutospacing="1" w:line="240" w:lineRule="auto"/>
                              <w:rPr>
                                <w:rFonts w:eastAsia="Times New Roman"/>
                              </w:rPr>
                            </w:pPr>
                            <w:r>
                              <w:rPr>
                                <w:rFonts w:eastAsia="Times New Roman"/>
                              </w:rPr>
                              <w:t>Date of laboratory confirmation of resistance, per drug</w:t>
                            </w:r>
                          </w:p>
                          <w:p w14:paraId="0CC06457" w14:textId="77777777" w:rsidR="004E36B8" w:rsidRDefault="004E36B8" w:rsidP="00D22824">
                            <w:pPr>
                              <w:numPr>
                                <w:ilvl w:val="0"/>
                                <w:numId w:val="7"/>
                              </w:numPr>
                              <w:spacing w:before="100" w:beforeAutospacing="1" w:after="100" w:afterAutospacing="1" w:line="240" w:lineRule="auto"/>
                              <w:rPr>
                                <w:rFonts w:eastAsia="Times New Roman"/>
                              </w:rPr>
                            </w:pPr>
                            <w:r>
                              <w:rPr>
                                <w:rFonts w:eastAsia="Times New Roman"/>
                              </w:rPr>
                              <w:t>Drug resistance detection method (DST or molecular diagnostics)</w:t>
                            </w:r>
                          </w:p>
                          <w:p w14:paraId="4BD604CB" w14:textId="77777777" w:rsidR="004E36B8" w:rsidRDefault="004E36B8" w:rsidP="00D22824">
                            <w:pPr>
                              <w:numPr>
                                <w:ilvl w:val="0"/>
                                <w:numId w:val="7"/>
                              </w:numPr>
                              <w:spacing w:before="100" w:beforeAutospacing="1" w:after="100" w:afterAutospacing="1" w:line="240" w:lineRule="auto"/>
                              <w:rPr>
                                <w:rFonts w:eastAsia="Times New Roman"/>
                              </w:rPr>
                            </w:pPr>
                            <w:r>
                              <w:rPr>
                                <w:rFonts w:eastAsia="Times New Roman"/>
                              </w:rPr>
                              <w:t>Treatment start date, per drug</w:t>
                            </w:r>
                          </w:p>
                          <w:p w14:paraId="6C82B982" w14:textId="77777777" w:rsidR="004E36B8" w:rsidRDefault="004E36B8" w:rsidP="00D22824">
                            <w:pPr>
                              <w:numPr>
                                <w:ilvl w:val="0"/>
                                <w:numId w:val="7"/>
                              </w:numPr>
                              <w:spacing w:before="100" w:beforeAutospacing="1" w:after="100" w:afterAutospacing="1" w:line="240" w:lineRule="auto"/>
                              <w:rPr>
                                <w:rFonts w:eastAsia="Times New Roman"/>
                              </w:rPr>
                            </w:pPr>
                            <w:r>
                              <w:rPr>
                                <w:rFonts w:eastAsia="Times New Roman"/>
                              </w:rPr>
                              <w:t>Treatment end date, per drug</w:t>
                            </w:r>
                          </w:p>
                          <w:p w14:paraId="6E13A14A" w14:textId="77777777" w:rsidR="004E36B8" w:rsidRDefault="004E36B8" w:rsidP="00D22824">
                            <w:pPr>
                              <w:numPr>
                                <w:ilvl w:val="0"/>
                                <w:numId w:val="7"/>
                              </w:numPr>
                              <w:spacing w:before="100" w:beforeAutospacing="1" w:after="100" w:afterAutospacing="1" w:line="240" w:lineRule="auto"/>
                              <w:rPr>
                                <w:rFonts w:eastAsia="Times New Roman"/>
                              </w:rPr>
                            </w:pPr>
                            <w:r>
                              <w:rPr>
                                <w:rFonts w:eastAsia="Times New Roman"/>
                              </w:rPr>
                              <w:t>Treatment completion date</w:t>
                            </w:r>
                          </w:p>
                          <w:p w14:paraId="021F97D6" w14:textId="77777777" w:rsidR="004E36B8" w:rsidRDefault="004E36B8" w:rsidP="00D22824">
                            <w:pPr>
                              <w:numPr>
                                <w:ilvl w:val="0"/>
                                <w:numId w:val="7"/>
                              </w:numPr>
                              <w:spacing w:before="100" w:beforeAutospacing="1" w:after="100" w:afterAutospacing="1" w:line="240" w:lineRule="auto"/>
                              <w:rPr>
                                <w:rFonts w:eastAsia="Times New Roman"/>
                              </w:rPr>
                            </w:pPr>
                            <w:r>
                              <w:rPr>
                                <w:rFonts w:eastAsia="Times New Roman"/>
                              </w:rPr>
                              <w:t>Treatment failure date</w:t>
                            </w:r>
                          </w:p>
                          <w:p w14:paraId="11109B47" w14:textId="77777777" w:rsidR="004E36B8" w:rsidRDefault="004E36B8" w:rsidP="00D22824">
                            <w:pPr>
                              <w:numPr>
                                <w:ilvl w:val="0"/>
                                <w:numId w:val="7"/>
                              </w:numPr>
                              <w:spacing w:before="100" w:beforeAutospacing="1" w:after="100" w:afterAutospacing="1" w:line="240" w:lineRule="auto"/>
                              <w:rPr>
                                <w:rFonts w:eastAsia="Times New Roman"/>
                              </w:rPr>
                            </w:pPr>
                            <w:r>
                              <w:rPr>
                                <w:rFonts w:eastAsia="Times New Roman"/>
                              </w:rPr>
                              <w:t>Date of cure</w:t>
                            </w:r>
                          </w:p>
                          <w:p w14:paraId="45219E8E" w14:textId="77777777" w:rsidR="004E36B8" w:rsidRDefault="004E36B8" w:rsidP="00D22824">
                            <w:pPr>
                              <w:numPr>
                                <w:ilvl w:val="0"/>
                                <w:numId w:val="7"/>
                              </w:numPr>
                              <w:spacing w:before="100" w:beforeAutospacing="1" w:after="100" w:afterAutospacing="1" w:line="240" w:lineRule="auto"/>
                              <w:rPr>
                                <w:rFonts w:eastAsia="Times New Roman"/>
                              </w:rPr>
                            </w:pPr>
                            <w:r>
                              <w:rPr>
                                <w:rFonts w:eastAsia="Times New Roman"/>
                              </w:rPr>
                              <w:t>Date of death</w:t>
                            </w:r>
                          </w:p>
                        </w:txbxContent>
                      </wps:txbx>
                      <wps:bodyPr rot="0" vert="horz" wrap="square" lIns="91440" tIns="45720" rIns="91440" bIns="45720" anchor="t" anchorCtr="0">
                        <a:noAutofit/>
                      </wps:bodyPr>
                    </wps:wsp>
                  </a:graphicData>
                </a:graphic>
              </wp:inline>
            </w:drawing>
          </mc:Choice>
          <mc:Fallback>
            <w:pict>
              <v:shapetype w14:anchorId="1E93F1E0" id="_x0000_t202" coordsize="21600,21600" o:spt="202" path="m,l,21600r21600,l21600,xe">
                <v:stroke joinstyle="miter"/>
                <v:path gradientshapeok="t" o:connecttype="rect"/>
              </v:shapetype>
              <v:shape id="Text Box 2" o:spid="_x0000_s1026" type="#_x0000_t202" alt="This text box presents a summary of data fields for proposed addition to the national TB dataset, as follows: date of laboratory confirmation of resistance, per drug; drug resistance detection method (drug susceptibility testing or molecular diagnostics); treatment start date, per drug; treatment end date, per drug; treatment completion date; treatment failure date; date of cure and date of death.&#10;" style="width:511pt;height:14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" fillcolor="#f2f2f2 [3052]" strokecolor="#bfbfbf [2412]" strokeweight=".25pt">
                <v:textbox>
                  <w:txbxContent>
                    <w:p w14:paraId="2095A59E" w14:textId="77777777" w:rsidR="004E36B8" w:rsidRDefault="004E36B8" w:rsidP="00D22824">
                      <w:pPr>
                        <w:pStyle w:val="CDIFigures"/>
                      </w:pPr>
                      <w:r>
                        <w:t>Box 1: Summary of data fields for proposed addition to the national TB dataset</w:t>
                      </w:r>
                    </w:p>
                    <w:p w14:paraId="27FF6B34" w14:textId="77777777" w:rsidR="004E36B8" w:rsidRDefault="004E36B8" w:rsidP="00D22824">
                      <w:pPr>
                        <w:numPr>
                          <w:ilvl w:val="0"/>
                          <w:numId w:val="7"/>
                        </w:numPr>
                        <w:spacing w:before="100" w:beforeAutospacing="1" w:after="100" w:afterAutospacing="1" w:line="240" w:lineRule="auto"/>
                        <w:rPr>
                          <w:rFonts w:eastAsia="Times New Roman"/>
                        </w:rPr>
                      </w:pPr>
                      <w:r>
                        <w:rPr>
                          <w:rFonts w:eastAsia="Times New Roman"/>
                        </w:rPr>
                        <w:t>Date of laboratory confirmation of resistance, per drug</w:t>
                      </w:r>
                    </w:p>
                    <w:p w14:paraId="0CC06457" w14:textId="77777777" w:rsidR="004E36B8" w:rsidRDefault="004E36B8" w:rsidP="00D22824">
                      <w:pPr>
                        <w:numPr>
                          <w:ilvl w:val="0"/>
                          <w:numId w:val="7"/>
                        </w:numPr>
                        <w:spacing w:before="100" w:beforeAutospacing="1" w:after="100" w:afterAutospacing="1" w:line="240" w:lineRule="auto"/>
                        <w:rPr>
                          <w:rFonts w:eastAsia="Times New Roman"/>
                        </w:rPr>
                      </w:pPr>
                      <w:r>
                        <w:rPr>
                          <w:rFonts w:eastAsia="Times New Roman"/>
                        </w:rPr>
                        <w:t>Drug resistance detection method (DST or molecular diagnostics)</w:t>
                      </w:r>
                    </w:p>
                    <w:p w14:paraId="4BD604CB" w14:textId="77777777" w:rsidR="004E36B8" w:rsidRDefault="004E36B8" w:rsidP="00D22824">
                      <w:pPr>
                        <w:numPr>
                          <w:ilvl w:val="0"/>
                          <w:numId w:val="7"/>
                        </w:numPr>
                        <w:spacing w:before="100" w:beforeAutospacing="1" w:after="100" w:afterAutospacing="1" w:line="240" w:lineRule="auto"/>
                        <w:rPr>
                          <w:rFonts w:eastAsia="Times New Roman"/>
                        </w:rPr>
                      </w:pPr>
                      <w:r>
                        <w:rPr>
                          <w:rFonts w:eastAsia="Times New Roman"/>
                        </w:rPr>
                        <w:t>Treatment start date, per drug</w:t>
                      </w:r>
                    </w:p>
                    <w:p w14:paraId="6C82B982" w14:textId="77777777" w:rsidR="004E36B8" w:rsidRDefault="004E36B8" w:rsidP="00D22824">
                      <w:pPr>
                        <w:numPr>
                          <w:ilvl w:val="0"/>
                          <w:numId w:val="7"/>
                        </w:numPr>
                        <w:spacing w:before="100" w:beforeAutospacing="1" w:after="100" w:afterAutospacing="1" w:line="240" w:lineRule="auto"/>
                        <w:rPr>
                          <w:rFonts w:eastAsia="Times New Roman"/>
                        </w:rPr>
                      </w:pPr>
                      <w:r>
                        <w:rPr>
                          <w:rFonts w:eastAsia="Times New Roman"/>
                        </w:rPr>
                        <w:t>Treatment end date, per drug</w:t>
                      </w:r>
                    </w:p>
                    <w:p w14:paraId="6E13A14A" w14:textId="77777777" w:rsidR="004E36B8" w:rsidRDefault="004E36B8" w:rsidP="00D22824">
                      <w:pPr>
                        <w:numPr>
                          <w:ilvl w:val="0"/>
                          <w:numId w:val="7"/>
                        </w:numPr>
                        <w:spacing w:before="100" w:beforeAutospacing="1" w:after="100" w:afterAutospacing="1" w:line="240" w:lineRule="auto"/>
                        <w:rPr>
                          <w:rFonts w:eastAsia="Times New Roman"/>
                        </w:rPr>
                      </w:pPr>
                      <w:r>
                        <w:rPr>
                          <w:rFonts w:eastAsia="Times New Roman"/>
                        </w:rPr>
                        <w:t>Treatment completion date</w:t>
                      </w:r>
                    </w:p>
                    <w:p w14:paraId="021F97D6" w14:textId="77777777" w:rsidR="004E36B8" w:rsidRDefault="004E36B8" w:rsidP="00D22824">
                      <w:pPr>
                        <w:numPr>
                          <w:ilvl w:val="0"/>
                          <w:numId w:val="7"/>
                        </w:numPr>
                        <w:spacing w:before="100" w:beforeAutospacing="1" w:after="100" w:afterAutospacing="1" w:line="240" w:lineRule="auto"/>
                        <w:rPr>
                          <w:rFonts w:eastAsia="Times New Roman"/>
                        </w:rPr>
                      </w:pPr>
                      <w:r>
                        <w:rPr>
                          <w:rFonts w:eastAsia="Times New Roman"/>
                        </w:rPr>
                        <w:t>Treatment failure date</w:t>
                      </w:r>
                    </w:p>
                    <w:p w14:paraId="11109B47" w14:textId="77777777" w:rsidR="004E36B8" w:rsidRDefault="004E36B8" w:rsidP="00D22824">
                      <w:pPr>
                        <w:numPr>
                          <w:ilvl w:val="0"/>
                          <w:numId w:val="7"/>
                        </w:numPr>
                        <w:spacing w:before="100" w:beforeAutospacing="1" w:after="100" w:afterAutospacing="1" w:line="240" w:lineRule="auto"/>
                        <w:rPr>
                          <w:rFonts w:eastAsia="Times New Roman"/>
                        </w:rPr>
                      </w:pPr>
                      <w:r>
                        <w:rPr>
                          <w:rFonts w:eastAsia="Times New Roman"/>
                        </w:rPr>
                        <w:t>Date of cure</w:t>
                      </w:r>
                    </w:p>
                    <w:p w14:paraId="45219E8E" w14:textId="77777777" w:rsidR="004E36B8" w:rsidRDefault="004E36B8" w:rsidP="00D22824">
                      <w:pPr>
                        <w:numPr>
                          <w:ilvl w:val="0"/>
                          <w:numId w:val="7"/>
                        </w:numPr>
                        <w:spacing w:before="100" w:beforeAutospacing="1" w:after="100" w:afterAutospacing="1" w:line="240" w:lineRule="auto"/>
                        <w:rPr>
                          <w:rFonts w:eastAsia="Times New Roman"/>
                        </w:rPr>
                      </w:pPr>
                      <w:r>
                        <w:rPr>
                          <w:rFonts w:eastAsia="Times New Roman"/>
                        </w:rPr>
                        <w:t>Date of death</w:t>
                      </w:r>
                    </w:p>
                  </w:txbxContent>
                </v:textbox>
                <w10:anchorlock/>
              </v:shape>
            </w:pict>
          </mc:Fallback>
        </mc:AlternateContent>
      </w:r>
    </w:p>
    <w:p w14:paraId="2C242080" w14:textId="77777777" w:rsidR="00D22824" w:rsidRPr="00D22824" w:rsidRDefault="00D22824" w:rsidP="00D22824">
      <w:pPr>
        <w:pStyle w:val="CDIfootnotes"/>
        <w:sectPr w:rsidR="00D22824" w:rsidRPr="00D22824" w:rsidSect="00A30C37">
          <w:pgSz w:w="11906" w:h="16838"/>
          <w:pgMar w:top="720" w:right="720" w:bottom="1134" w:left="720" w:header="709" w:footer="284" w:gutter="0"/>
          <w:cols w:space="708"/>
          <w:titlePg/>
          <w:docGrid w:linePitch="360"/>
        </w:sectPr>
      </w:pPr>
    </w:p>
    <w:p w14:paraId="00FF8760" w14:textId="77777777" w:rsidR="00510214" w:rsidRDefault="00510214">
      <w:pPr>
        <w:pStyle w:val="Heading2"/>
        <w:rPr>
          <w:rFonts w:eastAsia="Times New Roman"/>
        </w:rPr>
      </w:pPr>
      <w:r>
        <w:rPr>
          <w:rFonts w:eastAsia="Times New Roman"/>
        </w:rPr>
        <w:lastRenderedPageBreak/>
        <w:t xml:space="preserve">Discussion </w:t>
      </w:r>
    </w:p>
    <w:p w14:paraId="65F91C2E" w14:textId="77777777" w:rsidR="00510214" w:rsidRDefault="00510214">
      <w:pPr>
        <w:pStyle w:val="NormalWeb"/>
      </w:pPr>
      <w:r>
        <w:t>As a high income country with advanced health system core capacities, Australia has achieved excellent TB control in recent decades, and maintains one of the lowest TB incidence rates in the world.</w:t>
      </w:r>
      <w:r>
        <w:rPr>
          <w:vertAlign w:val="superscript"/>
        </w:rPr>
        <w:t>3,7,19</w:t>
      </w:r>
      <w:r>
        <w:t xml:space="preserve"> Similarly, MDR-TB notifications are low by international standards, consistently remaining under 2% of the total TB caseload per annum.</w:t>
      </w:r>
      <w:r>
        <w:rPr>
          <w:vertAlign w:val="superscript"/>
        </w:rPr>
        <w:t>7</w:t>
      </w:r>
      <w:r>
        <w:t xml:space="preserve"> However, Australia’s large migrant intake from high-burden countries in Asia means that despite pre-migration health screening, cases of imported MDR-TB will continue to occur until TB control improves globally.</w:t>
      </w:r>
      <w:r>
        <w:rPr>
          <w:vertAlign w:val="superscript"/>
        </w:rPr>
        <w:t>2,7</w:t>
      </w:r>
      <w:r>
        <w:t xml:space="preserve"> This trend is reflected in Australia’s increasing case numbers, despite the MDR-TB notification rate remaining fairly stable over the 20 year study period. Treatment success (defined as a composite of cases where treatment was either curative or completed)</w:t>
      </w:r>
      <w:r>
        <w:rPr>
          <w:vertAlign w:val="superscript"/>
        </w:rPr>
        <w:t xml:space="preserve">21 </w:t>
      </w:r>
      <w:r>
        <w:t>was achieved in nearly two-thirds of cases (62.1%), which is higher than the global average of successful MDR-TB treatment outcomes (55%).</w:t>
      </w:r>
      <w:r>
        <w:rPr>
          <w:vertAlign w:val="superscript"/>
        </w:rPr>
        <w:t xml:space="preserve">3 </w:t>
      </w:r>
    </w:p>
    <w:p w14:paraId="20BAF44B" w14:textId="77777777" w:rsidR="00510214" w:rsidRDefault="00510214">
      <w:pPr>
        <w:pStyle w:val="NormalWeb"/>
      </w:pPr>
      <w:r>
        <w:t>Although the proportion of Australian-born cases has increased over time, the majority of MDR-TB cases still originate from high-burden countries in the Asia-Pacific region, in line with previously described trends.</w:t>
      </w:r>
      <w:r>
        <w:rPr>
          <w:vertAlign w:val="superscript"/>
        </w:rPr>
        <w:t>2,4,7</w:t>
      </w:r>
      <w:r>
        <w:t xml:space="preserve"> Amongst overseas-born cases, it is noteworthy that the highest proportion (20%) were born in Australia’s nearest geographical neighbour (PNG). Queensland notified the majority of PNG-born cases; of these, cross-border cases contributed the largest proportion of all deaths attributed to MDR-TB during the study period (11/17; 64.7%). The poorer treatment outcomes in PNG-born case notifications from Queensland observed in this study are likely attributable to the unique and complex cross-border challenges to TB control in the TSPZ, which have been previously described,</w:t>
      </w:r>
      <w:r>
        <w:rPr>
          <w:vertAlign w:val="superscript"/>
        </w:rPr>
        <w:t>16,24</w:t>
      </w:r>
      <w:r>
        <w:t xml:space="preserve"> and in PNG’s Western Province more broadly.</w:t>
      </w:r>
      <w:r>
        <w:rPr>
          <w:vertAlign w:val="superscript"/>
        </w:rPr>
        <w:t>10,25</w:t>
      </w:r>
      <w:r>
        <w:t xml:space="preserve"> The transfer of cross-border TB case management from Queensland’s TB control program to PNG health authorities in 2011–2012 is reflected in a decreased reported incidence of MDR-TB case notifications in Queensland in 2013–2014.</w:t>
      </w:r>
      <w:r>
        <w:rPr>
          <w:vertAlign w:val="superscript"/>
        </w:rPr>
        <w:t xml:space="preserve">16,26,27 </w:t>
      </w:r>
    </w:p>
    <w:p w14:paraId="3F3AAF8C" w14:textId="77777777" w:rsidR="00510214" w:rsidRDefault="00510214">
      <w:pPr>
        <w:pStyle w:val="NormalWeb"/>
      </w:pPr>
      <w:r>
        <w:t>Categorised by country of birth, observed differences in the proportions of pulmonary and extra-pulmonary TB in Australian MDR-TB cases are worthy of further research. It may be that the manifestation of active TB disease is influenced by risk factors for infection or disease development that may differ between geographic regions and populations, as has been suggested in previous studies.</w:t>
      </w:r>
      <w:r>
        <w:rPr>
          <w:vertAlign w:val="superscript"/>
        </w:rPr>
        <w:t>28–31</w:t>
      </w:r>
      <w:r>
        <w:t xml:space="preserve"> Such differences may influence considerations around pre-migration screening, diagnosis and clinical management of cases from TB high-burden countries from which Australia accepts a large migrant intake. </w:t>
      </w:r>
    </w:p>
    <w:p w14:paraId="496D6094" w14:textId="77777777" w:rsidR="00510214" w:rsidRDefault="00510214">
      <w:pPr>
        <w:pStyle w:val="NormalWeb"/>
      </w:pPr>
      <w:r>
        <w:t>The proportion of HIV-positive MDR-TB cases (2.7%) was consistent with results from previous studies.</w:t>
      </w:r>
      <w:r>
        <w:rPr>
          <w:vertAlign w:val="superscript"/>
        </w:rPr>
        <w:t>2,32</w:t>
      </w:r>
      <w:r>
        <w:t xml:space="preserve"> However, a third of all MDR-TB cases (n = 126; 33.6%) had an unknown HIV status recorded in the NNDSS, including cases from Victoria (n = 39) and NSW (n = 13), where test results remained undisclosed due to jurisdictional legislation or policies in effect at the time.</w:t>
      </w:r>
      <w:r>
        <w:rPr>
          <w:vertAlign w:val="superscript"/>
        </w:rPr>
        <w:t>7</w:t>
      </w:r>
      <w:r>
        <w:t xml:space="preserve"> The true proportion of HIV-positive MDR-TB cases may therefore be under-reported in the national TB dataset. Although policy changes from 2015 onwards mean that all Australian jurisdictions may now report HIV status with TB notifications,</w:t>
      </w:r>
      <w:r>
        <w:rPr>
          <w:vertAlign w:val="superscript"/>
        </w:rPr>
        <w:t>7</w:t>
      </w:r>
      <w:r>
        <w:t xml:space="preserve"> missing data from earlier years could have biased results towards finding no significant association between HIV status and treatment success.</w:t>
      </w:r>
      <w:r>
        <w:rPr>
          <w:vertAlign w:val="superscript"/>
        </w:rPr>
        <w:t>32</w:t>
      </w:r>
      <w:r>
        <w:t xml:space="preserve"> </w:t>
      </w:r>
    </w:p>
    <w:p w14:paraId="041EFBFD" w14:textId="77777777" w:rsidR="00510214" w:rsidRDefault="00510214">
      <w:pPr>
        <w:pStyle w:val="NormalWeb"/>
      </w:pPr>
      <w:r>
        <w:t>Consolidated, evidence-based policy recommendations for the management of drug-resistant TB were published in 2019.</w:t>
      </w:r>
      <w:r>
        <w:rPr>
          <w:vertAlign w:val="superscript"/>
        </w:rPr>
        <w:t>33</w:t>
      </w:r>
      <w:r>
        <w:t xml:space="preserve"> Optimising the care and prevention of MDR-TB requires detailed data on treatment regimens used in the national context. Although this information is available to jurisdictional health authorities, the study identified several limitations in the national TB dataset which preclude measurement and description of relevant information pertaining to the diagnosis and clinical management of MDR-TB. The lack of a data field for laboratory confirmation date means that it is not currently possible to calculate timeframes between identification of MDR-TB (based on drug susceptibility testing or molecular diagnostics) relative to initial presentation, or case notification received. The majority of MDR-TB cases (77.3%) were classified as new, which suggests that infection was acquired through primary transmission of a resistant strain, as opposed to selection for resistance during TB treatment. This is consistent with findings from modelling studies in high-burden settings</w:t>
      </w:r>
      <w:r>
        <w:rPr>
          <w:vertAlign w:val="superscript"/>
        </w:rPr>
        <w:t>34</w:t>
      </w:r>
      <w:r>
        <w:t xml:space="preserve"> and previous reviews of MDR-TB in </w:t>
      </w:r>
      <w:r>
        <w:lastRenderedPageBreak/>
        <w:t>Australia.</w:t>
      </w:r>
      <w:r>
        <w:rPr>
          <w:vertAlign w:val="superscript"/>
        </w:rPr>
        <w:t>2</w:t>
      </w:r>
      <w:r>
        <w:t xml:space="preserve"> A previous Queensland study found that 26% of isolates from the TSPZ were defined as MDR-TB.</w:t>
      </w:r>
      <w:r>
        <w:rPr>
          <w:vertAlign w:val="superscript"/>
        </w:rPr>
        <w:t>10</w:t>
      </w:r>
      <w:r>
        <w:t xml:space="preserve"> The high prevalence and local transmission of MDR-TB in PNG’s Western Province</w:t>
      </w:r>
      <w:r>
        <w:rPr>
          <w:vertAlign w:val="superscript"/>
        </w:rPr>
        <w:t>9</w:t>
      </w:r>
      <w:r>
        <w:t xml:space="preserve"> bordering the Torres Strait islands is likely relevant, considering the high proportion of PNG-born cases in the Australian national TB dataset. </w:t>
      </w:r>
    </w:p>
    <w:p w14:paraId="33B5D3CE" w14:textId="77777777" w:rsidR="00510214" w:rsidRDefault="00510214">
      <w:pPr>
        <w:pStyle w:val="NormalWeb"/>
      </w:pPr>
      <w:r>
        <w:t>The majority of cases had TB medications received (94.7%) and treatment commencement date recorded (92%). The inferential analyses showed that the odds of treatment success were higher in cases treated with one or more second-line drugs, including a fluoroquinolone (in line with current WHO recommendations).</w:t>
      </w:r>
      <w:r>
        <w:rPr>
          <w:vertAlign w:val="superscript"/>
        </w:rPr>
        <w:t>33</w:t>
      </w:r>
      <w:r>
        <w:t xml:space="preserve"> However, the lack of a data field for treatment completion date or date of cure, and dates for when drugs are initiated or discontinued, means that the duration or changes in treatment regimens for individual cases over time are not captured in the national TB dataset, and it is not possible to determine the number of cases undergoing treatment at any one point in time. This complicates monitoring of compliance with evidence-based recommendations from WHO, including new treatment regimens.</w:t>
      </w:r>
      <w:r>
        <w:rPr>
          <w:vertAlign w:val="superscript"/>
        </w:rPr>
        <w:t>33</w:t>
      </w:r>
      <w:r>
        <w:t xml:space="preserve"> Similarly, 17/18 (94.4%) cases classified as having not had treatment success died from TB. The lack of a date of death field precludes determination of the duration of treatment, and identification of cases presenting late in the disease process and for whom treatment is initiated shortly prior to death, or not initiated at all. Considering that the majority (87%) of notifications reporting rifampicin resistance in Australia were MDR-TB cases, these findings may also be considered broadly applicable to RR-TB. </w:t>
      </w:r>
    </w:p>
    <w:p w14:paraId="618B56D5" w14:textId="77777777" w:rsidR="00510214" w:rsidRDefault="00510214" w:rsidP="00742B04">
      <w:r>
        <w:t>The national TB dataset only includes microbiologically confirmed multidrug-resistant cases. Furthermore, the NNDSS excludes cases initially diagnosed and notified abroad, but subsequently managed in Australia. Pre-migration screening targets active TB in immigrants from high-burden countries, meaning MDR-TB cases who are latently infected during screening or acquire their infection through other pathways (e.g. community transmission) may not be detected and notified.</w:t>
      </w:r>
      <w:r>
        <w:rPr>
          <w:vertAlign w:val="superscript"/>
        </w:rPr>
        <w:t>34</w:t>
      </w:r>
      <w:r>
        <w:t xml:space="preserve"> The national TB dataset may therefore potentially underestimate the true burden of MDR-TB in Australia. Collinearity between TB treatments and resistance profiles as independent variables was somewhat mitigated by the backward stepwise approach to multivariable regression analysis. Other limitations include variable data quality and completeness in the NNDSS, including due to differences in historical data collection or provision by jurisdictions, and legislation or policy changes over time. Data captured in the NNDSS are dynamic in nature; therefore, the presented data represent a point-in-time analysis of MDR-TB case notifications, and may differ from jurisdictional reports covering the same period.</w:t>
      </w:r>
      <w:r>
        <w:rPr>
          <w:vertAlign w:val="superscript"/>
        </w:rPr>
        <w:t>7</w:t>
      </w:r>
      <w:r>
        <w:t xml:space="preserve"> In addition, the large number of treatment outcomes (n = 10) captured in the dataset meant that case outcomes grouped as ‘</w:t>
      </w:r>
      <w:r w:rsidRPr="00E2179E">
        <w:rPr>
          <w:rStyle w:val="Emphasis"/>
          <w:b w:val="0"/>
        </w:rPr>
        <w:t>treatment outcome unknown’</w:t>
      </w:r>
      <w:r>
        <w:t xml:space="preserve"> were too diverse to include in detailed descriptive or inferential analyses. </w:t>
      </w:r>
    </w:p>
    <w:p w14:paraId="398F10C8" w14:textId="77777777" w:rsidR="00510214" w:rsidRDefault="00510214">
      <w:pPr>
        <w:pStyle w:val="Heading1"/>
        <w:rPr>
          <w:rFonts w:eastAsia="Times New Roman"/>
        </w:rPr>
      </w:pPr>
      <w:r>
        <w:rPr>
          <w:rFonts w:eastAsia="Times New Roman"/>
        </w:rPr>
        <w:t xml:space="preserve">Conclusion </w:t>
      </w:r>
    </w:p>
    <w:p w14:paraId="4083959C" w14:textId="77777777" w:rsidR="00510214" w:rsidRDefault="00510214" w:rsidP="00742B04">
      <w:r>
        <w:t xml:space="preserve">While Australia’s MDR-TB burden is comparatively low, cases will continue to occur until TB control improves in countries with which Australia shares strong cultural and migration links. It is therefore imperative that Australia continues to contribute to strengthening regional TB control programmes. Continued vigilance is also required to sustain and further improve Australia’s TB control as the drive towards elimination in low-incidence countries gathers pace. This study’s findings support a review of data fields in the national TB dataset with potential expansion or adjustment to improve national data reporting, including the monitoring of evidence-based recommendations for the prevention and management of MDR-TB. </w:t>
      </w:r>
    </w:p>
    <w:p w14:paraId="130F4A0E" w14:textId="77777777" w:rsidR="007B1AC1" w:rsidRDefault="007B1AC1">
      <w:pPr>
        <w:rPr>
          <w:rFonts w:asciiTheme="majorHAnsi" w:eastAsia="Times New Roman" w:hAnsiTheme="majorHAnsi" w:cstheme="majorBidi"/>
          <w:b/>
          <w:bCs/>
          <w:sz w:val="32"/>
          <w:szCs w:val="28"/>
        </w:rPr>
      </w:pPr>
      <w:r>
        <w:rPr>
          <w:rFonts w:eastAsia="Times New Roman"/>
        </w:rPr>
        <w:br w:type="page"/>
      </w:r>
    </w:p>
    <w:p w14:paraId="4C98C065" w14:textId="77777777" w:rsidR="00510214" w:rsidRDefault="00510214">
      <w:pPr>
        <w:pStyle w:val="Heading1"/>
        <w:rPr>
          <w:rFonts w:eastAsia="Times New Roman"/>
        </w:rPr>
      </w:pPr>
      <w:r>
        <w:rPr>
          <w:rFonts w:eastAsia="Times New Roman"/>
        </w:rPr>
        <w:lastRenderedPageBreak/>
        <w:t xml:space="preserve">Acknowledgements </w:t>
      </w:r>
    </w:p>
    <w:p w14:paraId="1B19BD35" w14:textId="77777777" w:rsidR="00510214" w:rsidRDefault="00510214" w:rsidP="0090085C">
      <w:pPr>
        <w:pStyle w:val="NoSpacing"/>
      </w:pPr>
      <w:r>
        <w:t xml:space="preserve">We would like to thank: </w:t>
      </w:r>
    </w:p>
    <w:p w14:paraId="457C5DEA" w14:textId="77777777" w:rsidR="00510214" w:rsidRDefault="00510214" w:rsidP="0090085C">
      <w:pPr>
        <w:pStyle w:val="NoSpacing"/>
      </w:pPr>
      <w:r>
        <w:t>Australian Government Department of Health: Rose Wright</w:t>
      </w:r>
      <w:r>
        <w:rPr>
          <w:vertAlign w:val="superscript"/>
        </w:rPr>
        <w:t xml:space="preserve"> </w:t>
      </w:r>
      <w:r>
        <w:t xml:space="preserve">and Mark </w:t>
      </w:r>
      <w:proofErr w:type="spellStart"/>
      <w:r>
        <w:t>Trungove</w:t>
      </w:r>
      <w:proofErr w:type="spellEnd"/>
      <w:r>
        <w:t xml:space="preserve"> </w:t>
      </w:r>
    </w:p>
    <w:p w14:paraId="4F2BB4AC" w14:textId="77777777" w:rsidR="00510214" w:rsidRDefault="00510214" w:rsidP="0090085C">
      <w:pPr>
        <w:pStyle w:val="NoSpacing"/>
      </w:pPr>
      <w:r>
        <w:t xml:space="preserve">Victorian Department of Health and Human Services: Ee Laine Tay </w:t>
      </w:r>
    </w:p>
    <w:p w14:paraId="5ABEFC14" w14:textId="77777777" w:rsidR="00510214" w:rsidRDefault="00510214" w:rsidP="0090085C">
      <w:pPr>
        <w:pStyle w:val="NoSpacing"/>
      </w:pPr>
      <w:r>
        <w:t xml:space="preserve">Health Protection New South Wales: Ellen </w:t>
      </w:r>
      <w:proofErr w:type="spellStart"/>
      <w:r>
        <w:t>Donnan</w:t>
      </w:r>
      <w:proofErr w:type="spellEnd"/>
      <w:r>
        <w:t xml:space="preserve"> </w:t>
      </w:r>
    </w:p>
    <w:p w14:paraId="6BD9840C" w14:textId="77777777" w:rsidR="00510214" w:rsidRDefault="00510214" w:rsidP="0090085C">
      <w:pPr>
        <w:pStyle w:val="NoSpacing"/>
      </w:pPr>
      <w:r>
        <w:t xml:space="preserve">Queensland Health: Chris Coulter and Bridget O’Connor </w:t>
      </w:r>
    </w:p>
    <w:p w14:paraId="12ABB912" w14:textId="77777777" w:rsidR="00510214" w:rsidRDefault="00510214">
      <w:pPr>
        <w:pStyle w:val="Heading1"/>
        <w:rPr>
          <w:rFonts w:eastAsia="Times New Roman"/>
        </w:rPr>
      </w:pPr>
      <w:r>
        <w:rPr>
          <w:rFonts w:eastAsia="Times New Roman"/>
        </w:rPr>
        <w:t xml:space="preserve">Author details </w:t>
      </w:r>
    </w:p>
    <w:p w14:paraId="60E7B2FD" w14:textId="77777777" w:rsidR="00510214" w:rsidRDefault="00510214" w:rsidP="00A6315D">
      <w:pPr>
        <w:pStyle w:val="NoSpacing"/>
      </w:pPr>
      <w:r>
        <w:t>Dr Hendrik S. Camphor</w:t>
      </w:r>
      <w:r>
        <w:rPr>
          <w:vertAlign w:val="superscript"/>
        </w:rPr>
        <w:t xml:space="preserve">1, 2 </w:t>
      </w:r>
    </w:p>
    <w:p w14:paraId="33CA90BE" w14:textId="77777777" w:rsidR="00510214" w:rsidRDefault="00510214" w:rsidP="00A6315D">
      <w:pPr>
        <w:pStyle w:val="NoSpacing"/>
      </w:pPr>
      <w:r>
        <w:t>Dr Kerri Viney</w:t>
      </w:r>
      <w:r>
        <w:rPr>
          <w:vertAlign w:val="superscript"/>
        </w:rPr>
        <w:t xml:space="preserve">1,3 </w:t>
      </w:r>
    </w:p>
    <w:p w14:paraId="7D1F9406" w14:textId="77777777" w:rsidR="00510214" w:rsidRDefault="00510214" w:rsidP="00A6315D">
      <w:pPr>
        <w:pStyle w:val="NoSpacing"/>
      </w:pPr>
      <w:r>
        <w:t>Dr Ben Polkinghorne</w:t>
      </w:r>
      <w:r>
        <w:rPr>
          <w:vertAlign w:val="superscript"/>
        </w:rPr>
        <w:t xml:space="preserve">1 </w:t>
      </w:r>
    </w:p>
    <w:p w14:paraId="3F7EA390" w14:textId="77777777" w:rsidR="00510214" w:rsidRDefault="00510214" w:rsidP="00A6315D">
      <w:pPr>
        <w:pStyle w:val="NoSpacing"/>
      </w:pPr>
      <w:r>
        <w:t>Kate Pennington</w:t>
      </w:r>
      <w:r>
        <w:rPr>
          <w:vertAlign w:val="superscript"/>
        </w:rPr>
        <w:t xml:space="preserve">2 </w:t>
      </w:r>
    </w:p>
    <w:p w14:paraId="7855AF0A" w14:textId="77777777" w:rsidR="00510214" w:rsidRDefault="00510214" w:rsidP="00510214">
      <w:pPr>
        <w:numPr>
          <w:ilvl w:val="0"/>
          <w:numId w:val="8"/>
        </w:numPr>
        <w:spacing w:before="100" w:beforeAutospacing="1" w:after="100" w:afterAutospacing="1" w:line="240" w:lineRule="auto"/>
        <w:rPr>
          <w:rFonts w:eastAsia="Times New Roman"/>
        </w:rPr>
      </w:pPr>
      <w:r>
        <w:rPr>
          <w:rFonts w:eastAsia="Times New Roman"/>
        </w:rPr>
        <w:t xml:space="preserve">Research School of Population Health, Australian National University, Canberra, Australia. </w:t>
      </w:r>
    </w:p>
    <w:p w14:paraId="0A2909C6" w14:textId="77777777" w:rsidR="00510214" w:rsidRDefault="00510214" w:rsidP="00510214">
      <w:pPr>
        <w:numPr>
          <w:ilvl w:val="0"/>
          <w:numId w:val="8"/>
        </w:numPr>
        <w:spacing w:before="100" w:beforeAutospacing="1" w:after="100" w:afterAutospacing="1" w:line="240" w:lineRule="auto"/>
        <w:rPr>
          <w:rFonts w:eastAsia="Times New Roman"/>
        </w:rPr>
      </w:pPr>
      <w:r>
        <w:rPr>
          <w:rFonts w:eastAsia="Times New Roman"/>
        </w:rPr>
        <w:t xml:space="preserve">Communicable Diseases Epidemiology and Surveillance Section, Office of Health Protection, Australian Government Department of Health </w:t>
      </w:r>
    </w:p>
    <w:p w14:paraId="63689D36" w14:textId="77777777" w:rsidR="00510214" w:rsidRDefault="00510214" w:rsidP="00510214">
      <w:pPr>
        <w:numPr>
          <w:ilvl w:val="0"/>
          <w:numId w:val="8"/>
        </w:numPr>
        <w:spacing w:before="100" w:beforeAutospacing="1" w:after="100" w:afterAutospacing="1" w:line="240" w:lineRule="auto"/>
        <w:rPr>
          <w:rFonts w:eastAsia="Times New Roman"/>
        </w:rPr>
      </w:pPr>
      <w:r>
        <w:rPr>
          <w:rFonts w:eastAsia="Times New Roman"/>
        </w:rPr>
        <w:t xml:space="preserve">Department of Public Health Sciences, Karolinska </w:t>
      </w:r>
      <w:proofErr w:type="spellStart"/>
      <w:r>
        <w:rPr>
          <w:rFonts w:eastAsia="Times New Roman"/>
        </w:rPr>
        <w:t>Institutet</w:t>
      </w:r>
      <w:proofErr w:type="spellEnd"/>
      <w:r>
        <w:rPr>
          <w:rFonts w:eastAsia="Times New Roman"/>
        </w:rPr>
        <w:t xml:space="preserve">, Stockholm, Sweden. </w:t>
      </w:r>
    </w:p>
    <w:p w14:paraId="3F6407DE" w14:textId="77777777" w:rsidR="00510214" w:rsidRDefault="00510214">
      <w:pPr>
        <w:pStyle w:val="Heading2"/>
        <w:rPr>
          <w:rFonts w:eastAsia="Times New Roman"/>
        </w:rPr>
      </w:pPr>
      <w:r>
        <w:rPr>
          <w:rFonts w:eastAsia="Times New Roman"/>
        </w:rPr>
        <w:t xml:space="preserve">Corresponding author </w:t>
      </w:r>
    </w:p>
    <w:p w14:paraId="7B8EB506" w14:textId="77777777" w:rsidR="00510214" w:rsidRDefault="00510214" w:rsidP="002F55DD">
      <w:pPr>
        <w:pStyle w:val="NoSpacing"/>
      </w:pPr>
      <w:r>
        <w:t xml:space="preserve">Hendrik S. Camphor </w:t>
      </w:r>
    </w:p>
    <w:p w14:paraId="2CC39E2B" w14:textId="77777777" w:rsidR="00510214" w:rsidRDefault="00510214" w:rsidP="002F55DD">
      <w:pPr>
        <w:pStyle w:val="NoSpacing"/>
      </w:pPr>
      <w:r>
        <w:t xml:space="preserve">GPO Box 9848, Canberra ACT 2601, Scarborough House, MDP 14 </w:t>
      </w:r>
    </w:p>
    <w:p w14:paraId="67979C2E" w14:textId="77777777" w:rsidR="00510214" w:rsidRDefault="00510214" w:rsidP="002F55DD">
      <w:pPr>
        <w:pStyle w:val="NoSpacing"/>
      </w:pPr>
      <w:r>
        <w:t xml:space="preserve">Telephone: +61 2 62895435. </w:t>
      </w:r>
    </w:p>
    <w:p w14:paraId="3E4F7245" w14:textId="77777777" w:rsidR="00510214" w:rsidRDefault="00510214" w:rsidP="002F55DD">
      <w:pPr>
        <w:pStyle w:val="NoSpacing"/>
      </w:pPr>
      <w:r>
        <w:t xml:space="preserve">Email: hendrik.camphor@health.gov.au </w:t>
      </w:r>
    </w:p>
    <w:p w14:paraId="08DF8794" w14:textId="77777777" w:rsidR="00510214" w:rsidRDefault="00510214">
      <w:pPr>
        <w:pStyle w:val="Heading1"/>
        <w:rPr>
          <w:rFonts w:eastAsia="Times New Roman"/>
        </w:rPr>
      </w:pPr>
      <w:r>
        <w:rPr>
          <w:rFonts w:eastAsia="Times New Roman"/>
        </w:rPr>
        <w:t xml:space="preserve">References </w:t>
      </w:r>
    </w:p>
    <w:p w14:paraId="0260E953" w14:textId="77777777" w:rsidR="00510214" w:rsidRDefault="00510214" w:rsidP="00510214">
      <w:pPr>
        <w:numPr>
          <w:ilvl w:val="0"/>
          <w:numId w:val="9"/>
        </w:numPr>
        <w:spacing w:before="100" w:beforeAutospacing="1" w:after="100" w:afterAutospacing="1" w:line="240" w:lineRule="auto"/>
        <w:rPr>
          <w:rFonts w:eastAsia="Times New Roman"/>
        </w:rPr>
      </w:pPr>
      <w:r>
        <w:rPr>
          <w:rFonts w:eastAsia="Times New Roman"/>
        </w:rPr>
        <w:t xml:space="preserve">World Health </w:t>
      </w:r>
      <w:r w:rsidR="004A1D5B">
        <w:rPr>
          <w:rFonts w:eastAsia="Times New Roman"/>
        </w:rPr>
        <w:t>Organization (</w:t>
      </w:r>
      <w:r>
        <w:rPr>
          <w:rFonts w:eastAsia="Times New Roman"/>
        </w:rPr>
        <w:t xml:space="preserve">WHO). Tuberculosis. [Internet.] Geneva: WHO; 2018. Available from: http://www.who.int/en/news-room/fact-sheets/detail/tuberculosis. </w:t>
      </w:r>
    </w:p>
    <w:p w14:paraId="5AE3BD3D" w14:textId="77777777" w:rsidR="00510214" w:rsidRDefault="00510214" w:rsidP="00510214">
      <w:pPr>
        <w:numPr>
          <w:ilvl w:val="0"/>
          <w:numId w:val="9"/>
        </w:numPr>
        <w:spacing w:before="100" w:beforeAutospacing="1" w:after="100" w:afterAutospacing="1" w:line="240" w:lineRule="auto"/>
        <w:rPr>
          <w:rFonts w:eastAsia="Times New Roman"/>
        </w:rPr>
      </w:pPr>
      <w:r>
        <w:rPr>
          <w:rFonts w:eastAsia="Times New Roman"/>
        </w:rPr>
        <w:t xml:space="preserve">Francis JR, </w:t>
      </w:r>
      <w:proofErr w:type="spellStart"/>
      <w:r>
        <w:rPr>
          <w:rFonts w:eastAsia="Times New Roman"/>
        </w:rPr>
        <w:t>Manchikanti</w:t>
      </w:r>
      <w:proofErr w:type="spellEnd"/>
      <w:r>
        <w:rPr>
          <w:rFonts w:eastAsia="Times New Roman"/>
        </w:rPr>
        <w:t xml:space="preserve"> P, Blyth CC, Denholm J, </w:t>
      </w:r>
      <w:proofErr w:type="spellStart"/>
      <w:r>
        <w:rPr>
          <w:rFonts w:eastAsia="Times New Roman"/>
        </w:rPr>
        <w:t>Lowbridge</w:t>
      </w:r>
      <w:proofErr w:type="spellEnd"/>
      <w:r>
        <w:rPr>
          <w:rFonts w:eastAsia="Times New Roman"/>
        </w:rPr>
        <w:t xml:space="preserve"> C, Coulter C et al. Multidrug-resistant tuberculosis in Australia, 1998–2012. </w:t>
      </w:r>
      <w:r w:rsidRPr="00E2179E">
        <w:rPr>
          <w:rStyle w:val="Emphasis"/>
          <w:rFonts w:eastAsia="Times New Roman"/>
          <w:b w:val="0"/>
        </w:rPr>
        <w:t xml:space="preserve">Int J </w:t>
      </w:r>
      <w:proofErr w:type="spellStart"/>
      <w:r w:rsidRPr="00E2179E">
        <w:rPr>
          <w:rStyle w:val="Emphasis"/>
          <w:rFonts w:eastAsia="Times New Roman"/>
          <w:b w:val="0"/>
        </w:rPr>
        <w:t>Tuberc</w:t>
      </w:r>
      <w:proofErr w:type="spellEnd"/>
      <w:r w:rsidRPr="00E2179E">
        <w:rPr>
          <w:rStyle w:val="Emphasis"/>
          <w:rFonts w:eastAsia="Times New Roman"/>
          <w:b w:val="0"/>
        </w:rPr>
        <w:t xml:space="preserve"> Lung Dis</w:t>
      </w:r>
      <w:r>
        <w:rPr>
          <w:rFonts w:eastAsia="Times New Roman"/>
        </w:rPr>
        <w:t xml:space="preserve">. 2018;22(3):294–9. </w:t>
      </w:r>
    </w:p>
    <w:p w14:paraId="6DDFADD1" w14:textId="77777777" w:rsidR="00510214" w:rsidRDefault="00510214" w:rsidP="00510214">
      <w:pPr>
        <w:numPr>
          <w:ilvl w:val="0"/>
          <w:numId w:val="9"/>
        </w:numPr>
        <w:spacing w:before="100" w:beforeAutospacing="1" w:after="100" w:afterAutospacing="1" w:line="240" w:lineRule="auto"/>
        <w:rPr>
          <w:rFonts w:eastAsia="Times New Roman"/>
        </w:rPr>
      </w:pPr>
      <w:r>
        <w:rPr>
          <w:rFonts w:eastAsia="Times New Roman"/>
        </w:rPr>
        <w:t xml:space="preserve">WHO. </w:t>
      </w:r>
      <w:r w:rsidRPr="00E2179E">
        <w:rPr>
          <w:rStyle w:val="Emphasis"/>
          <w:rFonts w:eastAsia="Times New Roman"/>
          <w:b w:val="0"/>
        </w:rPr>
        <w:t>Global tuberculosis report 2018</w:t>
      </w:r>
      <w:r>
        <w:rPr>
          <w:rFonts w:eastAsia="Times New Roman"/>
        </w:rPr>
        <w:t xml:space="preserve">. Geneva: WHO; 2018. Available from: https://www.who.int/tb/publications/2018/en/. </w:t>
      </w:r>
    </w:p>
    <w:p w14:paraId="391C27E8" w14:textId="77777777" w:rsidR="00510214" w:rsidRDefault="00510214" w:rsidP="00510214">
      <w:pPr>
        <w:numPr>
          <w:ilvl w:val="0"/>
          <w:numId w:val="9"/>
        </w:numPr>
        <w:spacing w:before="100" w:beforeAutospacing="1" w:after="100" w:afterAutospacing="1" w:line="240" w:lineRule="auto"/>
        <w:rPr>
          <w:rFonts w:eastAsia="Times New Roman"/>
        </w:rPr>
      </w:pPr>
      <w:proofErr w:type="spellStart"/>
      <w:r>
        <w:rPr>
          <w:rFonts w:eastAsia="Times New Roman"/>
        </w:rPr>
        <w:t>Trauer</w:t>
      </w:r>
      <w:proofErr w:type="spellEnd"/>
      <w:r>
        <w:rPr>
          <w:rFonts w:eastAsia="Times New Roman"/>
        </w:rPr>
        <w:t xml:space="preserve"> JM, Cheng AC. Multidrug-resistant tuberculosis in Australia and our region. </w:t>
      </w:r>
      <w:r w:rsidRPr="00E2179E">
        <w:rPr>
          <w:rStyle w:val="Emphasis"/>
          <w:rFonts w:eastAsia="Times New Roman"/>
          <w:b w:val="0"/>
        </w:rPr>
        <w:t>Med J Aust</w:t>
      </w:r>
      <w:r>
        <w:rPr>
          <w:rFonts w:eastAsia="Times New Roman"/>
        </w:rPr>
        <w:t xml:space="preserve">. 2016;204(7):251–3. </w:t>
      </w:r>
    </w:p>
    <w:p w14:paraId="0833C83A" w14:textId="77777777" w:rsidR="00510214" w:rsidRDefault="00510214" w:rsidP="00510214">
      <w:pPr>
        <w:numPr>
          <w:ilvl w:val="0"/>
          <w:numId w:val="9"/>
        </w:numPr>
        <w:spacing w:before="100" w:beforeAutospacing="1" w:after="100" w:afterAutospacing="1" w:line="240" w:lineRule="auto"/>
        <w:rPr>
          <w:rFonts w:eastAsia="Times New Roman"/>
        </w:rPr>
      </w:pPr>
      <w:r>
        <w:rPr>
          <w:rFonts w:eastAsia="Times New Roman"/>
        </w:rPr>
        <w:t xml:space="preserve">WHO. The End TB Strategy. [Internet.] Geneva: WHO; 2014. Available from: http://www.who.int/tb/strategy/en/. </w:t>
      </w:r>
    </w:p>
    <w:p w14:paraId="4594FD7C" w14:textId="77777777" w:rsidR="00510214" w:rsidRDefault="00510214" w:rsidP="00510214">
      <w:pPr>
        <w:numPr>
          <w:ilvl w:val="0"/>
          <w:numId w:val="9"/>
        </w:numPr>
        <w:spacing w:before="100" w:beforeAutospacing="1" w:after="100" w:afterAutospacing="1" w:line="240" w:lineRule="auto"/>
        <w:rPr>
          <w:rFonts w:eastAsia="Times New Roman"/>
        </w:rPr>
      </w:pPr>
      <w:proofErr w:type="spellStart"/>
      <w:r>
        <w:rPr>
          <w:rFonts w:eastAsia="Times New Roman"/>
        </w:rPr>
        <w:t>Uplekar</w:t>
      </w:r>
      <w:proofErr w:type="spellEnd"/>
      <w:r>
        <w:rPr>
          <w:rFonts w:eastAsia="Times New Roman"/>
        </w:rPr>
        <w:t xml:space="preserve"> M, Weil D, </w:t>
      </w:r>
      <w:proofErr w:type="spellStart"/>
      <w:r>
        <w:rPr>
          <w:rFonts w:eastAsia="Times New Roman"/>
        </w:rPr>
        <w:t>Lonnroth</w:t>
      </w:r>
      <w:proofErr w:type="spellEnd"/>
      <w:r>
        <w:rPr>
          <w:rFonts w:eastAsia="Times New Roman"/>
        </w:rPr>
        <w:t xml:space="preserve"> K, Jaramillo E, Lienhardt C, Dias HM et al. WHO’s new End TB strategy. </w:t>
      </w:r>
      <w:r w:rsidRPr="00E2179E">
        <w:rPr>
          <w:rStyle w:val="Emphasis"/>
          <w:rFonts w:eastAsia="Times New Roman"/>
          <w:b w:val="0"/>
        </w:rPr>
        <w:t>Lancet</w:t>
      </w:r>
      <w:r>
        <w:rPr>
          <w:rFonts w:eastAsia="Times New Roman"/>
        </w:rPr>
        <w:t xml:space="preserve">. 2015;385(9979):1799–801. </w:t>
      </w:r>
    </w:p>
    <w:p w14:paraId="7FCD6286" w14:textId="77777777" w:rsidR="00510214" w:rsidRDefault="00510214" w:rsidP="00510214">
      <w:pPr>
        <w:numPr>
          <w:ilvl w:val="0"/>
          <w:numId w:val="9"/>
        </w:numPr>
        <w:spacing w:before="100" w:beforeAutospacing="1" w:after="100" w:afterAutospacing="1" w:line="240" w:lineRule="auto"/>
        <w:rPr>
          <w:rFonts w:eastAsia="Times New Roman"/>
        </w:rPr>
      </w:pPr>
      <w:r>
        <w:rPr>
          <w:rFonts w:eastAsia="Times New Roman"/>
        </w:rPr>
        <w:t xml:space="preserve">Toms C, </w:t>
      </w:r>
      <w:proofErr w:type="spellStart"/>
      <w:r>
        <w:rPr>
          <w:rFonts w:eastAsia="Times New Roman"/>
        </w:rPr>
        <w:t>Stapledon</w:t>
      </w:r>
      <w:proofErr w:type="spellEnd"/>
      <w:r>
        <w:rPr>
          <w:rFonts w:eastAsia="Times New Roman"/>
        </w:rPr>
        <w:t xml:space="preserve"> R, Coulter C, Douglas P. Tuberculosis notifications in Australia, 2014. </w:t>
      </w:r>
      <w:r w:rsidRPr="00E2179E">
        <w:rPr>
          <w:rStyle w:val="Emphasis"/>
          <w:rFonts w:eastAsia="Times New Roman"/>
          <w:b w:val="0"/>
        </w:rPr>
        <w:t>Commun Dis Intell Q Rep</w:t>
      </w:r>
      <w:r>
        <w:rPr>
          <w:rFonts w:eastAsia="Times New Roman"/>
        </w:rPr>
        <w:t xml:space="preserve">. 2017;41(3):E247–63. </w:t>
      </w:r>
    </w:p>
    <w:p w14:paraId="05499EC7" w14:textId="77777777" w:rsidR="00510214" w:rsidRDefault="00510214" w:rsidP="00510214">
      <w:pPr>
        <w:numPr>
          <w:ilvl w:val="0"/>
          <w:numId w:val="9"/>
        </w:numPr>
        <w:spacing w:before="100" w:beforeAutospacing="1" w:after="100" w:afterAutospacing="1" w:line="240" w:lineRule="auto"/>
        <w:rPr>
          <w:rFonts w:eastAsia="Times New Roman"/>
        </w:rPr>
      </w:pPr>
      <w:r>
        <w:rPr>
          <w:rFonts w:eastAsia="Times New Roman"/>
        </w:rPr>
        <w:t xml:space="preserve">National Tuberculosis Advisory Committee for the Communicable Diseases Network Australia. The strategic plan for control of tuberculosis in Australia, 2016–2020: towards disease elimination. </w:t>
      </w:r>
      <w:r w:rsidRPr="00E2179E">
        <w:rPr>
          <w:rStyle w:val="Emphasis"/>
          <w:rFonts w:eastAsia="Times New Roman"/>
          <w:b w:val="0"/>
        </w:rPr>
        <w:t>Commun Dis Intell (2018)</w:t>
      </w:r>
      <w:r>
        <w:rPr>
          <w:rFonts w:eastAsia="Times New Roman"/>
        </w:rPr>
        <w:t xml:space="preserve">. 2019;43. doi: https://doi.org/10.33321/cdi.2019.43.10. </w:t>
      </w:r>
    </w:p>
    <w:p w14:paraId="745CE193" w14:textId="77777777" w:rsidR="00510214" w:rsidRDefault="00510214" w:rsidP="00510214">
      <w:pPr>
        <w:numPr>
          <w:ilvl w:val="0"/>
          <w:numId w:val="9"/>
        </w:numPr>
        <w:spacing w:before="100" w:beforeAutospacing="1" w:after="100" w:afterAutospacing="1" w:line="240" w:lineRule="auto"/>
        <w:rPr>
          <w:rFonts w:eastAsia="Times New Roman"/>
        </w:rPr>
      </w:pPr>
      <w:r>
        <w:rPr>
          <w:rFonts w:eastAsia="Times New Roman"/>
        </w:rPr>
        <w:t xml:space="preserve">Gilpin CM, Simpson G, Vincent S, O’Brien TP, Knight TA, </w:t>
      </w:r>
      <w:proofErr w:type="spellStart"/>
      <w:r>
        <w:rPr>
          <w:rFonts w:eastAsia="Times New Roman"/>
        </w:rPr>
        <w:t>Globan</w:t>
      </w:r>
      <w:proofErr w:type="spellEnd"/>
      <w:r>
        <w:rPr>
          <w:rFonts w:eastAsia="Times New Roman"/>
        </w:rPr>
        <w:t xml:space="preserve"> M et al. Evidence of primary transmission of multidrug‐resistant tuberculosis in the Western Province of Papua New Guinea. </w:t>
      </w:r>
      <w:r w:rsidRPr="00E2179E">
        <w:rPr>
          <w:rStyle w:val="Emphasis"/>
          <w:rFonts w:eastAsia="Times New Roman"/>
          <w:b w:val="0"/>
        </w:rPr>
        <w:t>Med J Aust</w:t>
      </w:r>
      <w:r>
        <w:rPr>
          <w:rFonts w:eastAsia="Times New Roman"/>
        </w:rPr>
        <w:t xml:space="preserve">. 2008;188(3):148–52. </w:t>
      </w:r>
    </w:p>
    <w:p w14:paraId="2A46C7D4" w14:textId="77777777" w:rsidR="00510214" w:rsidRDefault="00510214" w:rsidP="00510214">
      <w:pPr>
        <w:numPr>
          <w:ilvl w:val="0"/>
          <w:numId w:val="9"/>
        </w:numPr>
        <w:spacing w:before="100" w:beforeAutospacing="1" w:after="100" w:afterAutospacing="1" w:line="240" w:lineRule="auto"/>
        <w:rPr>
          <w:rFonts w:eastAsia="Times New Roman"/>
        </w:rPr>
      </w:pPr>
      <w:r>
        <w:rPr>
          <w:rFonts w:eastAsia="Times New Roman"/>
        </w:rPr>
        <w:t xml:space="preserve">Simpson G, Coulter C, Weston J, Knight T, Carter R, Vincent S et al. Resistance patterns of multidrug-resistant tuberculosis in Western Province, Papua New Guinea. </w:t>
      </w:r>
      <w:r w:rsidRPr="00E2179E">
        <w:rPr>
          <w:rStyle w:val="Emphasis"/>
          <w:rFonts w:eastAsia="Times New Roman"/>
          <w:b w:val="0"/>
        </w:rPr>
        <w:t xml:space="preserve">Int J </w:t>
      </w:r>
      <w:proofErr w:type="spellStart"/>
      <w:r w:rsidRPr="00E2179E">
        <w:rPr>
          <w:rStyle w:val="Emphasis"/>
          <w:rFonts w:eastAsia="Times New Roman"/>
          <w:b w:val="0"/>
        </w:rPr>
        <w:t>Tuberc</w:t>
      </w:r>
      <w:proofErr w:type="spellEnd"/>
      <w:r w:rsidRPr="00E2179E">
        <w:rPr>
          <w:rStyle w:val="Emphasis"/>
          <w:rFonts w:eastAsia="Times New Roman"/>
          <w:b w:val="0"/>
        </w:rPr>
        <w:t xml:space="preserve"> Lung Dis</w:t>
      </w:r>
      <w:r>
        <w:rPr>
          <w:rFonts w:eastAsia="Times New Roman"/>
        </w:rPr>
        <w:t xml:space="preserve">. 2011;15(4):551–2. </w:t>
      </w:r>
    </w:p>
    <w:p w14:paraId="786CDA91" w14:textId="77777777" w:rsidR="00510214" w:rsidRDefault="00510214" w:rsidP="00510214">
      <w:pPr>
        <w:numPr>
          <w:ilvl w:val="0"/>
          <w:numId w:val="9"/>
        </w:numPr>
        <w:spacing w:before="100" w:beforeAutospacing="1" w:after="100" w:afterAutospacing="1" w:line="240" w:lineRule="auto"/>
        <w:rPr>
          <w:rFonts w:eastAsia="Times New Roman"/>
        </w:rPr>
      </w:pPr>
      <w:r>
        <w:rPr>
          <w:rFonts w:eastAsia="Times New Roman"/>
        </w:rPr>
        <w:lastRenderedPageBreak/>
        <w:t xml:space="preserve">Aia P, Kal M, Lavu E, John LN, Johnson K, Coulter C et al. The burden of drug-resistant tuberculosis in Papua New Guinea: results of a large population-based survey. </w:t>
      </w:r>
      <w:proofErr w:type="spellStart"/>
      <w:r w:rsidRPr="00E2179E">
        <w:rPr>
          <w:rStyle w:val="Emphasis"/>
          <w:rFonts w:eastAsia="Times New Roman"/>
          <w:b w:val="0"/>
        </w:rPr>
        <w:t>PLoS</w:t>
      </w:r>
      <w:proofErr w:type="spellEnd"/>
      <w:r w:rsidRPr="00E2179E">
        <w:rPr>
          <w:rStyle w:val="Emphasis"/>
          <w:rFonts w:eastAsia="Times New Roman"/>
          <w:b w:val="0"/>
        </w:rPr>
        <w:t xml:space="preserve"> One</w:t>
      </w:r>
      <w:r>
        <w:rPr>
          <w:rFonts w:eastAsia="Times New Roman"/>
        </w:rPr>
        <w:t xml:space="preserve">. 2016;11(3):e0149806. </w:t>
      </w:r>
    </w:p>
    <w:p w14:paraId="0309E29E" w14:textId="77777777" w:rsidR="00510214" w:rsidRDefault="00510214" w:rsidP="00510214">
      <w:pPr>
        <w:numPr>
          <w:ilvl w:val="0"/>
          <w:numId w:val="9"/>
        </w:numPr>
        <w:spacing w:before="100" w:beforeAutospacing="1" w:after="100" w:afterAutospacing="1" w:line="240" w:lineRule="auto"/>
        <w:rPr>
          <w:rFonts w:eastAsia="Times New Roman"/>
        </w:rPr>
      </w:pPr>
      <w:r>
        <w:rPr>
          <w:rFonts w:eastAsia="Times New Roman"/>
        </w:rPr>
        <w:t xml:space="preserve">Lavender CJ, Brown LK, Johnson PDR. Multidrug-resistant tuberculosis in Victoria: a 10-year review. </w:t>
      </w:r>
      <w:r w:rsidRPr="00E2179E">
        <w:rPr>
          <w:rStyle w:val="Emphasis"/>
          <w:rFonts w:eastAsia="Times New Roman"/>
          <w:b w:val="0"/>
        </w:rPr>
        <w:t>Med J Aust</w:t>
      </w:r>
      <w:r>
        <w:rPr>
          <w:rFonts w:eastAsia="Times New Roman"/>
        </w:rPr>
        <w:t xml:space="preserve">. 2009;191(6):315–8. </w:t>
      </w:r>
    </w:p>
    <w:p w14:paraId="2D477747" w14:textId="77777777" w:rsidR="00510214" w:rsidRDefault="00510214" w:rsidP="00510214">
      <w:pPr>
        <w:numPr>
          <w:ilvl w:val="0"/>
          <w:numId w:val="9"/>
        </w:numPr>
        <w:spacing w:before="100" w:beforeAutospacing="1" w:after="100" w:afterAutospacing="1" w:line="240" w:lineRule="auto"/>
        <w:rPr>
          <w:rFonts w:eastAsia="Times New Roman"/>
        </w:rPr>
      </w:pPr>
      <w:r>
        <w:rPr>
          <w:rFonts w:eastAsia="Times New Roman"/>
        </w:rPr>
        <w:t xml:space="preserve">Denholm JT, Leslie DE, Jenkin GA, Darby J, Johnson PDR, Graham SM et al. Long-term follow-up of contacts exposed to multidrug-resistant tuberculosis in Victoria, Australia, 1995–2010. </w:t>
      </w:r>
      <w:r w:rsidRPr="00E2179E">
        <w:rPr>
          <w:rStyle w:val="Emphasis"/>
          <w:rFonts w:eastAsia="Times New Roman"/>
          <w:b w:val="0"/>
        </w:rPr>
        <w:t xml:space="preserve">Int J </w:t>
      </w:r>
      <w:proofErr w:type="spellStart"/>
      <w:r w:rsidRPr="00E2179E">
        <w:rPr>
          <w:rStyle w:val="Emphasis"/>
          <w:rFonts w:eastAsia="Times New Roman"/>
          <w:b w:val="0"/>
        </w:rPr>
        <w:t>Tuberc</w:t>
      </w:r>
      <w:proofErr w:type="spellEnd"/>
      <w:r w:rsidRPr="00E2179E">
        <w:rPr>
          <w:rStyle w:val="Emphasis"/>
          <w:rFonts w:eastAsia="Times New Roman"/>
          <w:b w:val="0"/>
        </w:rPr>
        <w:t xml:space="preserve"> Lung Dis</w:t>
      </w:r>
      <w:r>
        <w:rPr>
          <w:rFonts w:eastAsia="Times New Roman"/>
        </w:rPr>
        <w:t xml:space="preserve">. 2012;16(10):1320–5. </w:t>
      </w:r>
    </w:p>
    <w:p w14:paraId="29B7BB42" w14:textId="77777777" w:rsidR="00510214" w:rsidRDefault="00510214" w:rsidP="00510214">
      <w:pPr>
        <w:numPr>
          <w:ilvl w:val="0"/>
          <w:numId w:val="9"/>
        </w:numPr>
        <w:spacing w:before="100" w:beforeAutospacing="1" w:after="100" w:afterAutospacing="1" w:line="240" w:lineRule="auto"/>
        <w:rPr>
          <w:rFonts w:eastAsia="Times New Roman"/>
        </w:rPr>
      </w:pPr>
      <w:r>
        <w:rPr>
          <w:rFonts w:eastAsia="Times New Roman"/>
        </w:rPr>
        <w:t xml:space="preserve">Francis JR, Blyth CC, Colby S, Fagan JM, Waring J. Multidrug-resistant tuberculosis in Western Australia, 1998–2012. </w:t>
      </w:r>
      <w:r w:rsidRPr="00E2179E">
        <w:rPr>
          <w:rStyle w:val="Emphasis"/>
          <w:rFonts w:eastAsia="Times New Roman"/>
          <w:b w:val="0"/>
        </w:rPr>
        <w:t>Med J Aust</w:t>
      </w:r>
      <w:r>
        <w:rPr>
          <w:rFonts w:eastAsia="Times New Roman"/>
        </w:rPr>
        <w:t xml:space="preserve">. 2014;200(6):328–32. </w:t>
      </w:r>
    </w:p>
    <w:p w14:paraId="0897A301" w14:textId="77777777" w:rsidR="00510214" w:rsidRDefault="00510214" w:rsidP="00510214">
      <w:pPr>
        <w:numPr>
          <w:ilvl w:val="0"/>
          <w:numId w:val="9"/>
        </w:numPr>
        <w:spacing w:before="100" w:beforeAutospacing="1" w:after="100" w:afterAutospacing="1" w:line="240" w:lineRule="auto"/>
        <w:rPr>
          <w:rFonts w:eastAsia="Times New Roman"/>
        </w:rPr>
      </w:pPr>
      <w:r>
        <w:rPr>
          <w:rFonts w:eastAsia="Times New Roman"/>
        </w:rPr>
        <w:t xml:space="preserve">Judge D, Krause V. Multidrug-resistant tuberculosis in the Northern Territory: A 10-year retrospective case series. </w:t>
      </w:r>
      <w:r w:rsidRPr="00E2179E">
        <w:rPr>
          <w:rStyle w:val="Emphasis"/>
          <w:rFonts w:eastAsia="Times New Roman"/>
          <w:b w:val="0"/>
        </w:rPr>
        <w:t>Commun Dis Intell Q Rep</w:t>
      </w:r>
      <w:r>
        <w:rPr>
          <w:rFonts w:eastAsia="Times New Roman"/>
        </w:rPr>
        <w:t xml:space="preserve">. 2016;40(3):E334–9. </w:t>
      </w:r>
    </w:p>
    <w:p w14:paraId="3C55108A" w14:textId="77777777" w:rsidR="00510214" w:rsidRDefault="00510214" w:rsidP="00510214">
      <w:pPr>
        <w:numPr>
          <w:ilvl w:val="0"/>
          <w:numId w:val="9"/>
        </w:numPr>
        <w:spacing w:before="100" w:beforeAutospacing="1" w:after="100" w:afterAutospacing="1" w:line="240" w:lineRule="auto"/>
        <w:rPr>
          <w:rFonts w:eastAsia="Times New Roman"/>
        </w:rPr>
      </w:pPr>
      <w:r>
        <w:rPr>
          <w:rFonts w:eastAsia="Times New Roman"/>
        </w:rPr>
        <w:t xml:space="preserve">Baird T, </w:t>
      </w:r>
      <w:proofErr w:type="spellStart"/>
      <w:r>
        <w:rPr>
          <w:rFonts w:eastAsia="Times New Roman"/>
        </w:rPr>
        <w:t>Donnan</w:t>
      </w:r>
      <w:proofErr w:type="spellEnd"/>
      <w:r>
        <w:rPr>
          <w:rFonts w:eastAsia="Times New Roman"/>
        </w:rPr>
        <w:t xml:space="preserve"> E, Coulter C, Simpson G, Konstantinos A, Eather G. Multidrug-resistant tuberculosis in Queensland, Australia: an ongoing cross-border challenge. </w:t>
      </w:r>
      <w:r w:rsidRPr="00E2179E">
        <w:rPr>
          <w:rStyle w:val="Emphasis"/>
          <w:rFonts w:eastAsia="Times New Roman"/>
          <w:b w:val="0"/>
        </w:rPr>
        <w:t xml:space="preserve">Int J </w:t>
      </w:r>
      <w:proofErr w:type="spellStart"/>
      <w:r w:rsidRPr="00E2179E">
        <w:rPr>
          <w:rStyle w:val="Emphasis"/>
          <w:rFonts w:eastAsia="Times New Roman"/>
          <w:b w:val="0"/>
        </w:rPr>
        <w:t>Tuberc</w:t>
      </w:r>
      <w:proofErr w:type="spellEnd"/>
      <w:r w:rsidRPr="00E2179E">
        <w:rPr>
          <w:rStyle w:val="Emphasis"/>
          <w:rFonts w:eastAsia="Times New Roman"/>
          <w:b w:val="0"/>
        </w:rPr>
        <w:t xml:space="preserve"> Lung Dis</w:t>
      </w:r>
      <w:r>
        <w:rPr>
          <w:rFonts w:eastAsia="Times New Roman"/>
        </w:rPr>
        <w:t xml:space="preserve">. 2018;22(2):206–11. </w:t>
      </w:r>
    </w:p>
    <w:p w14:paraId="26685A4C" w14:textId="77777777" w:rsidR="00510214" w:rsidRDefault="00510214" w:rsidP="00510214">
      <w:pPr>
        <w:numPr>
          <w:ilvl w:val="0"/>
          <w:numId w:val="9"/>
        </w:numPr>
        <w:spacing w:before="100" w:beforeAutospacing="1" w:after="100" w:afterAutospacing="1" w:line="240" w:lineRule="auto"/>
        <w:rPr>
          <w:rFonts w:eastAsia="Times New Roman"/>
        </w:rPr>
      </w:pPr>
      <w:r>
        <w:rPr>
          <w:rFonts w:eastAsia="Times New Roman"/>
        </w:rPr>
        <w:t xml:space="preserve">Teo SS, Tay EL, Douglas P, Krause VL, Graham SM. The epidemiology of tuberculosis in children in Australia, 2003–2012. </w:t>
      </w:r>
      <w:r w:rsidRPr="00E2179E">
        <w:rPr>
          <w:rStyle w:val="Emphasis"/>
          <w:rFonts w:eastAsia="Times New Roman"/>
          <w:b w:val="0"/>
        </w:rPr>
        <w:t>Med J Aust</w:t>
      </w:r>
      <w:r>
        <w:rPr>
          <w:rFonts w:eastAsia="Times New Roman"/>
        </w:rPr>
        <w:t xml:space="preserve">. 2015;203(11):440. </w:t>
      </w:r>
    </w:p>
    <w:p w14:paraId="0C5CD920" w14:textId="77777777" w:rsidR="00510214" w:rsidRDefault="00510214" w:rsidP="00510214">
      <w:pPr>
        <w:numPr>
          <w:ilvl w:val="0"/>
          <w:numId w:val="9"/>
        </w:numPr>
        <w:spacing w:before="100" w:beforeAutospacing="1" w:after="100" w:afterAutospacing="1" w:line="240" w:lineRule="auto"/>
        <w:rPr>
          <w:rFonts w:eastAsia="Times New Roman"/>
        </w:rPr>
      </w:pPr>
      <w:r>
        <w:rPr>
          <w:rFonts w:eastAsia="Times New Roman"/>
        </w:rPr>
        <w:t xml:space="preserve">United Nations (UN). World leaders reaffirm commitment to end tuberculosis by 2030, as General Assembly adopts declaration outlining actions for increased financing, treatment access. [Internet.] New York City: UN; 28 September 2018. Available from: https://www.un.org/press/en/2018/ga12067.doc.htm. </w:t>
      </w:r>
    </w:p>
    <w:p w14:paraId="610246FD" w14:textId="77777777" w:rsidR="00510214" w:rsidRDefault="00510214" w:rsidP="00510214">
      <w:pPr>
        <w:numPr>
          <w:ilvl w:val="0"/>
          <w:numId w:val="9"/>
        </w:numPr>
        <w:spacing w:before="100" w:beforeAutospacing="1" w:after="100" w:afterAutospacing="1" w:line="240" w:lineRule="auto"/>
        <w:rPr>
          <w:rFonts w:eastAsia="Times New Roman"/>
        </w:rPr>
      </w:pPr>
      <w:r>
        <w:rPr>
          <w:rFonts w:eastAsia="Times New Roman"/>
        </w:rPr>
        <w:t xml:space="preserve">WHO. </w:t>
      </w:r>
      <w:r w:rsidRPr="00E2179E">
        <w:rPr>
          <w:rStyle w:val="Emphasis"/>
          <w:rFonts w:eastAsia="Times New Roman"/>
          <w:b w:val="0"/>
        </w:rPr>
        <w:t>Towards TB Elimination: an action framework in low-incidence countries</w:t>
      </w:r>
      <w:r>
        <w:rPr>
          <w:rFonts w:eastAsia="Times New Roman"/>
        </w:rPr>
        <w:t xml:space="preserve">. Geneva: WHO; 2014. Available from: http://www.who.int/tb/publications/elimination_framework/en/. </w:t>
      </w:r>
    </w:p>
    <w:p w14:paraId="2F6A31C0" w14:textId="77777777" w:rsidR="00510214" w:rsidRDefault="00510214" w:rsidP="00510214">
      <w:pPr>
        <w:numPr>
          <w:ilvl w:val="0"/>
          <w:numId w:val="9"/>
        </w:numPr>
        <w:spacing w:before="100" w:beforeAutospacing="1" w:after="100" w:afterAutospacing="1" w:line="240" w:lineRule="auto"/>
        <w:rPr>
          <w:rFonts w:eastAsia="Times New Roman"/>
        </w:rPr>
      </w:pPr>
      <w:r>
        <w:rPr>
          <w:rFonts w:eastAsia="Times New Roman"/>
        </w:rPr>
        <w:t xml:space="preserve">WHO. WHO resolutions on tuberculosis. [Internet.] Geneva: WHO; 2018. Available from: http://www.who.int/tb/publications/resolutions/en/. </w:t>
      </w:r>
    </w:p>
    <w:p w14:paraId="1803646D" w14:textId="77777777" w:rsidR="00510214" w:rsidRDefault="00510214" w:rsidP="00510214">
      <w:pPr>
        <w:numPr>
          <w:ilvl w:val="0"/>
          <w:numId w:val="9"/>
        </w:numPr>
        <w:spacing w:before="100" w:beforeAutospacing="1" w:after="100" w:afterAutospacing="1" w:line="240" w:lineRule="auto"/>
        <w:rPr>
          <w:rFonts w:eastAsia="Times New Roman"/>
        </w:rPr>
      </w:pPr>
      <w:r>
        <w:rPr>
          <w:rFonts w:eastAsia="Times New Roman"/>
        </w:rPr>
        <w:t xml:space="preserve">WHO. </w:t>
      </w:r>
      <w:r w:rsidRPr="00E2179E">
        <w:rPr>
          <w:rStyle w:val="Emphasis"/>
          <w:rFonts w:eastAsia="Times New Roman"/>
          <w:b w:val="0"/>
        </w:rPr>
        <w:t>Definitions and reporting framework for tuberculosis</w:t>
      </w:r>
      <w:r>
        <w:rPr>
          <w:rFonts w:eastAsia="Times New Roman"/>
        </w:rPr>
        <w:t xml:space="preserve">. Geneva: WHO; 2014. Available from: https://www.who.int/tb/publications/definitions/en/. </w:t>
      </w:r>
    </w:p>
    <w:p w14:paraId="55305C9F" w14:textId="77777777" w:rsidR="00510214" w:rsidRDefault="00510214" w:rsidP="00510214">
      <w:pPr>
        <w:numPr>
          <w:ilvl w:val="0"/>
          <w:numId w:val="9"/>
        </w:numPr>
        <w:spacing w:before="100" w:beforeAutospacing="1" w:after="100" w:afterAutospacing="1" w:line="240" w:lineRule="auto"/>
        <w:rPr>
          <w:rFonts w:eastAsia="Times New Roman"/>
        </w:rPr>
      </w:pPr>
      <w:r>
        <w:rPr>
          <w:rFonts w:eastAsia="Times New Roman"/>
        </w:rPr>
        <w:t xml:space="preserve">Stata Statistical Software: Release 13. [Software.] College Station, Texas: </w:t>
      </w:r>
      <w:proofErr w:type="spellStart"/>
      <w:r>
        <w:rPr>
          <w:rFonts w:eastAsia="Times New Roman"/>
        </w:rPr>
        <w:t>StataCorp</w:t>
      </w:r>
      <w:proofErr w:type="spellEnd"/>
      <w:r>
        <w:rPr>
          <w:rFonts w:eastAsia="Times New Roman"/>
        </w:rPr>
        <w:t xml:space="preserve"> LP; 2013. </w:t>
      </w:r>
    </w:p>
    <w:p w14:paraId="3B5E345A" w14:textId="77777777" w:rsidR="00510214" w:rsidRDefault="00510214" w:rsidP="00510214">
      <w:pPr>
        <w:numPr>
          <w:ilvl w:val="0"/>
          <w:numId w:val="9"/>
        </w:numPr>
        <w:spacing w:before="100" w:beforeAutospacing="1" w:after="100" w:afterAutospacing="1" w:line="240" w:lineRule="auto"/>
        <w:rPr>
          <w:rFonts w:eastAsia="Times New Roman"/>
        </w:rPr>
      </w:pPr>
      <w:r>
        <w:rPr>
          <w:rFonts w:eastAsia="Times New Roman"/>
        </w:rPr>
        <w:t xml:space="preserve">WHO. </w:t>
      </w:r>
      <w:r w:rsidRPr="00E2179E">
        <w:rPr>
          <w:rStyle w:val="Emphasis"/>
          <w:rFonts w:eastAsia="Times New Roman"/>
          <w:b w:val="0"/>
        </w:rPr>
        <w:t>Joint external evaluation of IHR core capacities of Australia</w:t>
      </w:r>
      <w:r>
        <w:rPr>
          <w:rFonts w:eastAsia="Times New Roman"/>
        </w:rPr>
        <w:t xml:space="preserve">. Geneva: WHO; 2018. Available from: https://www.who.int/ihr/publications/WHO-WHE-CPI-REP-2018.8/en/. </w:t>
      </w:r>
    </w:p>
    <w:p w14:paraId="280B2C73" w14:textId="77777777" w:rsidR="00510214" w:rsidRDefault="00510214" w:rsidP="00510214">
      <w:pPr>
        <w:numPr>
          <w:ilvl w:val="0"/>
          <w:numId w:val="9"/>
        </w:numPr>
        <w:spacing w:before="100" w:beforeAutospacing="1" w:after="100" w:afterAutospacing="1" w:line="240" w:lineRule="auto"/>
        <w:rPr>
          <w:rFonts w:eastAsia="Times New Roman"/>
        </w:rPr>
      </w:pPr>
      <w:proofErr w:type="spellStart"/>
      <w:r>
        <w:rPr>
          <w:rFonts w:eastAsia="Times New Roman"/>
        </w:rPr>
        <w:t>Donnan</w:t>
      </w:r>
      <w:proofErr w:type="spellEnd"/>
      <w:r>
        <w:rPr>
          <w:rFonts w:eastAsia="Times New Roman"/>
        </w:rPr>
        <w:t xml:space="preserve"> EJ, Coulter C, Simpson G, Clark J, </w:t>
      </w:r>
      <w:proofErr w:type="spellStart"/>
      <w:r>
        <w:rPr>
          <w:rFonts w:eastAsia="Times New Roman"/>
        </w:rPr>
        <w:t>Nourse</w:t>
      </w:r>
      <w:proofErr w:type="spellEnd"/>
      <w:r>
        <w:rPr>
          <w:rFonts w:eastAsia="Times New Roman"/>
        </w:rPr>
        <w:t xml:space="preserve"> C. Paediatric tuberculosis in Queensland, Australia: overrepresentation of cross-border and Indigenous children. </w:t>
      </w:r>
      <w:r w:rsidRPr="00E2179E">
        <w:rPr>
          <w:rStyle w:val="Emphasis"/>
          <w:rFonts w:eastAsia="Times New Roman"/>
          <w:b w:val="0"/>
        </w:rPr>
        <w:t xml:space="preserve">Int J </w:t>
      </w:r>
      <w:proofErr w:type="spellStart"/>
      <w:r w:rsidRPr="00E2179E">
        <w:rPr>
          <w:rStyle w:val="Emphasis"/>
          <w:rFonts w:eastAsia="Times New Roman"/>
          <w:b w:val="0"/>
        </w:rPr>
        <w:t>Tuberc</w:t>
      </w:r>
      <w:proofErr w:type="spellEnd"/>
      <w:r w:rsidRPr="00E2179E">
        <w:rPr>
          <w:rStyle w:val="Emphasis"/>
          <w:rFonts w:eastAsia="Times New Roman"/>
          <w:b w:val="0"/>
        </w:rPr>
        <w:t xml:space="preserve"> Lung Dis</w:t>
      </w:r>
      <w:r>
        <w:rPr>
          <w:rFonts w:eastAsia="Times New Roman"/>
        </w:rPr>
        <w:t xml:space="preserve">. 2017;21(3):263–9. </w:t>
      </w:r>
    </w:p>
    <w:p w14:paraId="4FB503C1" w14:textId="77777777" w:rsidR="00510214" w:rsidRDefault="00510214" w:rsidP="00510214">
      <w:pPr>
        <w:numPr>
          <w:ilvl w:val="0"/>
          <w:numId w:val="9"/>
        </w:numPr>
        <w:spacing w:before="100" w:beforeAutospacing="1" w:after="100" w:afterAutospacing="1" w:line="240" w:lineRule="auto"/>
        <w:rPr>
          <w:rFonts w:eastAsia="Times New Roman"/>
        </w:rPr>
      </w:pPr>
      <w:proofErr w:type="spellStart"/>
      <w:r>
        <w:rPr>
          <w:rFonts w:eastAsia="Times New Roman"/>
        </w:rPr>
        <w:t>Diefenbach‐Elstob</w:t>
      </w:r>
      <w:proofErr w:type="spellEnd"/>
      <w:r>
        <w:rPr>
          <w:rFonts w:eastAsia="Times New Roman"/>
        </w:rPr>
        <w:t xml:space="preserve"> T, Graves P, </w:t>
      </w:r>
      <w:proofErr w:type="spellStart"/>
      <w:r>
        <w:rPr>
          <w:rFonts w:eastAsia="Times New Roman"/>
        </w:rPr>
        <w:t>Dowi</w:t>
      </w:r>
      <w:proofErr w:type="spellEnd"/>
      <w:r>
        <w:rPr>
          <w:rFonts w:eastAsia="Times New Roman"/>
        </w:rPr>
        <w:t xml:space="preserve"> R, Gula B, Plummer D, McBryde E et al. The epidemiology of tuberculosis in the rural </w:t>
      </w:r>
      <w:proofErr w:type="spellStart"/>
      <w:r>
        <w:rPr>
          <w:rFonts w:eastAsia="Times New Roman"/>
        </w:rPr>
        <w:t>Balimo</w:t>
      </w:r>
      <w:proofErr w:type="spellEnd"/>
      <w:r>
        <w:rPr>
          <w:rFonts w:eastAsia="Times New Roman"/>
        </w:rPr>
        <w:t xml:space="preserve"> region of Papua New Guinea. </w:t>
      </w:r>
      <w:r w:rsidRPr="00E2179E">
        <w:rPr>
          <w:rStyle w:val="Emphasis"/>
          <w:rFonts w:eastAsia="Times New Roman"/>
          <w:b w:val="0"/>
        </w:rPr>
        <w:t>Trop Med Int Health</w:t>
      </w:r>
      <w:r>
        <w:rPr>
          <w:rFonts w:eastAsia="Times New Roman"/>
        </w:rPr>
        <w:t xml:space="preserve">. 2018;23(9):1022–32. </w:t>
      </w:r>
    </w:p>
    <w:p w14:paraId="6E5DE3FE" w14:textId="77777777" w:rsidR="00510214" w:rsidRDefault="00510214" w:rsidP="00510214">
      <w:pPr>
        <w:numPr>
          <w:ilvl w:val="0"/>
          <w:numId w:val="9"/>
        </w:numPr>
        <w:spacing w:before="100" w:beforeAutospacing="1" w:after="100" w:afterAutospacing="1" w:line="240" w:lineRule="auto"/>
        <w:rPr>
          <w:rFonts w:eastAsia="Times New Roman"/>
        </w:rPr>
      </w:pPr>
      <w:r>
        <w:rPr>
          <w:rFonts w:eastAsia="Times New Roman"/>
        </w:rPr>
        <w:t xml:space="preserve">Queensland Health. </w:t>
      </w:r>
      <w:r w:rsidRPr="00E2179E">
        <w:rPr>
          <w:rStyle w:val="Emphasis"/>
          <w:rFonts w:eastAsia="Times New Roman"/>
          <w:b w:val="0"/>
        </w:rPr>
        <w:t>Tuberculosis in Queensland 2011-2012</w:t>
      </w:r>
      <w:r>
        <w:rPr>
          <w:rFonts w:eastAsia="Times New Roman"/>
        </w:rPr>
        <w:t xml:space="preserve">. Brisbane: Queensland Government, Queensland Health; 2015. Available from: https://www.health.qld.gov.au/clinical-practice/guidelines-procedures/diseases-infection/diseases/tuberculosis/surveillance. </w:t>
      </w:r>
    </w:p>
    <w:p w14:paraId="23008228" w14:textId="77777777" w:rsidR="00510214" w:rsidRDefault="00510214" w:rsidP="00510214">
      <w:pPr>
        <w:numPr>
          <w:ilvl w:val="0"/>
          <w:numId w:val="9"/>
        </w:numPr>
        <w:spacing w:before="100" w:beforeAutospacing="1" w:after="100" w:afterAutospacing="1" w:line="240" w:lineRule="auto"/>
        <w:rPr>
          <w:rFonts w:eastAsia="Times New Roman"/>
        </w:rPr>
      </w:pPr>
      <w:r>
        <w:rPr>
          <w:rFonts w:eastAsia="Times New Roman"/>
        </w:rPr>
        <w:t xml:space="preserve">Queensland Health. </w:t>
      </w:r>
      <w:r w:rsidRPr="00E2179E">
        <w:rPr>
          <w:rStyle w:val="Emphasis"/>
          <w:rFonts w:eastAsia="Times New Roman"/>
          <w:b w:val="0"/>
        </w:rPr>
        <w:t>Tuberculosis in Queensland 2013-2014</w:t>
      </w:r>
      <w:r>
        <w:rPr>
          <w:rFonts w:eastAsia="Times New Roman"/>
        </w:rPr>
        <w:t xml:space="preserve">. Brisbane: Queensland Government, Queensland Health; 2016. Available from: https://www.health.qld.gov.au/clinical-practice/guidelines-procedures/diseases-infection/diseases/tuberculosis/surveillance. </w:t>
      </w:r>
    </w:p>
    <w:p w14:paraId="658E0E2C" w14:textId="77777777" w:rsidR="00510214" w:rsidRDefault="00510214" w:rsidP="00510214">
      <w:pPr>
        <w:numPr>
          <w:ilvl w:val="0"/>
          <w:numId w:val="9"/>
        </w:numPr>
        <w:spacing w:before="100" w:beforeAutospacing="1" w:after="100" w:afterAutospacing="1" w:line="240" w:lineRule="auto"/>
        <w:rPr>
          <w:rFonts w:eastAsia="Times New Roman"/>
        </w:rPr>
      </w:pPr>
      <w:proofErr w:type="spellStart"/>
      <w:r>
        <w:rPr>
          <w:rFonts w:eastAsia="Times New Roman"/>
        </w:rPr>
        <w:t>Noertjojo</w:t>
      </w:r>
      <w:proofErr w:type="spellEnd"/>
      <w:r>
        <w:rPr>
          <w:rFonts w:eastAsia="Times New Roman"/>
        </w:rPr>
        <w:t xml:space="preserve"> K, Tam CM, Chan SL, Chan-Yeung MMW. Extra-pulmonary and pulmonary tuberculosis in Hong Kong. </w:t>
      </w:r>
      <w:r w:rsidRPr="00E2179E">
        <w:rPr>
          <w:rStyle w:val="Emphasis"/>
          <w:rFonts w:eastAsia="Times New Roman"/>
          <w:b w:val="0"/>
        </w:rPr>
        <w:t xml:space="preserve">Int J </w:t>
      </w:r>
      <w:proofErr w:type="spellStart"/>
      <w:r w:rsidRPr="00E2179E">
        <w:rPr>
          <w:rStyle w:val="Emphasis"/>
          <w:rFonts w:eastAsia="Times New Roman"/>
          <w:b w:val="0"/>
        </w:rPr>
        <w:t>Tuberc</w:t>
      </w:r>
      <w:proofErr w:type="spellEnd"/>
      <w:r w:rsidRPr="00E2179E">
        <w:rPr>
          <w:rStyle w:val="Emphasis"/>
          <w:rFonts w:eastAsia="Times New Roman"/>
          <w:b w:val="0"/>
        </w:rPr>
        <w:t xml:space="preserve"> Lung Dis</w:t>
      </w:r>
      <w:r>
        <w:rPr>
          <w:rFonts w:eastAsia="Times New Roman"/>
        </w:rPr>
        <w:t xml:space="preserve">. 2002;6(10):879–86. </w:t>
      </w:r>
    </w:p>
    <w:p w14:paraId="15C29F6E" w14:textId="77777777" w:rsidR="00510214" w:rsidRDefault="00510214" w:rsidP="00510214">
      <w:pPr>
        <w:numPr>
          <w:ilvl w:val="0"/>
          <w:numId w:val="9"/>
        </w:numPr>
        <w:spacing w:before="100" w:beforeAutospacing="1" w:after="100" w:afterAutospacing="1" w:line="240" w:lineRule="auto"/>
        <w:rPr>
          <w:rFonts w:eastAsia="Times New Roman"/>
        </w:rPr>
      </w:pPr>
      <w:r>
        <w:rPr>
          <w:rFonts w:eastAsia="Times New Roman"/>
        </w:rPr>
        <w:t xml:space="preserve">Yang Z, Kong Y, Wilson F, Foxman B, Fowler AH, Marrs CF et al. Identification of risk factors for extrapulmonary tuberculosis. </w:t>
      </w:r>
      <w:r w:rsidRPr="00E2179E">
        <w:rPr>
          <w:rStyle w:val="Emphasis"/>
          <w:rFonts w:eastAsia="Times New Roman"/>
          <w:b w:val="0"/>
        </w:rPr>
        <w:t>Clin Infect Dis</w:t>
      </w:r>
      <w:r>
        <w:rPr>
          <w:rFonts w:eastAsia="Times New Roman"/>
        </w:rPr>
        <w:t xml:space="preserve">. 2004;38(2):199–205. </w:t>
      </w:r>
    </w:p>
    <w:p w14:paraId="666AF296" w14:textId="77777777" w:rsidR="00510214" w:rsidRDefault="00510214" w:rsidP="00510214">
      <w:pPr>
        <w:numPr>
          <w:ilvl w:val="0"/>
          <w:numId w:val="9"/>
        </w:numPr>
        <w:spacing w:before="100" w:beforeAutospacing="1" w:after="100" w:afterAutospacing="1" w:line="240" w:lineRule="auto"/>
        <w:rPr>
          <w:rFonts w:eastAsia="Times New Roman"/>
        </w:rPr>
      </w:pPr>
      <w:proofErr w:type="spellStart"/>
      <w:r>
        <w:rPr>
          <w:rFonts w:eastAsia="Times New Roman"/>
        </w:rPr>
        <w:t>Musellim</w:t>
      </w:r>
      <w:proofErr w:type="spellEnd"/>
      <w:r>
        <w:rPr>
          <w:rFonts w:eastAsia="Times New Roman"/>
        </w:rPr>
        <w:t xml:space="preserve"> B, </w:t>
      </w:r>
      <w:proofErr w:type="spellStart"/>
      <w:r>
        <w:rPr>
          <w:rFonts w:eastAsia="Times New Roman"/>
        </w:rPr>
        <w:t>Erturan</w:t>
      </w:r>
      <w:proofErr w:type="spellEnd"/>
      <w:r>
        <w:rPr>
          <w:rFonts w:eastAsia="Times New Roman"/>
        </w:rPr>
        <w:t xml:space="preserve"> S, </w:t>
      </w:r>
      <w:proofErr w:type="spellStart"/>
      <w:r>
        <w:rPr>
          <w:rFonts w:eastAsia="Times New Roman"/>
        </w:rPr>
        <w:t>Sonmez</w:t>
      </w:r>
      <w:proofErr w:type="spellEnd"/>
      <w:r>
        <w:rPr>
          <w:rFonts w:eastAsia="Times New Roman"/>
        </w:rPr>
        <w:t xml:space="preserve"> Duman E, </w:t>
      </w:r>
      <w:proofErr w:type="spellStart"/>
      <w:r>
        <w:rPr>
          <w:rFonts w:eastAsia="Times New Roman"/>
        </w:rPr>
        <w:t>Ongen</w:t>
      </w:r>
      <w:proofErr w:type="spellEnd"/>
      <w:r>
        <w:rPr>
          <w:rFonts w:eastAsia="Times New Roman"/>
        </w:rPr>
        <w:t xml:space="preserve"> G. Comparison of extra-pulmonary and pulmonary tuberculosis cases: factors influencing the site of reactivation. </w:t>
      </w:r>
      <w:r w:rsidRPr="00E2179E">
        <w:rPr>
          <w:rStyle w:val="Emphasis"/>
          <w:rFonts w:eastAsia="Times New Roman"/>
          <w:b w:val="0"/>
        </w:rPr>
        <w:t xml:space="preserve">Int J </w:t>
      </w:r>
      <w:proofErr w:type="spellStart"/>
      <w:r w:rsidRPr="00E2179E">
        <w:rPr>
          <w:rStyle w:val="Emphasis"/>
          <w:rFonts w:eastAsia="Times New Roman"/>
          <w:b w:val="0"/>
        </w:rPr>
        <w:t>Tuberc</w:t>
      </w:r>
      <w:proofErr w:type="spellEnd"/>
      <w:r w:rsidRPr="00E2179E">
        <w:rPr>
          <w:rStyle w:val="Emphasis"/>
          <w:rFonts w:eastAsia="Times New Roman"/>
          <w:b w:val="0"/>
        </w:rPr>
        <w:t xml:space="preserve"> Lung Dis</w:t>
      </w:r>
      <w:r>
        <w:rPr>
          <w:rFonts w:eastAsia="Times New Roman"/>
        </w:rPr>
        <w:t xml:space="preserve">. 2005;9(11):1220–3. </w:t>
      </w:r>
    </w:p>
    <w:p w14:paraId="2FE9441A" w14:textId="77777777" w:rsidR="00510214" w:rsidRDefault="00510214" w:rsidP="00510214">
      <w:pPr>
        <w:numPr>
          <w:ilvl w:val="0"/>
          <w:numId w:val="9"/>
        </w:numPr>
        <w:spacing w:before="100" w:beforeAutospacing="1" w:after="100" w:afterAutospacing="1" w:line="240" w:lineRule="auto"/>
        <w:rPr>
          <w:rFonts w:eastAsia="Times New Roman"/>
        </w:rPr>
      </w:pPr>
      <w:proofErr w:type="spellStart"/>
      <w:r>
        <w:rPr>
          <w:rFonts w:eastAsia="Times New Roman"/>
        </w:rPr>
        <w:t>Sreeramareddy</w:t>
      </w:r>
      <w:proofErr w:type="spellEnd"/>
      <w:r>
        <w:rPr>
          <w:rFonts w:eastAsia="Times New Roman"/>
        </w:rPr>
        <w:t xml:space="preserve"> CT, </w:t>
      </w:r>
      <w:proofErr w:type="spellStart"/>
      <w:r>
        <w:rPr>
          <w:rFonts w:eastAsia="Times New Roman"/>
        </w:rPr>
        <w:t>Panduru</w:t>
      </w:r>
      <w:proofErr w:type="spellEnd"/>
      <w:r>
        <w:rPr>
          <w:rFonts w:eastAsia="Times New Roman"/>
        </w:rPr>
        <w:t xml:space="preserve"> KV, Verma SC, Joshi HS, Bates MN. Comparison of pulmonary and extrapulmonary tuberculosis in Nepal-a hospital-based retrospective study. </w:t>
      </w:r>
      <w:r w:rsidRPr="00E2179E">
        <w:rPr>
          <w:rStyle w:val="Emphasis"/>
          <w:rFonts w:eastAsia="Times New Roman"/>
          <w:b w:val="0"/>
        </w:rPr>
        <w:t>BMC Infect Dis</w:t>
      </w:r>
      <w:r>
        <w:rPr>
          <w:rFonts w:eastAsia="Times New Roman"/>
        </w:rPr>
        <w:t xml:space="preserve">. 2008;8(1):8. </w:t>
      </w:r>
    </w:p>
    <w:p w14:paraId="22E66A98" w14:textId="77777777" w:rsidR="00510214" w:rsidRDefault="00510214" w:rsidP="00510214">
      <w:pPr>
        <w:numPr>
          <w:ilvl w:val="0"/>
          <w:numId w:val="9"/>
        </w:numPr>
        <w:spacing w:before="100" w:beforeAutospacing="1" w:after="100" w:afterAutospacing="1" w:line="240" w:lineRule="auto"/>
        <w:rPr>
          <w:rFonts w:eastAsia="Times New Roman"/>
        </w:rPr>
      </w:pPr>
      <w:r>
        <w:rPr>
          <w:rFonts w:eastAsia="Times New Roman"/>
        </w:rPr>
        <w:t xml:space="preserve">van den Hof S, </w:t>
      </w:r>
      <w:proofErr w:type="spellStart"/>
      <w:r>
        <w:rPr>
          <w:rFonts w:eastAsia="Times New Roman"/>
        </w:rPr>
        <w:t>Tursynbayeva</w:t>
      </w:r>
      <w:proofErr w:type="spellEnd"/>
      <w:r>
        <w:rPr>
          <w:rFonts w:eastAsia="Times New Roman"/>
        </w:rPr>
        <w:t xml:space="preserve"> A, </w:t>
      </w:r>
      <w:proofErr w:type="spellStart"/>
      <w:r>
        <w:rPr>
          <w:rFonts w:eastAsia="Times New Roman"/>
        </w:rPr>
        <w:t>Abildaev</w:t>
      </w:r>
      <w:proofErr w:type="spellEnd"/>
      <w:r>
        <w:rPr>
          <w:rFonts w:eastAsia="Times New Roman"/>
        </w:rPr>
        <w:t xml:space="preserve"> T, </w:t>
      </w:r>
      <w:proofErr w:type="spellStart"/>
      <w:r>
        <w:rPr>
          <w:rFonts w:eastAsia="Times New Roman"/>
        </w:rPr>
        <w:t>Adenov</w:t>
      </w:r>
      <w:proofErr w:type="spellEnd"/>
      <w:r>
        <w:rPr>
          <w:rFonts w:eastAsia="Times New Roman"/>
        </w:rPr>
        <w:t xml:space="preserve"> M, Pak S, </w:t>
      </w:r>
      <w:proofErr w:type="spellStart"/>
      <w:r>
        <w:rPr>
          <w:rFonts w:eastAsia="Times New Roman"/>
        </w:rPr>
        <w:t>Ismailov</w:t>
      </w:r>
      <w:proofErr w:type="spellEnd"/>
      <w:r>
        <w:rPr>
          <w:rFonts w:eastAsia="Times New Roman"/>
        </w:rPr>
        <w:t xml:space="preserve"> S. </w:t>
      </w:r>
      <w:proofErr w:type="gramStart"/>
      <w:r>
        <w:rPr>
          <w:rFonts w:eastAsia="Times New Roman"/>
        </w:rPr>
        <w:t>HIV</w:t>
      </w:r>
      <w:proofErr w:type="gramEnd"/>
      <w:r>
        <w:rPr>
          <w:rFonts w:eastAsia="Times New Roman"/>
        </w:rPr>
        <w:t xml:space="preserve"> and multidrug-resistant tuberculosis: overlapping risk factors. </w:t>
      </w:r>
      <w:proofErr w:type="spellStart"/>
      <w:r w:rsidRPr="00E2179E">
        <w:rPr>
          <w:rStyle w:val="Emphasis"/>
          <w:rFonts w:eastAsia="Times New Roman"/>
          <w:b w:val="0"/>
        </w:rPr>
        <w:t>Eur</w:t>
      </w:r>
      <w:proofErr w:type="spellEnd"/>
      <w:r w:rsidRPr="00E2179E">
        <w:rPr>
          <w:rStyle w:val="Emphasis"/>
          <w:rFonts w:eastAsia="Times New Roman"/>
          <w:b w:val="0"/>
        </w:rPr>
        <w:t xml:space="preserve"> Respir J</w:t>
      </w:r>
      <w:r>
        <w:rPr>
          <w:rFonts w:eastAsia="Times New Roman"/>
        </w:rPr>
        <w:t xml:space="preserve">. 2015;45(2):567–9. </w:t>
      </w:r>
    </w:p>
    <w:p w14:paraId="7C941831" w14:textId="77777777" w:rsidR="00510214" w:rsidRDefault="00510214" w:rsidP="00510214">
      <w:pPr>
        <w:numPr>
          <w:ilvl w:val="0"/>
          <w:numId w:val="9"/>
        </w:numPr>
        <w:spacing w:before="100" w:beforeAutospacing="1" w:after="100" w:afterAutospacing="1" w:line="240" w:lineRule="auto"/>
        <w:rPr>
          <w:rFonts w:eastAsia="Times New Roman"/>
        </w:rPr>
      </w:pPr>
      <w:r>
        <w:rPr>
          <w:rFonts w:eastAsia="Times New Roman"/>
        </w:rPr>
        <w:t xml:space="preserve">WHO. </w:t>
      </w:r>
      <w:r w:rsidRPr="00E2179E">
        <w:rPr>
          <w:rStyle w:val="Emphasis"/>
          <w:rFonts w:eastAsia="Times New Roman"/>
          <w:b w:val="0"/>
        </w:rPr>
        <w:t>WHO consolidated guidelines on drug-resistant tuberculosis treatment</w:t>
      </w:r>
      <w:r>
        <w:rPr>
          <w:rFonts w:eastAsia="Times New Roman"/>
        </w:rPr>
        <w:t xml:space="preserve">. Geneva: WHO; 2019. Available from: https://www.who.int/tb/publications/2019/consolidated-guidelines-drug-resistant-TB-treatment/en/. </w:t>
      </w:r>
    </w:p>
    <w:p w14:paraId="5870FADF" w14:textId="77777777" w:rsidR="00510214" w:rsidRDefault="00510214" w:rsidP="00510214">
      <w:pPr>
        <w:numPr>
          <w:ilvl w:val="0"/>
          <w:numId w:val="9"/>
        </w:numPr>
        <w:spacing w:before="100" w:beforeAutospacing="1" w:after="100" w:afterAutospacing="1" w:line="240" w:lineRule="auto"/>
        <w:rPr>
          <w:rFonts w:eastAsia="Times New Roman"/>
        </w:rPr>
      </w:pPr>
      <w:r>
        <w:rPr>
          <w:rFonts w:eastAsia="Times New Roman"/>
        </w:rPr>
        <w:t xml:space="preserve">Kendall EA, Fofana MO, Dowdy DW. Burden of transmitted multidrug resistance in epidemics of tuberculosis: a transmission modelling analysis. </w:t>
      </w:r>
      <w:r w:rsidRPr="00E2179E">
        <w:rPr>
          <w:rStyle w:val="Emphasis"/>
          <w:rFonts w:eastAsia="Times New Roman"/>
          <w:b w:val="0"/>
        </w:rPr>
        <w:t>Lancet Respir Med</w:t>
      </w:r>
      <w:r>
        <w:rPr>
          <w:rFonts w:eastAsia="Times New Roman"/>
        </w:rPr>
        <w:t>. 2015;3(12):963–72.</w:t>
      </w:r>
    </w:p>
    <w:p w14:paraId="01552C96" w14:textId="77777777" w:rsidR="008B5348" w:rsidRDefault="008B5348">
      <w:pPr>
        <w:rPr>
          <w:rStyle w:val="A10"/>
        </w:rPr>
        <w:sectPr w:rsidR="008B5348" w:rsidSect="00A30C37">
          <w:pgSz w:w="11906" w:h="16838"/>
          <w:pgMar w:top="720" w:right="720" w:bottom="1134" w:left="720" w:header="709" w:footer="284" w:gutter="0"/>
          <w:cols w:space="708"/>
          <w:titlePg/>
          <w:docGrid w:linePitch="360"/>
        </w:sectPr>
      </w:pPr>
    </w:p>
    <w:p w14:paraId="3B9C155D"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6DEC6454"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20D1E420" w14:textId="77777777" w:rsidR="000A5F42" w:rsidRPr="000606CC" w:rsidRDefault="000A5F42" w:rsidP="000A5F42">
      <w:pPr>
        <w:pStyle w:val="NoSpacing"/>
        <w:rPr>
          <w:rStyle w:val="URI"/>
          <w:rFonts w:cstheme="minorHAnsi"/>
          <w:sz w:val="20"/>
          <w:szCs w:val="18"/>
        </w:rPr>
      </w:pPr>
    </w:p>
    <w:p w14:paraId="2F2971F9"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640628D5" w14:textId="77777777" w:rsidR="000A5F42" w:rsidRPr="000606CC" w:rsidRDefault="000A5F42" w:rsidP="000A5F42">
      <w:pPr>
        <w:pStyle w:val="NoSpacing"/>
        <w:rPr>
          <w:rStyle w:val="Strong"/>
          <w:rFonts w:cstheme="minorHAnsi"/>
          <w:sz w:val="20"/>
          <w:szCs w:val="18"/>
        </w:rPr>
      </w:pPr>
    </w:p>
    <w:p w14:paraId="5B59693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C42834">
        <w:rPr>
          <w:rFonts w:cstheme="minorHAnsi"/>
          <w:sz w:val="20"/>
          <w:szCs w:val="18"/>
        </w:rPr>
        <w:t>Tanja Farmer</w:t>
      </w:r>
    </w:p>
    <w:p w14:paraId="10273EA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4C9B38F3"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79E4A986"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5448856C" w14:textId="77777777" w:rsidR="000A5F42" w:rsidRPr="000606CC" w:rsidRDefault="000A5F42" w:rsidP="000A5F42">
      <w:pPr>
        <w:pStyle w:val="NoSpacing"/>
        <w:rPr>
          <w:rStyle w:val="Strong"/>
          <w:rFonts w:cstheme="minorHAnsi"/>
          <w:sz w:val="20"/>
          <w:szCs w:val="18"/>
        </w:rPr>
      </w:pPr>
    </w:p>
    <w:p w14:paraId="7D3350EE" w14:textId="2090F82B"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4"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34B4AC5A" w14:textId="77777777" w:rsidR="000A5F42" w:rsidRPr="000606CC" w:rsidRDefault="000A5F42" w:rsidP="000A5F42">
      <w:pPr>
        <w:pStyle w:val="NoSpacing"/>
        <w:rPr>
          <w:rStyle w:val="Strong"/>
          <w:rFonts w:cstheme="minorHAnsi"/>
          <w:sz w:val="20"/>
          <w:szCs w:val="18"/>
        </w:rPr>
      </w:pPr>
    </w:p>
    <w:p w14:paraId="1244D622"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75D79D3B" w14:textId="77777777" w:rsidR="000A5F42" w:rsidRPr="000606CC" w:rsidRDefault="000A5F42" w:rsidP="000A5F42">
      <w:pPr>
        <w:pStyle w:val="NoSpacing"/>
        <w:rPr>
          <w:rStyle w:val="Strong"/>
          <w:rFonts w:cstheme="minorHAnsi"/>
          <w:sz w:val="20"/>
          <w:szCs w:val="18"/>
        </w:rPr>
      </w:pPr>
    </w:p>
    <w:p w14:paraId="6BB7DA31" w14:textId="519A4F7B"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5"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073A6A16" w14:textId="77777777" w:rsidR="000A5F42" w:rsidRPr="000606CC" w:rsidRDefault="000A5F42" w:rsidP="000A5F42">
      <w:pPr>
        <w:pStyle w:val="NoSpacing"/>
        <w:rPr>
          <w:rStyle w:val="Strong"/>
          <w:rFonts w:cstheme="minorHAnsi"/>
          <w:sz w:val="20"/>
          <w:szCs w:val="18"/>
        </w:rPr>
      </w:pPr>
    </w:p>
    <w:p w14:paraId="67049133" w14:textId="0FE33BA8"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6"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35434F1C" w14:textId="1890691A"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7" w:history="1">
        <w:r w:rsidRPr="000606CC">
          <w:rPr>
            <w:rStyle w:val="Hyperlink"/>
            <w:rFonts w:cstheme="minorHAnsi"/>
            <w:sz w:val="20"/>
            <w:szCs w:val="18"/>
          </w:rPr>
          <w:t>cdi.editor@health.gov.au</w:t>
        </w:r>
      </w:hyperlink>
      <w:r w:rsidRPr="000606CC">
        <w:rPr>
          <w:rFonts w:cstheme="minorHAnsi"/>
          <w:sz w:val="20"/>
          <w:szCs w:val="18"/>
        </w:rPr>
        <w:t>.</w:t>
      </w:r>
    </w:p>
    <w:p w14:paraId="723EA921" w14:textId="77777777" w:rsidR="000A5F42" w:rsidRPr="000606CC" w:rsidRDefault="000A5F42" w:rsidP="000A5F42">
      <w:pPr>
        <w:pStyle w:val="NoSpacing"/>
        <w:pBdr>
          <w:bottom w:val="single" w:sz="6" w:space="1" w:color="auto"/>
        </w:pBdr>
        <w:rPr>
          <w:rStyle w:val="Strong"/>
          <w:rFonts w:cstheme="minorHAnsi"/>
          <w:sz w:val="12"/>
          <w:szCs w:val="18"/>
        </w:rPr>
      </w:pPr>
    </w:p>
    <w:p w14:paraId="68EB4D86" w14:textId="77777777" w:rsidR="000A5F42" w:rsidRPr="000606CC" w:rsidRDefault="000A5F42" w:rsidP="000A5F42">
      <w:pPr>
        <w:pStyle w:val="NoSpacing"/>
        <w:rPr>
          <w:rFonts w:cstheme="minorHAnsi"/>
          <w:sz w:val="20"/>
          <w:szCs w:val="18"/>
        </w:rPr>
      </w:pPr>
    </w:p>
    <w:p w14:paraId="2609F54F"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67149331" w14:textId="77777777" w:rsidR="000A5F42" w:rsidRPr="000606CC" w:rsidRDefault="000A5F42" w:rsidP="000A5F42">
      <w:pPr>
        <w:pStyle w:val="NoSpacing"/>
        <w:rPr>
          <w:rFonts w:cstheme="minorHAnsi"/>
          <w:sz w:val="20"/>
          <w:szCs w:val="18"/>
        </w:rPr>
      </w:pPr>
    </w:p>
    <w:p w14:paraId="1B5FA12F"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3EB74E82"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2020</w:t>
      </w:r>
      <w:r w:rsidRPr="000606CC">
        <w:rPr>
          <w:rFonts w:cstheme="minorHAnsi"/>
          <w:sz w:val="20"/>
          <w:szCs w:val="18"/>
        </w:rPr>
        <w:t xml:space="preserve"> Commonwealth of Australia as represented by the Department of Health</w:t>
      </w:r>
    </w:p>
    <w:p w14:paraId="194BA12E" w14:textId="4384DAF2"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8"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05730DEC" w14:textId="77777777" w:rsidR="000A5F42" w:rsidRPr="000606CC" w:rsidRDefault="000A5F42" w:rsidP="000A5F42">
      <w:pPr>
        <w:pStyle w:val="NoSpacing"/>
        <w:rPr>
          <w:rFonts w:cstheme="minorHAnsi"/>
          <w:sz w:val="20"/>
          <w:szCs w:val="18"/>
        </w:rPr>
      </w:pPr>
    </w:p>
    <w:p w14:paraId="29E9D0A8"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09F6802C" w14:textId="50AA9404"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9"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509FC1D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1BDD501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14567885"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545A4AF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26FA34CE" w14:textId="77777777" w:rsidR="000A5F42" w:rsidRPr="000606CC" w:rsidRDefault="000A5F42" w:rsidP="000A5F42">
      <w:pPr>
        <w:pStyle w:val="NoSpacing"/>
        <w:rPr>
          <w:rStyle w:val="Strong"/>
          <w:rFonts w:cstheme="minorHAnsi"/>
          <w:sz w:val="20"/>
          <w:szCs w:val="18"/>
        </w:rPr>
      </w:pPr>
    </w:p>
    <w:p w14:paraId="67C88538"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12ABB300" w14:textId="77777777" w:rsidR="000A5F42" w:rsidRPr="000606CC" w:rsidRDefault="000A5F42" w:rsidP="000A5F42">
      <w:pPr>
        <w:pStyle w:val="NoSpacing"/>
        <w:rPr>
          <w:rStyle w:val="Strong"/>
          <w:rFonts w:cstheme="minorHAnsi"/>
          <w:sz w:val="20"/>
          <w:szCs w:val="18"/>
        </w:rPr>
      </w:pPr>
    </w:p>
    <w:p w14:paraId="5FFED1ED" w14:textId="49F5F5AC"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0"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4DC86383" w14:textId="77777777" w:rsidR="000A5F42" w:rsidRPr="000606CC" w:rsidRDefault="000A5F42" w:rsidP="000A5F42">
      <w:pPr>
        <w:pStyle w:val="NoSpacing"/>
        <w:rPr>
          <w:rStyle w:val="URI"/>
          <w:rFonts w:cstheme="minorHAnsi"/>
          <w:sz w:val="20"/>
          <w:szCs w:val="18"/>
        </w:rPr>
      </w:pPr>
    </w:p>
    <w:p w14:paraId="1B9E8071" w14:textId="22EDA950"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1" w:tooltip="Communicable Diseases Network Australia website" w:history="1">
        <w:r w:rsidRPr="000606CC">
          <w:rPr>
            <w:rStyle w:val="Hyperlink"/>
            <w:rFonts w:cstheme="minorHAnsi"/>
            <w:sz w:val="20"/>
            <w:szCs w:val="18"/>
          </w:rPr>
          <w:t>http://www.health.gov.au/cdna</w:t>
        </w:r>
      </w:hyperlink>
    </w:p>
    <w:p w14:paraId="2AB23F73" w14:textId="77777777" w:rsidR="001B37B8" w:rsidRPr="00E92237" w:rsidRDefault="001B37B8" w:rsidP="001B37B8">
      <w:pPr>
        <w:rPr>
          <w:rFonts w:cs="Myriad Pro"/>
          <w:color w:val="211D1E"/>
          <w:sz w:val="20"/>
          <w:szCs w:val="20"/>
        </w:rPr>
      </w:pPr>
    </w:p>
    <w:sectPr w:rsidR="001B37B8" w:rsidRPr="00E92237" w:rsidSect="002B75A9">
      <w:headerReference w:type="default" r:id="rId22"/>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AD34E" w14:textId="77777777" w:rsidR="004E36B8" w:rsidRDefault="004E36B8" w:rsidP="00E54DBA">
      <w:r>
        <w:separator/>
      </w:r>
    </w:p>
    <w:p w14:paraId="697929E8" w14:textId="77777777" w:rsidR="004E36B8" w:rsidRDefault="004E36B8"/>
    <w:p w14:paraId="68498990" w14:textId="77777777" w:rsidR="004E36B8" w:rsidRDefault="004E36B8" w:rsidP="008714B0"/>
  </w:endnote>
  <w:endnote w:type="continuationSeparator" w:id="0">
    <w:p w14:paraId="7822F5CF" w14:textId="77777777" w:rsidR="004E36B8" w:rsidRDefault="004E36B8" w:rsidP="00E54DBA">
      <w:r>
        <w:continuationSeparator/>
      </w:r>
    </w:p>
    <w:p w14:paraId="703CF4A4" w14:textId="77777777" w:rsidR="004E36B8" w:rsidRDefault="004E36B8"/>
    <w:p w14:paraId="6D822DE3" w14:textId="77777777" w:rsidR="004E36B8" w:rsidRDefault="004E36B8"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Myriad Pro"/>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FE5E" w14:textId="697F2256" w:rsidR="004E36B8" w:rsidRPr="0042435E" w:rsidRDefault="004E36B8"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742B04">
      <w:rPr>
        <w:noProof/>
        <w:sz w:val="18"/>
      </w:rPr>
      <w:t>15</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742B04">
      <w:rPr>
        <w:noProof/>
        <w:sz w:val="18"/>
      </w:rPr>
      <w:t>15</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r w:rsidRPr="00E2179E">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8F20B3">
      <w:rPr>
        <w:sz w:val="18"/>
      </w:rPr>
      <w:t>https://doi.org/10.33321/cdi.2020.44.68</w:t>
    </w:r>
    <w:r>
      <w:rPr>
        <w:sz w:val="18"/>
      </w:rPr>
      <w:fldChar w:fldCharType="end"/>
    </w:r>
    <w:r>
      <w:rPr>
        <w:sz w:val="18"/>
      </w:rPr>
      <w:t xml:space="preserve"> </w:t>
    </w:r>
    <w:r w:rsidRPr="00155582">
      <w:rPr>
        <w:sz w:val="18"/>
      </w:rPr>
      <w:t>Epub</w:t>
    </w:r>
    <w:r>
      <w:rPr>
        <w:sz w:val="18"/>
      </w:rPr>
      <w:t xml:space="preserve"> </w:t>
    </w:r>
    <w:r>
      <w:rPr>
        <w:sz w:val="18"/>
      </w:rPr>
      <w:fldChar w:fldCharType="begin"/>
    </w:r>
    <w:r>
      <w:rPr>
        <w:sz w:val="18"/>
      </w:rPr>
      <w:instrText xml:space="preserve"> DOCPROPERTY  ePubDate  \* MERGEFORMAT </w:instrText>
    </w:r>
    <w:r>
      <w:rPr>
        <w:sz w:val="18"/>
      </w:rPr>
      <w:fldChar w:fldCharType="separate"/>
    </w:r>
    <w:r w:rsidR="008F20B3">
      <w:rPr>
        <w:sz w:val="18"/>
      </w:rPr>
      <w:t>17/8/2020</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900AA" w14:textId="25533926" w:rsidR="004E36B8" w:rsidRPr="00BB5378" w:rsidRDefault="004E36B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742B04">
      <w:rPr>
        <w:noProof/>
        <w:sz w:val="18"/>
      </w:rPr>
      <w:t>11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742B04">
      <w:rPr>
        <w:noProof/>
        <w:sz w:val="18"/>
      </w:rPr>
      <w:t>15</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E2179E">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8F20B3">
      <w:rPr>
        <w:sz w:val="18"/>
      </w:rPr>
      <w:t>https://doi.org/10.33321/cdi.2020.44.68</w:t>
    </w:r>
    <w:r>
      <w:rPr>
        <w:sz w:val="18"/>
      </w:rPr>
      <w:fldChar w:fldCharType="end"/>
    </w:r>
    <w:r>
      <w:rPr>
        <w:sz w:val="18"/>
      </w:rPr>
      <w:t xml:space="preserve"> </w:t>
    </w:r>
    <w:r w:rsidRPr="00155582">
      <w:rPr>
        <w:sz w:val="18"/>
      </w:rPr>
      <w:t xml:space="preserve">Epub </w:t>
    </w:r>
    <w:r>
      <w:rPr>
        <w:sz w:val="18"/>
      </w:rPr>
      <w:fldChar w:fldCharType="begin"/>
    </w:r>
    <w:r>
      <w:rPr>
        <w:sz w:val="18"/>
      </w:rPr>
      <w:instrText xml:space="preserve"> DOCPROPERTY  ePubDate  \* MERGEFORMAT </w:instrText>
    </w:r>
    <w:r>
      <w:rPr>
        <w:sz w:val="18"/>
      </w:rPr>
      <w:fldChar w:fldCharType="separate"/>
    </w:r>
    <w:r w:rsidR="008F20B3">
      <w:rPr>
        <w:sz w:val="18"/>
      </w:rPr>
      <w:t>17/8/2020</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F9E49" w14:textId="77777777" w:rsidR="004E36B8" w:rsidRDefault="004E36B8" w:rsidP="00E54DBA">
      <w:r>
        <w:separator/>
      </w:r>
    </w:p>
  </w:footnote>
  <w:footnote w:type="continuationSeparator" w:id="0">
    <w:p w14:paraId="2E81FEA0" w14:textId="77777777" w:rsidR="004E36B8" w:rsidRDefault="004E36B8" w:rsidP="00E54DBA">
      <w:r>
        <w:continuationSeparator/>
      </w:r>
    </w:p>
  </w:footnote>
  <w:footnote w:type="continuationNotice" w:id="1">
    <w:p w14:paraId="68EEBEC7" w14:textId="77777777" w:rsidR="004E36B8" w:rsidRPr="00224EFF" w:rsidRDefault="004E36B8"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D4749" w14:textId="77777777" w:rsidR="004E36B8" w:rsidRPr="00A153B6" w:rsidRDefault="00403C1C"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4E36B8">
          <w:t>Original article</w:t>
        </w:r>
      </w:sdtContent>
    </w:sdt>
    <w:r w:rsidR="004E36B8">
      <w:ptab w:relativeTo="margin" w:alignment="right" w:leader="none"/>
    </w:r>
    <w:r w:rsidR="004E36B8"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688F7" w14:textId="77777777" w:rsidR="004E36B8" w:rsidRPr="000A5F42" w:rsidRDefault="004E36B8" w:rsidP="000A5F42">
    <w:pPr>
      <w:pStyle w:val="Header"/>
      <w:jc w:val="center"/>
      <w:rPr>
        <w:b/>
      </w:rPr>
    </w:pPr>
    <w:r w:rsidRPr="00E810C5">
      <w:rPr>
        <w:rFonts w:cs="Myriad Pro"/>
        <w:noProof/>
        <w:color w:val="211D1E"/>
        <w:sz w:val="16"/>
      </w:rPr>
      <w:drawing>
        <wp:inline distT="0" distB="0" distL="0" distR="0" wp14:anchorId="3DFC5A07" wp14:editId="1516A3C6">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0485F"/>
    <w:multiLevelType w:val="multilevel"/>
    <w:tmpl w:val="5AC4A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451500D"/>
    <w:multiLevelType w:val="multilevel"/>
    <w:tmpl w:val="AAE46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B4E218C"/>
    <w:multiLevelType w:val="multilevel"/>
    <w:tmpl w:val="5AFA8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6635223">
    <w:abstractNumId w:val="2"/>
  </w:num>
  <w:num w:numId="2" w16cid:durableId="1129015458">
    <w:abstractNumId w:val="4"/>
  </w:num>
  <w:num w:numId="3" w16cid:durableId="564804483">
    <w:abstractNumId w:val="5"/>
  </w:num>
  <w:num w:numId="4" w16cid:durableId="256401694">
    <w:abstractNumId w:val="1"/>
  </w:num>
  <w:num w:numId="5" w16cid:durableId="1355230251">
    <w:abstractNumId w:val="7"/>
  </w:num>
  <w:num w:numId="6" w16cid:durableId="537667899">
    <w:abstractNumId w:val="8"/>
  </w:num>
  <w:num w:numId="7" w16cid:durableId="2081438627">
    <w:abstractNumId w:val="6"/>
  </w:num>
  <w:num w:numId="8" w16cid:durableId="446855979">
    <w:abstractNumId w:val="3"/>
  </w:num>
  <w:num w:numId="9" w16cid:durableId="528185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noPunctuationKerning/>
  <w:characterSpacingControl w:val="doNotCompress"/>
  <w:hdrShapeDefaults>
    <o:shapedefaults v:ext="edit" spidmax="1228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803"/>
    <w:rsid w:val="00000B5B"/>
    <w:rsid w:val="00001611"/>
    <w:rsid w:val="000104A8"/>
    <w:rsid w:val="0001246E"/>
    <w:rsid w:val="000124B1"/>
    <w:rsid w:val="000127EA"/>
    <w:rsid w:val="00016FE6"/>
    <w:rsid w:val="00026F1D"/>
    <w:rsid w:val="00031064"/>
    <w:rsid w:val="00031692"/>
    <w:rsid w:val="00032531"/>
    <w:rsid w:val="000374CE"/>
    <w:rsid w:val="00037E0E"/>
    <w:rsid w:val="000471BF"/>
    <w:rsid w:val="00047B68"/>
    <w:rsid w:val="00052600"/>
    <w:rsid w:val="0005643C"/>
    <w:rsid w:val="0006264A"/>
    <w:rsid w:val="000629FB"/>
    <w:rsid w:val="00062F4F"/>
    <w:rsid w:val="00073D77"/>
    <w:rsid w:val="00081655"/>
    <w:rsid w:val="00085A5A"/>
    <w:rsid w:val="000864E0"/>
    <w:rsid w:val="00095011"/>
    <w:rsid w:val="000969B3"/>
    <w:rsid w:val="000A5F42"/>
    <w:rsid w:val="000B1049"/>
    <w:rsid w:val="000B6931"/>
    <w:rsid w:val="000D4B4D"/>
    <w:rsid w:val="00107CD1"/>
    <w:rsid w:val="00113D58"/>
    <w:rsid w:val="001200CB"/>
    <w:rsid w:val="00131B87"/>
    <w:rsid w:val="001378A3"/>
    <w:rsid w:val="00137A80"/>
    <w:rsid w:val="00140FF6"/>
    <w:rsid w:val="0014416A"/>
    <w:rsid w:val="00153750"/>
    <w:rsid w:val="00155582"/>
    <w:rsid w:val="0016097A"/>
    <w:rsid w:val="00161590"/>
    <w:rsid w:val="00171CC0"/>
    <w:rsid w:val="00175494"/>
    <w:rsid w:val="001754BD"/>
    <w:rsid w:val="00175629"/>
    <w:rsid w:val="00181EFF"/>
    <w:rsid w:val="001830EC"/>
    <w:rsid w:val="00183534"/>
    <w:rsid w:val="001A01F1"/>
    <w:rsid w:val="001A4A96"/>
    <w:rsid w:val="001A5D05"/>
    <w:rsid w:val="001A796C"/>
    <w:rsid w:val="001B2614"/>
    <w:rsid w:val="001B37B8"/>
    <w:rsid w:val="001B4E5A"/>
    <w:rsid w:val="001B552F"/>
    <w:rsid w:val="001B6EBC"/>
    <w:rsid w:val="001C0893"/>
    <w:rsid w:val="001C1303"/>
    <w:rsid w:val="001C70B2"/>
    <w:rsid w:val="001D37C7"/>
    <w:rsid w:val="001D6888"/>
    <w:rsid w:val="001E2B20"/>
    <w:rsid w:val="001F466D"/>
    <w:rsid w:val="00207EB0"/>
    <w:rsid w:val="00224A7F"/>
    <w:rsid w:val="00224EFF"/>
    <w:rsid w:val="002276DC"/>
    <w:rsid w:val="00227E00"/>
    <w:rsid w:val="002307CB"/>
    <w:rsid w:val="00231046"/>
    <w:rsid w:val="00234F21"/>
    <w:rsid w:val="00242659"/>
    <w:rsid w:val="002428F7"/>
    <w:rsid w:val="0024315F"/>
    <w:rsid w:val="0024657F"/>
    <w:rsid w:val="00252A66"/>
    <w:rsid w:val="00252C9A"/>
    <w:rsid w:val="00256309"/>
    <w:rsid w:val="00257484"/>
    <w:rsid w:val="00260636"/>
    <w:rsid w:val="00262581"/>
    <w:rsid w:val="00275C78"/>
    <w:rsid w:val="00280594"/>
    <w:rsid w:val="00281EE3"/>
    <w:rsid w:val="00284E4A"/>
    <w:rsid w:val="00284EF6"/>
    <w:rsid w:val="0028601B"/>
    <w:rsid w:val="00294E2C"/>
    <w:rsid w:val="002A3799"/>
    <w:rsid w:val="002A3BCC"/>
    <w:rsid w:val="002A4516"/>
    <w:rsid w:val="002A569F"/>
    <w:rsid w:val="002A6CB9"/>
    <w:rsid w:val="002A7066"/>
    <w:rsid w:val="002B001E"/>
    <w:rsid w:val="002B09B7"/>
    <w:rsid w:val="002B75A9"/>
    <w:rsid w:val="002C21B0"/>
    <w:rsid w:val="002C38CE"/>
    <w:rsid w:val="002C4402"/>
    <w:rsid w:val="002C6B42"/>
    <w:rsid w:val="002D608A"/>
    <w:rsid w:val="002D7930"/>
    <w:rsid w:val="002E2FB3"/>
    <w:rsid w:val="002F327B"/>
    <w:rsid w:val="002F55DD"/>
    <w:rsid w:val="00301626"/>
    <w:rsid w:val="003059EC"/>
    <w:rsid w:val="00316CCD"/>
    <w:rsid w:val="00324E22"/>
    <w:rsid w:val="00324F7E"/>
    <w:rsid w:val="003323BC"/>
    <w:rsid w:val="00337C3B"/>
    <w:rsid w:val="00346D42"/>
    <w:rsid w:val="00346E11"/>
    <w:rsid w:val="00354891"/>
    <w:rsid w:val="003601C0"/>
    <w:rsid w:val="003635F5"/>
    <w:rsid w:val="00365EEC"/>
    <w:rsid w:val="00372A88"/>
    <w:rsid w:val="003774F6"/>
    <w:rsid w:val="00381A0F"/>
    <w:rsid w:val="00386061"/>
    <w:rsid w:val="003926F0"/>
    <w:rsid w:val="003A0048"/>
    <w:rsid w:val="003A1B3A"/>
    <w:rsid w:val="003A40F5"/>
    <w:rsid w:val="003A67A9"/>
    <w:rsid w:val="003B0F1C"/>
    <w:rsid w:val="003B5B8C"/>
    <w:rsid w:val="003C381C"/>
    <w:rsid w:val="003C7146"/>
    <w:rsid w:val="003D79B1"/>
    <w:rsid w:val="003E74EE"/>
    <w:rsid w:val="003F0552"/>
    <w:rsid w:val="003F3411"/>
    <w:rsid w:val="003F3BC2"/>
    <w:rsid w:val="00401ED1"/>
    <w:rsid w:val="0040224C"/>
    <w:rsid w:val="00403C1C"/>
    <w:rsid w:val="00413EE1"/>
    <w:rsid w:val="004164BB"/>
    <w:rsid w:val="00421ECE"/>
    <w:rsid w:val="00422FEB"/>
    <w:rsid w:val="0042435E"/>
    <w:rsid w:val="004315F5"/>
    <w:rsid w:val="00433456"/>
    <w:rsid w:val="00433DFA"/>
    <w:rsid w:val="00435D67"/>
    <w:rsid w:val="004519C5"/>
    <w:rsid w:val="004565BD"/>
    <w:rsid w:val="00464A58"/>
    <w:rsid w:val="00473D2D"/>
    <w:rsid w:val="004A0630"/>
    <w:rsid w:val="004A1D5B"/>
    <w:rsid w:val="004A2125"/>
    <w:rsid w:val="004A38F6"/>
    <w:rsid w:val="004B4EB6"/>
    <w:rsid w:val="004C083C"/>
    <w:rsid w:val="004C3C55"/>
    <w:rsid w:val="004C67C6"/>
    <w:rsid w:val="004D29DE"/>
    <w:rsid w:val="004D3968"/>
    <w:rsid w:val="004E36B8"/>
    <w:rsid w:val="005049CC"/>
    <w:rsid w:val="00506803"/>
    <w:rsid w:val="00510214"/>
    <w:rsid w:val="00510EAC"/>
    <w:rsid w:val="00531838"/>
    <w:rsid w:val="00542A57"/>
    <w:rsid w:val="00545234"/>
    <w:rsid w:val="00565974"/>
    <w:rsid w:val="005732C0"/>
    <w:rsid w:val="0057336D"/>
    <w:rsid w:val="0057489A"/>
    <w:rsid w:val="00574ACF"/>
    <w:rsid w:val="00581588"/>
    <w:rsid w:val="0058540B"/>
    <w:rsid w:val="00587C87"/>
    <w:rsid w:val="00590B80"/>
    <w:rsid w:val="005A0877"/>
    <w:rsid w:val="005B0D1E"/>
    <w:rsid w:val="005B3134"/>
    <w:rsid w:val="005B4E61"/>
    <w:rsid w:val="005B595A"/>
    <w:rsid w:val="005B66C2"/>
    <w:rsid w:val="005D2465"/>
    <w:rsid w:val="005E1FDF"/>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44BFD"/>
    <w:rsid w:val="00650E9C"/>
    <w:rsid w:val="00651B9D"/>
    <w:rsid w:val="00656427"/>
    <w:rsid w:val="00660255"/>
    <w:rsid w:val="0069060C"/>
    <w:rsid w:val="006936C1"/>
    <w:rsid w:val="00694AB0"/>
    <w:rsid w:val="00695AC2"/>
    <w:rsid w:val="006971F3"/>
    <w:rsid w:val="006A2B95"/>
    <w:rsid w:val="006A3281"/>
    <w:rsid w:val="006A3885"/>
    <w:rsid w:val="006A53F6"/>
    <w:rsid w:val="006C4994"/>
    <w:rsid w:val="006C74A3"/>
    <w:rsid w:val="006D1381"/>
    <w:rsid w:val="006D31BC"/>
    <w:rsid w:val="006D5AD0"/>
    <w:rsid w:val="006E7943"/>
    <w:rsid w:val="006F24EA"/>
    <w:rsid w:val="00704CA9"/>
    <w:rsid w:val="0070796A"/>
    <w:rsid w:val="0071048D"/>
    <w:rsid w:val="00710F86"/>
    <w:rsid w:val="007111A8"/>
    <w:rsid w:val="00720E37"/>
    <w:rsid w:val="00731BC3"/>
    <w:rsid w:val="0073536C"/>
    <w:rsid w:val="00741192"/>
    <w:rsid w:val="00742B04"/>
    <w:rsid w:val="007432DE"/>
    <w:rsid w:val="00743A33"/>
    <w:rsid w:val="00746080"/>
    <w:rsid w:val="0075144A"/>
    <w:rsid w:val="00751E9E"/>
    <w:rsid w:val="00757903"/>
    <w:rsid w:val="00760031"/>
    <w:rsid w:val="007603D6"/>
    <w:rsid w:val="00766619"/>
    <w:rsid w:val="00773A9F"/>
    <w:rsid w:val="00786329"/>
    <w:rsid w:val="00792C7D"/>
    <w:rsid w:val="00794A4D"/>
    <w:rsid w:val="007A5234"/>
    <w:rsid w:val="007B1AC1"/>
    <w:rsid w:val="007B7854"/>
    <w:rsid w:val="007C56A1"/>
    <w:rsid w:val="007C6454"/>
    <w:rsid w:val="007D55F6"/>
    <w:rsid w:val="007E01E0"/>
    <w:rsid w:val="007F0B93"/>
    <w:rsid w:val="007F13EA"/>
    <w:rsid w:val="007F2ECA"/>
    <w:rsid w:val="008010AF"/>
    <w:rsid w:val="0080551F"/>
    <w:rsid w:val="00806B74"/>
    <w:rsid w:val="00811708"/>
    <w:rsid w:val="00812216"/>
    <w:rsid w:val="00816B90"/>
    <w:rsid w:val="00817799"/>
    <w:rsid w:val="00822F5F"/>
    <w:rsid w:val="00824FD3"/>
    <w:rsid w:val="00826589"/>
    <w:rsid w:val="00834BCC"/>
    <w:rsid w:val="008434AA"/>
    <w:rsid w:val="00850D54"/>
    <w:rsid w:val="00850E0D"/>
    <w:rsid w:val="008575FE"/>
    <w:rsid w:val="00860CBB"/>
    <w:rsid w:val="00870370"/>
    <w:rsid w:val="008714B0"/>
    <w:rsid w:val="00876331"/>
    <w:rsid w:val="00880726"/>
    <w:rsid w:val="008A3544"/>
    <w:rsid w:val="008A4C8B"/>
    <w:rsid w:val="008B48B8"/>
    <w:rsid w:val="008B5166"/>
    <w:rsid w:val="008B5348"/>
    <w:rsid w:val="008B58F8"/>
    <w:rsid w:val="008C0712"/>
    <w:rsid w:val="008C4520"/>
    <w:rsid w:val="008C5F09"/>
    <w:rsid w:val="008D470F"/>
    <w:rsid w:val="008E1F8F"/>
    <w:rsid w:val="008E4247"/>
    <w:rsid w:val="008E4768"/>
    <w:rsid w:val="008E761E"/>
    <w:rsid w:val="008F02D2"/>
    <w:rsid w:val="008F20B3"/>
    <w:rsid w:val="008F77B3"/>
    <w:rsid w:val="0090085C"/>
    <w:rsid w:val="009008F5"/>
    <w:rsid w:val="009033B2"/>
    <w:rsid w:val="00904CC1"/>
    <w:rsid w:val="009066AF"/>
    <w:rsid w:val="00912050"/>
    <w:rsid w:val="00912E48"/>
    <w:rsid w:val="00915D08"/>
    <w:rsid w:val="0092464E"/>
    <w:rsid w:val="0092746F"/>
    <w:rsid w:val="00930B49"/>
    <w:rsid w:val="00935DC9"/>
    <w:rsid w:val="00944610"/>
    <w:rsid w:val="009446C0"/>
    <w:rsid w:val="00952AD7"/>
    <w:rsid w:val="00956D58"/>
    <w:rsid w:val="0096082E"/>
    <w:rsid w:val="00961347"/>
    <w:rsid w:val="00967410"/>
    <w:rsid w:val="00967747"/>
    <w:rsid w:val="00967D73"/>
    <w:rsid w:val="0098119A"/>
    <w:rsid w:val="009829F6"/>
    <w:rsid w:val="00984AAF"/>
    <w:rsid w:val="00991B09"/>
    <w:rsid w:val="00993CB2"/>
    <w:rsid w:val="009A5166"/>
    <w:rsid w:val="009A76F8"/>
    <w:rsid w:val="009B049C"/>
    <w:rsid w:val="009B1831"/>
    <w:rsid w:val="009B2B83"/>
    <w:rsid w:val="009C49F8"/>
    <w:rsid w:val="009D77CC"/>
    <w:rsid w:val="009E2423"/>
    <w:rsid w:val="009E55D7"/>
    <w:rsid w:val="009F0BD4"/>
    <w:rsid w:val="009F4150"/>
    <w:rsid w:val="009F5665"/>
    <w:rsid w:val="009F5DAD"/>
    <w:rsid w:val="00A003E5"/>
    <w:rsid w:val="00A01BCA"/>
    <w:rsid w:val="00A10458"/>
    <w:rsid w:val="00A12005"/>
    <w:rsid w:val="00A12ED7"/>
    <w:rsid w:val="00A13247"/>
    <w:rsid w:val="00A153B6"/>
    <w:rsid w:val="00A164D5"/>
    <w:rsid w:val="00A16A8B"/>
    <w:rsid w:val="00A22473"/>
    <w:rsid w:val="00A273C3"/>
    <w:rsid w:val="00A30C37"/>
    <w:rsid w:val="00A36C65"/>
    <w:rsid w:val="00A41BBE"/>
    <w:rsid w:val="00A45BDD"/>
    <w:rsid w:val="00A46A0A"/>
    <w:rsid w:val="00A47C53"/>
    <w:rsid w:val="00A553F8"/>
    <w:rsid w:val="00A6315D"/>
    <w:rsid w:val="00A6708F"/>
    <w:rsid w:val="00A70D38"/>
    <w:rsid w:val="00A71BF6"/>
    <w:rsid w:val="00A86F9A"/>
    <w:rsid w:val="00A940CD"/>
    <w:rsid w:val="00A95137"/>
    <w:rsid w:val="00AA35E6"/>
    <w:rsid w:val="00AA3E02"/>
    <w:rsid w:val="00AA50B6"/>
    <w:rsid w:val="00AA70AB"/>
    <w:rsid w:val="00AB3472"/>
    <w:rsid w:val="00AB585D"/>
    <w:rsid w:val="00AC294D"/>
    <w:rsid w:val="00AD0633"/>
    <w:rsid w:val="00AD0762"/>
    <w:rsid w:val="00AD7018"/>
    <w:rsid w:val="00AE086E"/>
    <w:rsid w:val="00AE2A52"/>
    <w:rsid w:val="00AE4452"/>
    <w:rsid w:val="00AE7C38"/>
    <w:rsid w:val="00AF029A"/>
    <w:rsid w:val="00AF18C4"/>
    <w:rsid w:val="00B01F99"/>
    <w:rsid w:val="00B029F0"/>
    <w:rsid w:val="00B02B37"/>
    <w:rsid w:val="00B05276"/>
    <w:rsid w:val="00B060DF"/>
    <w:rsid w:val="00B132DB"/>
    <w:rsid w:val="00B202DB"/>
    <w:rsid w:val="00B227E2"/>
    <w:rsid w:val="00B31427"/>
    <w:rsid w:val="00B33861"/>
    <w:rsid w:val="00B40DE2"/>
    <w:rsid w:val="00B447ED"/>
    <w:rsid w:val="00B50210"/>
    <w:rsid w:val="00B50FBA"/>
    <w:rsid w:val="00B53955"/>
    <w:rsid w:val="00B63268"/>
    <w:rsid w:val="00B6408A"/>
    <w:rsid w:val="00B714B8"/>
    <w:rsid w:val="00B75755"/>
    <w:rsid w:val="00B815A9"/>
    <w:rsid w:val="00B82C2C"/>
    <w:rsid w:val="00B86218"/>
    <w:rsid w:val="00B8720B"/>
    <w:rsid w:val="00B876EF"/>
    <w:rsid w:val="00BA3518"/>
    <w:rsid w:val="00BA4697"/>
    <w:rsid w:val="00BB5378"/>
    <w:rsid w:val="00BC0BD3"/>
    <w:rsid w:val="00BC36D8"/>
    <w:rsid w:val="00BC5F4E"/>
    <w:rsid w:val="00BD0107"/>
    <w:rsid w:val="00BE0C33"/>
    <w:rsid w:val="00BE262C"/>
    <w:rsid w:val="00BE6C3D"/>
    <w:rsid w:val="00BE73B8"/>
    <w:rsid w:val="00BF21FE"/>
    <w:rsid w:val="00C07606"/>
    <w:rsid w:val="00C12542"/>
    <w:rsid w:val="00C22836"/>
    <w:rsid w:val="00C24725"/>
    <w:rsid w:val="00C30BA9"/>
    <w:rsid w:val="00C3541E"/>
    <w:rsid w:val="00C36A8F"/>
    <w:rsid w:val="00C37108"/>
    <w:rsid w:val="00C42834"/>
    <w:rsid w:val="00C42FFA"/>
    <w:rsid w:val="00C507D8"/>
    <w:rsid w:val="00C51A47"/>
    <w:rsid w:val="00C54FA9"/>
    <w:rsid w:val="00C6076C"/>
    <w:rsid w:val="00C62EAC"/>
    <w:rsid w:val="00C63F9F"/>
    <w:rsid w:val="00C7723C"/>
    <w:rsid w:val="00C838F5"/>
    <w:rsid w:val="00CA1AF4"/>
    <w:rsid w:val="00CA352F"/>
    <w:rsid w:val="00CA3F79"/>
    <w:rsid w:val="00CA6068"/>
    <w:rsid w:val="00CB15E1"/>
    <w:rsid w:val="00CB3D46"/>
    <w:rsid w:val="00CD1A87"/>
    <w:rsid w:val="00CD2534"/>
    <w:rsid w:val="00CD35F3"/>
    <w:rsid w:val="00CD5C93"/>
    <w:rsid w:val="00CE342B"/>
    <w:rsid w:val="00CE460E"/>
    <w:rsid w:val="00CE6C3E"/>
    <w:rsid w:val="00CF320C"/>
    <w:rsid w:val="00CF3A4B"/>
    <w:rsid w:val="00CF4001"/>
    <w:rsid w:val="00CF64E7"/>
    <w:rsid w:val="00D05837"/>
    <w:rsid w:val="00D11560"/>
    <w:rsid w:val="00D12D8A"/>
    <w:rsid w:val="00D13E0C"/>
    <w:rsid w:val="00D22824"/>
    <w:rsid w:val="00D25896"/>
    <w:rsid w:val="00D373A1"/>
    <w:rsid w:val="00D37C0F"/>
    <w:rsid w:val="00D45661"/>
    <w:rsid w:val="00D45943"/>
    <w:rsid w:val="00D47D22"/>
    <w:rsid w:val="00D51865"/>
    <w:rsid w:val="00D51D0C"/>
    <w:rsid w:val="00D66916"/>
    <w:rsid w:val="00D74140"/>
    <w:rsid w:val="00D749F1"/>
    <w:rsid w:val="00DA6E56"/>
    <w:rsid w:val="00DC461C"/>
    <w:rsid w:val="00DC6705"/>
    <w:rsid w:val="00DD2DE8"/>
    <w:rsid w:val="00DE38B4"/>
    <w:rsid w:val="00DE5D02"/>
    <w:rsid w:val="00E005A9"/>
    <w:rsid w:val="00E06432"/>
    <w:rsid w:val="00E1166E"/>
    <w:rsid w:val="00E136C7"/>
    <w:rsid w:val="00E13ABE"/>
    <w:rsid w:val="00E153EE"/>
    <w:rsid w:val="00E2179E"/>
    <w:rsid w:val="00E2315B"/>
    <w:rsid w:val="00E24DC0"/>
    <w:rsid w:val="00E2519C"/>
    <w:rsid w:val="00E25F2A"/>
    <w:rsid w:val="00E32166"/>
    <w:rsid w:val="00E41455"/>
    <w:rsid w:val="00E42AD2"/>
    <w:rsid w:val="00E50856"/>
    <w:rsid w:val="00E538CC"/>
    <w:rsid w:val="00E54DBA"/>
    <w:rsid w:val="00E63D7C"/>
    <w:rsid w:val="00E640D5"/>
    <w:rsid w:val="00E66E2E"/>
    <w:rsid w:val="00E67691"/>
    <w:rsid w:val="00E87A62"/>
    <w:rsid w:val="00E87F07"/>
    <w:rsid w:val="00E92237"/>
    <w:rsid w:val="00E951EF"/>
    <w:rsid w:val="00EA3A4A"/>
    <w:rsid w:val="00EA3D54"/>
    <w:rsid w:val="00EA56D9"/>
    <w:rsid w:val="00EA5CE3"/>
    <w:rsid w:val="00EB51C1"/>
    <w:rsid w:val="00EB5AE1"/>
    <w:rsid w:val="00EB5E0B"/>
    <w:rsid w:val="00EC2171"/>
    <w:rsid w:val="00ED442D"/>
    <w:rsid w:val="00ED59EC"/>
    <w:rsid w:val="00ED70C2"/>
    <w:rsid w:val="00EE18FF"/>
    <w:rsid w:val="00EE489F"/>
    <w:rsid w:val="00F0647F"/>
    <w:rsid w:val="00F10CE3"/>
    <w:rsid w:val="00F12630"/>
    <w:rsid w:val="00F14F3B"/>
    <w:rsid w:val="00F16362"/>
    <w:rsid w:val="00F207C7"/>
    <w:rsid w:val="00F243D6"/>
    <w:rsid w:val="00F24791"/>
    <w:rsid w:val="00F36B6D"/>
    <w:rsid w:val="00F43FA3"/>
    <w:rsid w:val="00F55648"/>
    <w:rsid w:val="00F66672"/>
    <w:rsid w:val="00F66722"/>
    <w:rsid w:val="00F70046"/>
    <w:rsid w:val="00F748C2"/>
    <w:rsid w:val="00F76C5C"/>
    <w:rsid w:val="00F77375"/>
    <w:rsid w:val="00F80EB2"/>
    <w:rsid w:val="00F81EF3"/>
    <w:rsid w:val="00F84496"/>
    <w:rsid w:val="00F85DCB"/>
    <w:rsid w:val="00F86F9C"/>
    <w:rsid w:val="00F90D76"/>
    <w:rsid w:val="00F9376D"/>
    <w:rsid w:val="00FA1820"/>
    <w:rsid w:val="00FB1CC8"/>
    <w:rsid w:val="00FC002E"/>
    <w:rsid w:val="00FC4C23"/>
    <w:rsid w:val="00FC642E"/>
    <w:rsid w:val="00FE1A00"/>
    <w:rsid w:val="00FE2AE4"/>
    <w:rsid w:val="00FE689F"/>
    <w:rsid w:val="00FE7809"/>
    <w:rsid w:val="00FE7C45"/>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1C2A63F"/>
  <w15:docId w15:val="{B9D0FB48-DA59-4657-BB0C-CF751E4DA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24"/>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CommentReference">
    <w:name w:val="annotation reference"/>
    <w:basedOn w:val="DefaultParagraphFont"/>
    <w:uiPriority w:val="99"/>
    <w:semiHidden/>
    <w:unhideWhenUsed/>
    <w:rsid w:val="004E36B8"/>
    <w:rPr>
      <w:sz w:val="16"/>
      <w:szCs w:val="16"/>
    </w:rPr>
  </w:style>
  <w:style w:type="paragraph" w:styleId="CommentText">
    <w:name w:val="annotation text"/>
    <w:basedOn w:val="Normal"/>
    <w:link w:val="CommentTextChar"/>
    <w:uiPriority w:val="99"/>
    <w:semiHidden/>
    <w:unhideWhenUsed/>
    <w:rsid w:val="004E36B8"/>
    <w:pPr>
      <w:spacing w:line="240" w:lineRule="auto"/>
    </w:pPr>
    <w:rPr>
      <w:sz w:val="20"/>
      <w:szCs w:val="20"/>
    </w:rPr>
  </w:style>
  <w:style w:type="character" w:customStyle="1" w:styleId="CommentTextChar">
    <w:name w:val="Comment Text Char"/>
    <w:basedOn w:val="DefaultParagraphFont"/>
    <w:link w:val="CommentText"/>
    <w:uiPriority w:val="99"/>
    <w:semiHidden/>
    <w:rsid w:val="004E36B8"/>
    <w:rPr>
      <w:sz w:val="20"/>
      <w:szCs w:val="20"/>
    </w:rPr>
  </w:style>
  <w:style w:type="paragraph" w:styleId="CommentSubject">
    <w:name w:val="annotation subject"/>
    <w:basedOn w:val="CommentText"/>
    <w:next w:val="CommentText"/>
    <w:link w:val="CommentSubjectChar"/>
    <w:uiPriority w:val="99"/>
    <w:semiHidden/>
    <w:unhideWhenUsed/>
    <w:rsid w:val="004E36B8"/>
    <w:rPr>
      <w:b/>
      <w:bCs/>
    </w:rPr>
  </w:style>
  <w:style w:type="character" w:customStyle="1" w:styleId="CommentSubjectChar">
    <w:name w:val="Comment Subject Char"/>
    <w:basedOn w:val="CommentTextChar"/>
    <w:link w:val="CommentSubject"/>
    <w:uiPriority w:val="99"/>
    <w:semiHidden/>
    <w:rsid w:val="004E36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creativecommons.org/licenses/by-nc-nd/4.0/legalcode" TargetMode="External"/><Relationship Id="rId3" Type="http://schemas.openxmlformats.org/officeDocument/2006/relationships/numbering" Target="numbering.xml"/><Relationship Id="rId21" Type="http://schemas.openxmlformats.org/officeDocument/2006/relationships/hyperlink" Target="http://www.health.gov.au/cdna"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health.gov.au/cdi" TargetMode="External"/><Relationship Id="rId20" Type="http://schemas.openxmlformats.org/officeDocument/2006/relationships/hyperlink" Target="mailto:copyright@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cdi.editor@health.gov.au"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itsanhonour.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health.gov.au/cdi"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EE564D-C997-4E06-85A3-D5F3B6FF6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5402</Words>
  <Characters>33519</Characters>
  <Application>Microsoft Office Word</Application>
  <DocSecurity>0</DocSecurity>
  <Lines>279</Lines>
  <Paragraphs>77</Paragraphs>
  <ScaleCrop>false</ScaleCrop>
  <HeadingPairs>
    <vt:vector size="2" baseType="variant">
      <vt:variant>
        <vt:lpstr>Title</vt:lpstr>
      </vt:variant>
      <vt:variant>
        <vt:i4>1</vt:i4>
      </vt:variant>
    </vt:vector>
  </HeadingPairs>
  <TitlesOfParts>
    <vt:vector size="1" baseType="lpstr">
      <vt:lpstr>Communicable Diseases Intelligence 2019 - Retrospective analysis of multidrug-resistant tuberculosis case notifications in Australia (1999–2018)</vt:lpstr>
    </vt:vector>
  </TitlesOfParts>
  <Company>Australian Government, Department of Health</Company>
  <LinksUpToDate>false</LinksUpToDate>
  <CharactersWithSpaces>38844</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2019 - Retrospective analysis of multidrug-resistant tuberculosis case notifications in Australia (1999–2018)</dc:title>
  <dc:subject>This article describes the epidemiology and treatment outcomes of multidrug-resistant tuberculosis (MDR-TB) cases notified in Australia between 1999 and 2018, and investigates whether data fields in the national TB dataset allow description and measurement of relevant information pertaining to the diagnosis and clinical management of MDR-TB. This study’s findings demonstrate that Australia’s MDR-TB burden is low, and recommends a review of data fields in the national TB dataset with potential expansion or adjustment to improve national data reporting and monitoring of evidence-based recommendations for MDR-TB prevention and management.</dc:subject>
  <dc:creator>Hendrik S Camphor;Kerri Viney;Ben Polkinghorne;Kate Pennington</dc:creator>
  <cp:keywords>multidrug-resistant; tuberculosis; Australia; epidemiology; treatment; outcomes; national; dataset</cp:keywords>
  <dc:description>© Commonwealth of Australia CC BY-NC-ND ISSN: 2209-6051 (Online)</dc:description>
  <cp:lastPrinted>2018-05-10T02:19:00Z</cp:lastPrinted>
  <dcterms:created xsi:type="dcterms:W3CDTF">2024-08-29T02:59:00Z</dcterms:created>
  <dcterms:modified xsi:type="dcterms:W3CDTF">2024-08-29T02:59:00Z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17/8/2020</vt:lpwstr>
  </property>
  <property fmtid="{D5CDD505-2E9C-101B-9397-08002B2CF9AE}" pid="5" name="DOI">
    <vt:lpwstr>https://doi.org/10.33321/cdi.2020.44.68</vt:lpwstr>
  </property>
</Properties>
</file>