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605F" w14:textId="77777777" w:rsidR="00F5470E" w:rsidRDefault="00F5470E" w:rsidP="00B2369D">
      <w:pPr>
        <w:pStyle w:val="Title"/>
        <w:rPr>
          <w:sz w:val="24"/>
          <w:szCs w:val="24"/>
        </w:rPr>
      </w:pPr>
      <w:r>
        <w:t xml:space="preserve">Severe community-acquired pneumonia due to </w:t>
      </w:r>
      <w:r w:rsidRPr="007E1065">
        <w:rPr>
          <w:i/>
        </w:rPr>
        <w:t>Streptococcus pyogenes</w:t>
      </w:r>
      <w:r>
        <w:t xml:space="preserve"> in the Newcastle area </w:t>
      </w:r>
    </w:p>
    <w:p w14:paraId="77CDDA66" w14:textId="77777777" w:rsidR="00F5470E" w:rsidRDefault="00F5470E" w:rsidP="007E1065">
      <w:r>
        <w:t xml:space="preserve">Paul A Wilson, </w:t>
      </w:r>
      <w:proofErr w:type="spellStart"/>
      <w:r>
        <w:t>Hemalatha</w:t>
      </w:r>
      <w:proofErr w:type="spellEnd"/>
      <w:r>
        <w:t xml:space="preserve"> Varadhan </w:t>
      </w:r>
    </w:p>
    <w:p w14:paraId="2F407C9C" w14:textId="77777777" w:rsidR="00F5470E" w:rsidRPr="00B2369D" w:rsidRDefault="00F5470E" w:rsidP="00B2369D">
      <w:pPr>
        <w:pStyle w:val="Heading1"/>
      </w:pPr>
      <w:r w:rsidRPr="00B2369D">
        <w:t xml:space="preserve">Abstract </w:t>
      </w:r>
    </w:p>
    <w:p w14:paraId="57F93953" w14:textId="77777777" w:rsidR="00F5470E" w:rsidRPr="00B2369D" w:rsidRDefault="00F5470E" w:rsidP="00B2369D">
      <w:pPr>
        <w:pStyle w:val="Heading2"/>
      </w:pPr>
      <w:r w:rsidRPr="00B2369D">
        <w:t xml:space="preserve">Background </w:t>
      </w:r>
    </w:p>
    <w:p w14:paraId="0F18F807" w14:textId="77777777" w:rsidR="00F5470E" w:rsidRDefault="00F5470E" w:rsidP="00D631B0">
      <w:r>
        <w:t xml:space="preserve">An apparent increase in the incidence of severe community-acquired pneumonia (CAP) caused by </w:t>
      </w:r>
      <w:r w:rsidRPr="002A1E41">
        <w:rPr>
          <w:rStyle w:val="Emphasis"/>
          <w:b w:val="0"/>
        </w:rPr>
        <w:t xml:space="preserve">Streptococcus pyogenes </w:t>
      </w:r>
      <w:r>
        <w:t xml:space="preserve">(group A Streptococcus – GAS) was observed during 2017 in the Newcastle area. The study was undertaken to establish whether there was a true increase in severe </w:t>
      </w:r>
      <w:r w:rsidRPr="002A1E41">
        <w:rPr>
          <w:rStyle w:val="Emphasis"/>
          <w:b w:val="0"/>
        </w:rPr>
        <w:t xml:space="preserve">S. pyogenes </w:t>
      </w:r>
      <w:r>
        <w:t xml:space="preserve">pneumonia and to explore its epidemiology and clinical features. </w:t>
      </w:r>
    </w:p>
    <w:p w14:paraId="4BEFD3F9" w14:textId="77777777" w:rsidR="00F5470E" w:rsidRDefault="00F5470E">
      <w:pPr>
        <w:pStyle w:val="Heading2"/>
        <w:rPr>
          <w:rFonts w:eastAsia="Times New Roman"/>
        </w:rPr>
      </w:pPr>
      <w:r>
        <w:rPr>
          <w:rFonts w:eastAsia="Times New Roman"/>
        </w:rPr>
        <w:t xml:space="preserve">Methods </w:t>
      </w:r>
    </w:p>
    <w:p w14:paraId="4AA3D079" w14:textId="77777777" w:rsidR="00F5470E" w:rsidRDefault="00F5470E" w:rsidP="00D631B0">
      <w:r>
        <w:t xml:space="preserve">The study was a retrospective descriptive study of </w:t>
      </w:r>
      <w:r w:rsidRPr="002A1E41">
        <w:rPr>
          <w:rStyle w:val="Emphasis"/>
          <w:b w:val="0"/>
        </w:rPr>
        <w:t xml:space="preserve">S. pyogenes </w:t>
      </w:r>
      <w:r>
        <w:t xml:space="preserve">pneumonia set in two tertiary referral hospitals in Newcastle, a large regional city, during the period 2007 to 2018. Subjects were adults identified as having </w:t>
      </w:r>
      <w:r w:rsidRPr="002A1E41">
        <w:rPr>
          <w:rStyle w:val="Emphasis"/>
          <w:b w:val="0"/>
        </w:rPr>
        <w:t xml:space="preserve">S. pyogenes </w:t>
      </w:r>
      <w:r>
        <w:t xml:space="preserve">pneumonia by searching a database of severe CAP (defined as requiring intensive care unit [ICU] admission) for the period 2007–2018. Laboratory records were also searched for sterile site isolates of </w:t>
      </w:r>
      <w:r w:rsidRPr="002A1E41">
        <w:rPr>
          <w:rStyle w:val="Emphasis"/>
          <w:b w:val="0"/>
        </w:rPr>
        <w:t xml:space="preserve">S. pyogenes </w:t>
      </w:r>
      <w:r>
        <w:t xml:space="preserve">to identify patients not requiring ICU admission. </w:t>
      </w:r>
    </w:p>
    <w:p w14:paraId="098183B5" w14:textId="77777777" w:rsidR="00F5470E" w:rsidRDefault="00F5470E">
      <w:pPr>
        <w:pStyle w:val="Heading2"/>
        <w:rPr>
          <w:rFonts w:eastAsia="Times New Roman"/>
        </w:rPr>
      </w:pPr>
      <w:r>
        <w:rPr>
          <w:rFonts w:eastAsia="Times New Roman"/>
        </w:rPr>
        <w:t xml:space="preserve">Results </w:t>
      </w:r>
    </w:p>
    <w:p w14:paraId="48A670C0" w14:textId="77777777" w:rsidR="00F5470E" w:rsidRDefault="00F5470E" w:rsidP="00D631B0">
      <w:r>
        <w:t xml:space="preserve">There were 13 cases of </w:t>
      </w:r>
      <w:r w:rsidRPr="002A1E41">
        <w:rPr>
          <w:rStyle w:val="Emphasis"/>
          <w:b w:val="0"/>
        </w:rPr>
        <w:t xml:space="preserve">S. pyogenes </w:t>
      </w:r>
      <w:r>
        <w:t xml:space="preserve">CAP identified during the study period, of whom 12 (92%) required ICU admission. </w:t>
      </w:r>
      <w:r w:rsidRPr="002A1E41">
        <w:rPr>
          <w:rStyle w:val="Emphasis"/>
          <w:b w:val="0"/>
        </w:rPr>
        <w:t xml:space="preserve">S. pyogenes </w:t>
      </w:r>
      <w:r>
        <w:t xml:space="preserve">accounted for 12/728 (1.6%) cases of severe CAP during the study period. The severity of </w:t>
      </w:r>
      <w:r w:rsidRPr="002A1E41">
        <w:rPr>
          <w:rStyle w:val="Emphasis"/>
          <w:b w:val="0"/>
        </w:rPr>
        <w:t xml:space="preserve">S. pyogenes </w:t>
      </w:r>
      <w:r>
        <w:t xml:space="preserve">pneumonia was high despite a mean patient age of 48 years and 7/13 (54%) having no significant past medical history. The mortality rate was 2/13 (15%). Viral co-infection was found in 6/12 (50%) of patients tested. Overall 7/12 (58%) of the patients with severe </w:t>
      </w:r>
      <w:r w:rsidRPr="002A1E41">
        <w:rPr>
          <w:rStyle w:val="Emphasis"/>
          <w:b w:val="0"/>
        </w:rPr>
        <w:t xml:space="preserve">S. pyogenes </w:t>
      </w:r>
      <w:r>
        <w:t xml:space="preserve">CAP during the study period presented in the winter or spring of 2017. </w:t>
      </w:r>
    </w:p>
    <w:p w14:paraId="34403FDB" w14:textId="77777777" w:rsidR="00F5470E" w:rsidRDefault="00F5470E">
      <w:pPr>
        <w:pStyle w:val="Heading2"/>
        <w:rPr>
          <w:rFonts w:eastAsia="Times New Roman"/>
        </w:rPr>
      </w:pPr>
      <w:r>
        <w:rPr>
          <w:rFonts w:eastAsia="Times New Roman"/>
        </w:rPr>
        <w:t xml:space="preserve">Conclusions </w:t>
      </w:r>
    </w:p>
    <w:p w14:paraId="1FDE80B0" w14:textId="77777777" w:rsidR="00F5470E" w:rsidRDefault="00F5470E" w:rsidP="00D631B0">
      <w:r w:rsidRPr="002A1E41">
        <w:rPr>
          <w:rStyle w:val="Emphasis"/>
          <w:b w:val="0"/>
        </w:rPr>
        <w:t xml:space="preserve">Streptococcus pyogenes </w:t>
      </w:r>
      <w:r>
        <w:t xml:space="preserve">is a rare cause of severe CAP in the Newcastle area, but there was a marked increase in frequency observed during the 2017 influenza season. Further study of the epidemiology of </w:t>
      </w:r>
      <w:r w:rsidR="00794A66" w:rsidRPr="00794A66">
        <w:t>invasive GAS (iGAS) disease</w:t>
      </w:r>
      <w:r>
        <w:t xml:space="preserve"> in Newcastle is warranted to identify emerging trends in this severe infection. </w:t>
      </w:r>
    </w:p>
    <w:p w14:paraId="35FBA865" w14:textId="77777777" w:rsidR="00F5470E" w:rsidRDefault="00F5470E" w:rsidP="00D631B0">
      <w:r>
        <w:t xml:space="preserve">Keywords: community-acquired pneumonia, </w:t>
      </w:r>
      <w:r w:rsidRPr="002A1E41">
        <w:rPr>
          <w:rStyle w:val="Emphasis"/>
          <w:b w:val="0"/>
        </w:rPr>
        <w:t>Streptococcus pyogenes</w:t>
      </w:r>
      <w:r>
        <w:t xml:space="preserve">, Newcastle </w:t>
      </w:r>
    </w:p>
    <w:p w14:paraId="1277F6F9" w14:textId="77777777" w:rsidR="00F5470E" w:rsidRDefault="00F5470E">
      <w:pPr>
        <w:pStyle w:val="Heading1"/>
        <w:rPr>
          <w:rFonts w:eastAsia="Times New Roman"/>
        </w:rPr>
      </w:pPr>
      <w:r>
        <w:rPr>
          <w:rFonts w:eastAsia="Times New Roman"/>
        </w:rPr>
        <w:t xml:space="preserve">Introduction </w:t>
      </w:r>
    </w:p>
    <w:p w14:paraId="1F4A5E7D" w14:textId="77777777" w:rsidR="00F5470E" w:rsidRDefault="00F5470E" w:rsidP="00D631B0">
      <w:r w:rsidRPr="002A1E41">
        <w:rPr>
          <w:rStyle w:val="Emphasis"/>
          <w:b w:val="0"/>
        </w:rPr>
        <w:t xml:space="preserve">Streptococcus pyogenes </w:t>
      </w:r>
      <w:r>
        <w:t xml:space="preserve">commonly causes localised illness such as pharyngitis and skin/soft tissue infections (e.g. impetigo, cellulitis); it sometimes causes asymptomatic colonisation. </w:t>
      </w:r>
      <w:r w:rsidRPr="002A1E41">
        <w:rPr>
          <w:rStyle w:val="Emphasis"/>
          <w:b w:val="0"/>
        </w:rPr>
        <w:t xml:space="preserve">S. pyogenes </w:t>
      </w:r>
      <w:r>
        <w:t xml:space="preserve">also causes invasive diseases which include bacteraemia, pneumonia, necrotising fasciitis and streptococcal toxic shock syndrome. During the early 20th century, prior to the introduction of antibiotics, </w:t>
      </w:r>
      <w:r w:rsidRPr="002A1E41">
        <w:rPr>
          <w:rStyle w:val="Emphasis"/>
          <w:b w:val="0"/>
        </w:rPr>
        <w:t xml:space="preserve">S. pyogenes </w:t>
      </w:r>
      <w:r>
        <w:t>caused about 2–5% of bacterial pneumonia.</w:t>
      </w:r>
      <w:r>
        <w:rPr>
          <w:vertAlign w:val="superscript"/>
        </w:rPr>
        <w:t>1</w:t>
      </w:r>
      <w:r>
        <w:t xml:space="preserve"> Large outbreaks of </w:t>
      </w:r>
      <w:r w:rsidRPr="002A1E41">
        <w:rPr>
          <w:rStyle w:val="Emphasis"/>
          <w:b w:val="0"/>
        </w:rPr>
        <w:t xml:space="preserve">S. pyogenes </w:t>
      </w:r>
      <w:r>
        <w:t>pneumonia were sometimes seen as complications of respiratory virus infections such as influenza and measles.</w:t>
      </w:r>
      <w:r>
        <w:rPr>
          <w:vertAlign w:val="superscript"/>
        </w:rPr>
        <w:t>1</w:t>
      </w:r>
      <w:r>
        <w:t xml:space="preserve"> </w:t>
      </w:r>
      <w:r w:rsidRPr="002A1E41">
        <w:rPr>
          <w:rStyle w:val="Emphasis"/>
          <w:b w:val="0"/>
        </w:rPr>
        <w:t xml:space="preserve">S. pyogenes </w:t>
      </w:r>
      <w:r>
        <w:t xml:space="preserve">pneumonia has since become a relatively rare disease, with recent publications largely limited to case reports, small case series, reviews of recent literature and larger series of invasive </w:t>
      </w:r>
      <w:r w:rsidRPr="002A1E41">
        <w:rPr>
          <w:rStyle w:val="Emphasis"/>
          <w:b w:val="0"/>
        </w:rPr>
        <w:t xml:space="preserve">S. pyogenes </w:t>
      </w:r>
      <w:r>
        <w:t>infections of all types (Table 1). The latter include studies from Victoria and Western Sydney as well as tropical Australia (Northern Territory, north Queensland)</w:t>
      </w:r>
      <w:r>
        <w:rPr>
          <w:vertAlign w:val="superscript"/>
        </w:rPr>
        <w:t>2–7</w:t>
      </w:r>
      <w:r>
        <w:t xml:space="preserve"> (Table 2). </w:t>
      </w:r>
    </w:p>
    <w:p w14:paraId="0317A573" w14:textId="77777777" w:rsidR="002E4B30" w:rsidRDefault="002E4B30" w:rsidP="00D631B0">
      <w:pPr>
        <w:pStyle w:val="CDIFigures"/>
        <w:sectPr w:rsidR="002E4B30"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3D32DD8E" w14:textId="77777777" w:rsidR="00F5470E" w:rsidRDefault="00F5470E" w:rsidP="00D631B0">
      <w:pPr>
        <w:pStyle w:val="CDIFigures"/>
      </w:pPr>
      <w:r>
        <w:lastRenderedPageBreak/>
        <w:t xml:space="preserve">Table 1: Published case series of </w:t>
      </w:r>
      <w:r w:rsidRPr="00C02590">
        <w:rPr>
          <w:i/>
        </w:rPr>
        <w:t>Streptococcus pyogenes</w:t>
      </w:r>
      <w:r>
        <w:t xml:space="preserve"> pneumonia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ummarises the five published case series of Streptococcus pyogenes pneumonia published since 1999, including patient age, number of cases, mortality and rate of viral co-infection.&#10;"/>
      </w:tblPr>
      <w:tblGrid>
        <w:gridCol w:w="1867"/>
        <w:gridCol w:w="1868"/>
        <w:gridCol w:w="1867"/>
        <w:gridCol w:w="1868"/>
        <w:gridCol w:w="1867"/>
        <w:gridCol w:w="1868"/>
        <w:gridCol w:w="1867"/>
        <w:gridCol w:w="1868"/>
      </w:tblGrid>
      <w:tr w:rsidR="00C56E3A" w:rsidRPr="00C56E3A" w14:paraId="0A8DEA91" w14:textId="77777777" w:rsidTr="0017432F">
        <w:trPr>
          <w:cnfStyle w:val="100000000000" w:firstRow="1" w:lastRow="0" w:firstColumn="0" w:lastColumn="0" w:oddVBand="0" w:evenVBand="0" w:oddHBand="0" w:evenHBand="0" w:firstRowFirstColumn="0" w:firstRowLastColumn="0" w:lastRowFirstColumn="0" w:lastRowLastColumn="0"/>
          <w:tblHeader/>
        </w:trPr>
        <w:tc>
          <w:tcPr>
            <w:tcW w:w="1867" w:type="dxa"/>
            <w:tcBorders>
              <w:right w:val="single" w:sz="2" w:space="0" w:color="FFFFFF" w:themeColor="background1"/>
            </w:tcBorders>
            <w:hideMark/>
          </w:tcPr>
          <w:p w14:paraId="636A73F1" w14:textId="77777777" w:rsidR="00F5470E" w:rsidRPr="00C56E3A" w:rsidRDefault="00F5470E">
            <w:pPr>
              <w:pStyle w:val="NormalWeb"/>
              <w:rPr>
                <w:color w:val="FFFFFF" w:themeColor="background1"/>
              </w:rPr>
            </w:pPr>
            <w:proofErr w:type="spellStart"/>
            <w:r w:rsidRPr="00C56E3A">
              <w:rPr>
                <w:color w:val="FFFFFF" w:themeColor="background1"/>
              </w:rPr>
              <w:t>Ref</w:t>
            </w:r>
            <w:r w:rsidRPr="00C56E3A">
              <w:rPr>
                <w:color w:val="FFFFFF" w:themeColor="background1"/>
                <w:vertAlign w:val="superscript"/>
              </w:rPr>
              <w:t>a</w:t>
            </w:r>
            <w:proofErr w:type="spellEnd"/>
          </w:p>
        </w:tc>
        <w:tc>
          <w:tcPr>
            <w:tcW w:w="1868" w:type="dxa"/>
            <w:tcBorders>
              <w:left w:val="single" w:sz="2" w:space="0" w:color="FFFFFF" w:themeColor="background1"/>
              <w:right w:val="single" w:sz="2" w:space="0" w:color="FFFFFF" w:themeColor="background1"/>
            </w:tcBorders>
            <w:hideMark/>
          </w:tcPr>
          <w:p w14:paraId="05EECFDA" w14:textId="77777777" w:rsidR="00F5470E" w:rsidRPr="00C56E3A" w:rsidRDefault="00F5470E" w:rsidP="002E4B30">
            <w:pPr>
              <w:pStyle w:val="NormalWeb"/>
              <w:jc w:val="center"/>
              <w:rPr>
                <w:color w:val="FFFFFF" w:themeColor="background1"/>
              </w:rPr>
            </w:pPr>
            <w:r w:rsidRPr="00C56E3A">
              <w:rPr>
                <w:color w:val="FFFFFF" w:themeColor="background1"/>
              </w:rPr>
              <w:t>Years</w:t>
            </w:r>
          </w:p>
        </w:tc>
        <w:tc>
          <w:tcPr>
            <w:tcW w:w="1867" w:type="dxa"/>
            <w:tcBorders>
              <w:left w:val="single" w:sz="2" w:space="0" w:color="FFFFFF" w:themeColor="background1"/>
              <w:right w:val="single" w:sz="2" w:space="0" w:color="FFFFFF" w:themeColor="background1"/>
            </w:tcBorders>
            <w:hideMark/>
          </w:tcPr>
          <w:p w14:paraId="35A895DE" w14:textId="77777777" w:rsidR="00F5470E" w:rsidRPr="00C56E3A" w:rsidRDefault="00F5470E" w:rsidP="002E4B30">
            <w:pPr>
              <w:pStyle w:val="NormalWeb"/>
              <w:jc w:val="center"/>
              <w:rPr>
                <w:color w:val="FFFFFF" w:themeColor="background1"/>
              </w:rPr>
            </w:pPr>
            <w:r w:rsidRPr="00C56E3A">
              <w:rPr>
                <w:color w:val="FFFFFF" w:themeColor="background1"/>
              </w:rPr>
              <w:t>Site</w:t>
            </w:r>
          </w:p>
        </w:tc>
        <w:tc>
          <w:tcPr>
            <w:tcW w:w="1868" w:type="dxa"/>
            <w:tcBorders>
              <w:left w:val="single" w:sz="2" w:space="0" w:color="FFFFFF" w:themeColor="background1"/>
              <w:right w:val="single" w:sz="2" w:space="0" w:color="FFFFFF" w:themeColor="background1"/>
            </w:tcBorders>
            <w:hideMark/>
          </w:tcPr>
          <w:p w14:paraId="1F8A3DEB" w14:textId="77777777" w:rsidR="00F5470E" w:rsidRPr="00C56E3A" w:rsidRDefault="00F5470E" w:rsidP="002E4B30">
            <w:pPr>
              <w:pStyle w:val="NormalWeb"/>
              <w:jc w:val="center"/>
              <w:rPr>
                <w:color w:val="FFFFFF" w:themeColor="background1"/>
              </w:rPr>
            </w:pPr>
            <w:r w:rsidRPr="00C56E3A">
              <w:rPr>
                <w:color w:val="FFFFFF" w:themeColor="background1"/>
              </w:rPr>
              <w:t>Patients</w:t>
            </w:r>
          </w:p>
        </w:tc>
        <w:tc>
          <w:tcPr>
            <w:tcW w:w="1867" w:type="dxa"/>
            <w:tcBorders>
              <w:left w:val="single" w:sz="2" w:space="0" w:color="FFFFFF" w:themeColor="background1"/>
              <w:right w:val="single" w:sz="2" w:space="0" w:color="FFFFFF" w:themeColor="background1"/>
            </w:tcBorders>
            <w:hideMark/>
          </w:tcPr>
          <w:p w14:paraId="157612CD" w14:textId="77777777" w:rsidR="00F5470E" w:rsidRPr="00C56E3A" w:rsidRDefault="00F5470E" w:rsidP="002E4B30">
            <w:pPr>
              <w:pStyle w:val="NormalWeb"/>
              <w:jc w:val="center"/>
              <w:rPr>
                <w:color w:val="FFFFFF" w:themeColor="background1"/>
              </w:rPr>
            </w:pPr>
            <w:proofErr w:type="spellStart"/>
            <w:r w:rsidRPr="00C56E3A">
              <w:rPr>
                <w:color w:val="FFFFFF" w:themeColor="background1"/>
              </w:rPr>
              <w:t>Age</w:t>
            </w:r>
            <w:r w:rsidRPr="00C56E3A">
              <w:rPr>
                <w:color w:val="FFFFFF" w:themeColor="background1"/>
                <w:vertAlign w:val="superscript"/>
              </w:rPr>
              <w:t>b</w:t>
            </w:r>
            <w:proofErr w:type="spellEnd"/>
          </w:p>
        </w:tc>
        <w:tc>
          <w:tcPr>
            <w:tcW w:w="1868" w:type="dxa"/>
            <w:tcBorders>
              <w:left w:val="single" w:sz="2" w:space="0" w:color="FFFFFF" w:themeColor="background1"/>
              <w:right w:val="single" w:sz="2" w:space="0" w:color="FFFFFF" w:themeColor="background1"/>
            </w:tcBorders>
            <w:hideMark/>
          </w:tcPr>
          <w:p w14:paraId="6DBBFF50" w14:textId="77777777" w:rsidR="00F5470E" w:rsidRPr="00C56E3A" w:rsidRDefault="00F5470E" w:rsidP="002E4B30">
            <w:pPr>
              <w:pStyle w:val="NormalWeb"/>
              <w:jc w:val="center"/>
              <w:rPr>
                <w:color w:val="FFFFFF" w:themeColor="background1"/>
              </w:rPr>
            </w:pPr>
            <w:r w:rsidRPr="00C56E3A">
              <w:rPr>
                <w:color w:val="FFFFFF" w:themeColor="background1"/>
              </w:rPr>
              <w:t>Mortality</w:t>
            </w:r>
          </w:p>
        </w:tc>
        <w:tc>
          <w:tcPr>
            <w:tcW w:w="1867" w:type="dxa"/>
            <w:tcBorders>
              <w:left w:val="single" w:sz="2" w:space="0" w:color="FFFFFF" w:themeColor="background1"/>
              <w:right w:val="single" w:sz="2" w:space="0" w:color="FFFFFF" w:themeColor="background1"/>
            </w:tcBorders>
            <w:hideMark/>
          </w:tcPr>
          <w:p w14:paraId="603E8CC8" w14:textId="77777777" w:rsidR="00F5470E" w:rsidRPr="00C56E3A" w:rsidRDefault="00F5470E" w:rsidP="002E4B30">
            <w:pPr>
              <w:pStyle w:val="NormalWeb"/>
              <w:jc w:val="center"/>
              <w:rPr>
                <w:color w:val="FFFFFF" w:themeColor="background1"/>
              </w:rPr>
            </w:pPr>
            <w:r w:rsidRPr="00C56E3A">
              <w:rPr>
                <w:color w:val="FFFFFF" w:themeColor="background1"/>
              </w:rPr>
              <w:t>Viral coinfection</w:t>
            </w:r>
          </w:p>
        </w:tc>
        <w:tc>
          <w:tcPr>
            <w:tcW w:w="1868" w:type="dxa"/>
            <w:tcBorders>
              <w:left w:val="single" w:sz="2" w:space="0" w:color="FFFFFF" w:themeColor="background1"/>
            </w:tcBorders>
            <w:hideMark/>
          </w:tcPr>
          <w:p w14:paraId="5AABC413" w14:textId="77777777" w:rsidR="00F5470E" w:rsidRPr="00C56E3A" w:rsidRDefault="00F5470E" w:rsidP="002E4B30">
            <w:pPr>
              <w:pStyle w:val="NormalWeb"/>
              <w:jc w:val="center"/>
              <w:rPr>
                <w:color w:val="FFFFFF" w:themeColor="background1"/>
              </w:rPr>
            </w:pPr>
            <w:r w:rsidRPr="00C56E3A">
              <w:rPr>
                <w:color w:val="FFFFFF" w:themeColor="background1"/>
              </w:rPr>
              <w:t>Previously well</w:t>
            </w:r>
          </w:p>
        </w:tc>
      </w:tr>
      <w:tr w:rsidR="00F5470E" w14:paraId="46FA8861" w14:textId="77777777" w:rsidTr="009E79B8">
        <w:tc>
          <w:tcPr>
            <w:tcW w:w="1867" w:type="dxa"/>
            <w:tcBorders>
              <w:right w:val="single" w:sz="2" w:space="0" w:color="000000" w:themeColor="text1"/>
            </w:tcBorders>
            <w:hideMark/>
          </w:tcPr>
          <w:p w14:paraId="016C721B" w14:textId="77777777" w:rsidR="00F5470E" w:rsidRDefault="00F5470E">
            <w:pPr>
              <w:pStyle w:val="NormalWeb"/>
            </w:pPr>
            <w:r>
              <w:t>15</w:t>
            </w:r>
          </w:p>
        </w:tc>
        <w:tc>
          <w:tcPr>
            <w:tcW w:w="1868" w:type="dxa"/>
            <w:tcBorders>
              <w:left w:val="single" w:sz="2" w:space="0" w:color="000000" w:themeColor="text1"/>
              <w:right w:val="single" w:sz="2" w:space="0" w:color="000000" w:themeColor="text1"/>
            </w:tcBorders>
            <w:hideMark/>
          </w:tcPr>
          <w:p w14:paraId="3862167A" w14:textId="77777777" w:rsidR="00F5470E" w:rsidRDefault="00F5470E" w:rsidP="002E4B30">
            <w:pPr>
              <w:pStyle w:val="NormalWeb"/>
              <w:jc w:val="center"/>
            </w:pPr>
            <w:r>
              <w:t>1987–2016</w:t>
            </w:r>
          </w:p>
        </w:tc>
        <w:tc>
          <w:tcPr>
            <w:tcW w:w="1867" w:type="dxa"/>
            <w:tcBorders>
              <w:left w:val="single" w:sz="2" w:space="0" w:color="000000" w:themeColor="text1"/>
              <w:right w:val="single" w:sz="2" w:space="0" w:color="000000" w:themeColor="text1"/>
            </w:tcBorders>
            <w:hideMark/>
          </w:tcPr>
          <w:p w14:paraId="260527A8" w14:textId="77777777" w:rsidR="00F5470E" w:rsidRDefault="00F5470E" w:rsidP="002E4B30">
            <w:pPr>
              <w:pStyle w:val="NormalWeb"/>
              <w:jc w:val="center"/>
            </w:pPr>
            <w:r>
              <w:t>all</w:t>
            </w:r>
          </w:p>
        </w:tc>
        <w:tc>
          <w:tcPr>
            <w:tcW w:w="1868" w:type="dxa"/>
            <w:tcBorders>
              <w:left w:val="single" w:sz="2" w:space="0" w:color="000000" w:themeColor="text1"/>
              <w:right w:val="single" w:sz="2" w:space="0" w:color="000000" w:themeColor="text1"/>
            </w:tcBorders>
            <w:hideMark/>
          </w:tcPr>
          <w:p w14:paraId="2ECF1519" w14:textId="77777777" w:rsidR="00F5470E" w:rsidRDefault="00F5470E" w:rsidP="002E4B30">
            <w:pPr>
              <w:pStyle w:val="NormalWeb"/>
              <w:jc w:val="center"/>
            </w:pPr>
            <w:r>
              <w:t>16</w:t>
            </w:r>
          </w:p>
        </w:tc>
        <w:tc>
          <w:tcPr>
            <w:tcW w:w="1867" w:type="dxa"/>
            <w:tcBorders>
              <w:left w:val="single" w:sz="2" w:space="0" w:color="000000" w:themeColor="text1"/>
              <w:right w:val="single" w:sz="2" w:space="0" w:color="000000" w:themeColor="text1"/>
            </w:tcBorders>
            <w:hideMark/>
          </w:tcPr>
          <w:p w14:paraId="59693B58" w14:textId="77777777" w:rsidR="00F5470E" w:rsidRDefault="00F5470E" w:rsidP="002E4B30">
            <w:pPr>
              <w:pStyle w:val="NormalWeb"/>
              <w:jc w:val="center"/>
            </w:pPr>
            <w:r>
              <w:t>42</w:t>
            </w:r>
          </w:p>
        </w:tc>
        <w:tc>
          <w:tcPr>
            <w:tcW w:w="1868" w:type="dxa"/>
            <w:tcBorders>
              <w:left w:val="single" w:sz="2" w:space="0" w:color="000000" w:themeColor="text1"/>
              <w:right w:val="single" w:sz="2" w:space="0" w:color="000000" w:themeColor="text1"/>
            </w:tcBorders>
            <w:hideMark/>
          </w:tcPr>
          <w:p w14:paraId="351681F3" w14:textId="77777777" w:rsidR="00F5470E" w:rsidRDefault="00F5470E" w:rsidP="002E4B30">
            <w:pPr>
              <w:pStyle w:val="NormalWeb"/>
              <w:jc w:val="center"/>
            </w:pPr>
            <w:r>
              <w:t>38%</w:t>
            </w:r>
          </w:p>
        </w:tc>
        <w:tc>
          <w:tcPr>
            <w:tcW w:w="1867" w:type="dxa"/>
            <w:tcBorders>
              <w:left w:val="single" w:sz="2" w:space="0" w:color="000000" w:themeColor="text1"/>
              <w:right w:val="single" w:sz="2" w:space="0" w:color="000000" w:themeColor="text1"/>
            </w:tcBorders>
            <w:hideMark/>
          </w:tcPr>
          <w:p w14:paraId="3B841F18" w14:textId="77777777" w:rsidR="00F5470E" w:rsidRDefault="00F5470E" w:rsidP="002E4B30">
            <w:pPr>
              <w:pStyle w:val="NormalWeb"/>
              <w:jc w:val="center"/>
            </w:pPr>
            <w:r>
              <w:t>25%</w:t>
            </w:r>
            <w:r w:rsidRPr="00D04969">
              <w:rPr>
                <w:vertAlign w:val="superscript"/>
              </w:rPr>
              <w:t>c</w:t>
            </w:r>
          </w:p>
        </w:tc>
        <w:tc>
          <w:tcPr>
            <w:tcW w:w="1868" w:type="dxa"/>
            <w:tcBorders>
              <w:left w:val="single" w:sz="2" w:space="0" w:color="000000" w:themeColor="text1"/>
            </w:tcBorders>
            <w:hideMark/>
          </w:tcPr>
          <w:p w14:paraId="56A9B110" w14:textId="77777777" w:rsidR="00F5470E" w:rsidRDefault="00F5470E" w:rsidP="002E4B30">
            <w:pPr>
              <w:pStyle w:val="NormalWeb"/>
              <w:jc w:val="center"/>
            </w:pPr>
            <w:r>
              <w:t>63%</w:t>
            </w:r>
          </w:p>
        </w:tc>
      </w:tr>
      <w:tr w:rsidR="00F5470E" w14:paraId="544BEBD2" w14:textId="77777777" w:rsidTr="009E79B8">
        <w:trPr>
          <w:cnfStyle w:val="000000010000" w:firstRow="0" w:lastRow="0" w:firstColumn="0" w:lastColumn="0" w:oddVBand="0" w:evenVBand="0" w:oddHBand="0" w:evenHBand="1" w:firstRowFirstColumn="0" w:firstRowLastColumn="0" w:lastRowFirstColumn="0" w:lastRowLastColumn="0"/>
        </w:trPr>
        <w:tc>
          <w:tcPr>
            <w:tcW w:w="1867" w:type="dxa"/>
            <w:tcBorders>
              <w:right w:val="single" w:sz="2" w:space="0" w:color="000000" w:themeColor="text1"/>
            </w:tcBorders>
            <w:hideMark/>
          </w:tcPr>
          <w:p w14:paraId="144EDBB7" w14:textId="77777777" w:rsidR="00F5470E" w:rsidRDefault="00F5470E">
            <w:pPr>
              <w:pStyle w:val="NormalWeb"/>
            </w:pPr>
            <w:r>
              <w:t>16</w:t>
            </w:r>
          </w:p>
        </w:tc>
        <w:tc>
          <w:tcPr>
            <w:tcW w:w="1868" w:type="dxa"/>
            <w:tcBorders>
              <w:left w:val="single" w:sz="2" w:space="0" w:color="000000" w:themeColor="text1"/>
              <w:right w:val="single" w:sz="2" w:space="0" w:color="000000" w:themeColor="text1"/>
            </w:tcBorders>
            <w:hideMark/>
          </w:tcPr>
          <w:p w14:paraId="304FB33A" w14:textId="77777777" w:rsidR="00F5470E" w:rsidRDefault="00F5470E" w:rsidP="002E4B30">
            <w:pPr>
              <w:pStyle w:val="NormalWeb"/>
              <w:jc w:val="center"/>
            </w:pPr>
            <w:r>
              <w:t>1981–1997</w:t>
            </w:r>
          </w:p>
        </w:tc>
        <w:tc>
          <w:tcPr>
            <w:tcW w:w="1867" w:type="dxa"/>
            <w:tcBorders>
              <w:left w:val="single" w:sz="2" w:space="0" w:color="000000" w:themeColor="text1"/>
              <w:right w:val="single" w:sz="2" w:space="0" w:color="000000" w:themeColor="text1"/>
            </w:tcBorders>
            <w:hideMark/>
          </w:tcPr>
          <w:p w14:paraId="7C9B974D" w14:textId="77777777" w:rsidR="00F5470E" w:rsidRDefault="00F5470E" w:rsidP="002E4B30">
            <w:pPr>
              <w:pStyle w:val="NormalWeb"/>
              <w:jc w:val="center"/>
            </w:pPr>
            <w:r>
              <w:t>UK</w:t>
            </w:r>
          </w:p>
        </w:tc>
        <w:tc>
          <w:tcPr>
            <w:tcW w:w="1868" w:type="dxa"/>
            <w:tcBorders>
              <w:left w:val="single" w:sz="2" w:space="0" w:color="000000" w:themeColor="text1"/>
              <w:right w:val="single" w:sz="2" w:space="0" w:color="000000" w:themeColor="text1"/>
            </w:tcBorders>
            <w:hideMark/>
          </w:tcPr>
          <w:p w14:paraId="78086000" w14:textId="77777777" w:rsidR="00F5470E" w:rsidRDefault="00F5470E" w:rsidP="002E4B30">
            <w:pPr>
              <w:pStyle w:val="NormalWeb"/>
              <w:jc w:val="center"/>
            </w:pPr>
            <w:r>
              <w:t>17</w:t>
            </w:r>
          </w:p>
        </w:tc>
        <w:tc>
          <w:tcPr>
            <w:tcW w:w="1867" w:type="dxa"/>
            <w:tcBorders>
              <w:left w:val="single" w:sz="2" w:space="0" w:color="000000" w:themeColor="text1"/>
              <w:right w:val="single" w:sz="2" w:space="0" w:color="000000" w:themeColor="text1"/>
            </w:tcBorders>
            <w:hideMark/>
          </w:tcPr>
          <w:p w14:paraId="7457EA17" w14:textId="77777777" w:rsidR="00F5470E" w:rsidRDefault="00F5470E" w:rsidP="002E4B30">
            <w:pPr>
              <w:pStyle w:val="NormalWeb"/>
              <w:jc w:val="center"/>
            </w:pPr>
            <w:r>
              <w:t>57</w:t>
            </w:r>
          </w:p>
        </w:tc>
        <w:tc>
          <w:tcPr>
            <w:tcW w:w="1868" w:type="dxa"/>
            <w:tcBorders>
              <w:left w:val="single" w:sz="2" w:space="0" w:color="000000" w:themeColor="text1"/>
              <w:right w:val="single" w:sz="2" w:space="0" w:color="000000" w:themeColor="text1"/>
            </w:tcBorders>
            <w:hideMark/>
          </w:tcPr>
          <w:p w14:paraId="6BBC6B90" w14:textId="77777777" w:rsidR="00F5470E" w:rsidRDefault="00F5470E" w:rsidP="002E4B30">
            <w:pPr>
              <w:pStyle w:val="NormalWeb"/>
              <w:jc w:val="center"/>
            </w:pPr>
            <w:r>
              <w:t>47%</w:t>
            </w:r>
          </w:p>
        </w:tc>
        <w:tc>
          <w:tcPr>
            <w:tcW w:w="1867" w:type="dxa"/>
            <w:tcBorders>
              <w:left w:val="single" w:sz="2" w:space="0" w:color="000000" w:themeColor="text1"/>
              <w:right w:val="single" w:sz="2" w:space="0" w:color="000000" w:themeColor="text1"/>
            </w:tcBorders>
            <w:hideMark/>
          </w:tcPr>
          <w:p w14:paraId="36777337" w14:textId="77777777" w:rsidR="00F5470E" w:rsidRDefault="00F5470E" w:rsidP="002E4B30">
            <w:pPr>
              <w:pStyle w:val="NormalWeb"/>
              <w:jc w:val="center"/>
            </w:pPr>
            <w:r>
              <w:t>6%</w:t>
            </w:r>
            <w:r w:rsidRPr="00D04969">
              <w:rPr>
                <w:vertAlign w:val="superscript"/>
              </w:rPr>
              <w:t>d</w:t>
            </w:r>
          </w:p>
        </w:tc>
        <w:tc>
          <w:tcPr>
            <w:tcW w:w="1868" w:type="dxa"/>
            <w:tcBorders>
              <w:left w:val="single" w:sz="2" w:space="0" w:color="000000" w:themeColor="text1"/>
            </w:tcBorders>
            <w:hideMark/>
          </w:tcPr>
          <w:p w14:paraId="1F8BE138" w14:textId="77777777" w:rsidR="00F5470E" w:rsidRDefault="00F5470E" w:rsidP="002E4B30">
            <w:pPr>
              <w:pStyle w:val="NormalWeb"/>
              <w:jc w:val="center"/>
            </w:pPr>
            <w:r>
              <w:t>35%</w:t>
            </w:r>
          </w:p>
        </w:tc>
      </w:tr>
      <w:tr w:rsidR="00F5470E" w14:paraId="6FDFD3E7" w14:textId="77777777" w:rsidTr="009E79B8">
        <w:tc>
          <w:tcPr>
            <w:tcW w:w="1867" w:type="dxa"/>
            <w:tcBorders>
              <w:right w:val="single" w:sz="2" w:space="0" w:color="000000" w:themeColor="text1"/>
            </w:tcBorders>
            <w:hideMark/>
          </w:tcPr>
          <w:p w14:paraId="7FA2C641" w14:textId="77777777" w:rsidR="00F5470E" w:rsidRDefault="00F5470E">
            <w:pPr>
              <w:pStyle w:val="NormalWeb"/>
            </w:pPr>
            <w:r>
              <w:t>17</w:t>
            </w:r>
          </w:p>
        </w:tc>
        <w:tc>
          <w:tcPr>
            <w:tcW w:w="1868" w:type="dxa"/>
            <w:tcBorders>
              <w:left w:val="single" w:sz="2" w:space="0" w:color="000000" w:themeColor="text1"/>
              <w:right w:val="single" w:sz="2" w:space="0" w:color="000000" w:themeColor="text1"/>
            </w:tcBorders>
            <w:hideMark/>
          </w:tcPr>
          <w:p w14:paraId="229CAC31" w14:textId="77777777" w:rsidR="00F5470E" w:rsidRDefault="00F5470E" w:rsidP="002E4B30">
            <w:pPr>
              <w:pStyle w:val="NormalWeb"/>
              <w:jc w:val="center"/>
            </w:pPr>
            <w:r>
              <w:t>2006–2015</w:t>
            </w:r>
          </w:p>
        </w:tc>
        <w:tc>
          <w:tcPr>
            <w:tcW w:w="1867" w:type="dxa"/>
            <w:tcBorders>
              <w:left w:val="single" w:sz="2" w:space="0" w:color="000000" w:themeColor="text1"/>
              <w:right w:val="single" w:sz="2" w:space="0" w:color="000000" w:themeColor="text1"/>
            </w:tcBorders>
            <w:hideMark/>
          </w:tcPr>
          <w:p w14:paraId="6F86A1F3" w14:textId="77777777" w:rsidR="00F5470E" w:rsidRDefault="00F5470E" w:rsidP="002E4B30">
            <w:pPr>
              <w:pStyle w:val="NormalWeb"/>
              <w:jc w:val="center"/>
            </w:pPr>
            <w:r>
              <w:t>Spain</w:t>
            </w:r>
          </w:p>
        </w:tc>
        <w:tc>
          <w:tcPr>
            <w:tcW w:w="1868" w:type="dxa"/>
            <w:tcBorders>
              <w:left w:val="single" w:sz="2" w:space="0" w:color="000000" w:themeColor="text1"/>
              <w:right w:val="single" w:sz="2" w:space="0" w:color="000000" w:themeColor="text1"/>
            </w:tcBorders>
            <w:hideMark/>
          </w:tcPr>
          <w:p w14:paraId="1AFFD26D" w14:textId="77777777" w:rsidR="00F5470E" w:rsidRDefault="00F5470E" w:rsidP="002E4B30">
            <w:pPr>
              <w:pStyle w:val="NormalWeb"/>
              <w:jc w:val="center"/>
            </w:pPr>
            <w:r>
              <w:t>40</w:t>
            </w:r>
          </w:p>
        </w:tc>
        <w:tc>
          <w:tcPr>
            <w:tcW w:w="1867" w:type="dxa"/>
            <w:tcBorders>
              <w:left w:val="single" w:sz="2" w:space="0" w:color="000000" w:themeColor="text1"/>
              <w:right w:val="single" w:sz="2" w:space="0" w:color="000000" w:themeColor="text1"/>
            </w:tcBorders>
            <w:hideMark/>
          </w:tcPr>
          <w:p w14:paraId="63386FD8" w14:textId="77777777" w:rsidR="00F5470E" w:rsidRDefault="00F5470E" w:rsidP="002E4B30">
            <w:pPr>
              <w:pStyle w:val="NormalWeb"/>
              <w:jc w:val="center"/>
            </w:pPr>
            <w:r>
              <w:t>60</w:t>
            </w:r>
          </w:p>
        </w:tc>
        <w:tc>
          <w:tcPr>
            <w:tcW w:w="1868" w:type="dxa"/>
            <w:tcBorders>
              <w:left w:val="single" w:sz="2" w:space="0" w:color="000000" w:themeColor="text1"/>
              <w:right w:val="single" w:sz="2" w:space="0" w:color="000000" w:themeColor="text1"/>
            </w:tcBorders>
            <w:hideMark/>
          </w:tcPr>
          <w:p w14:paraId="07279FEB" w14:textId="77777777" w:rsidR="00F5470E" w:rsidRDefault="00F5470E" w:rsidP="002E4B30">
            <w:pPr>
              <w:pStyle w:val="NormalWeb"/>
              <w:jc w:val="center"/>
            </w:pPr>
            <w:r>
              <w:t>20%</w:t>
            </w:r>
          </w:p>
        </w:tc>
        <w:tc>
          <w:tcPr>
            <w:tcW w:w="1867" w:type="dxa"/>
            <w:tcBorders>
              <w:left w:val="single" w:sz="2" w:space="0" w:color="000000" w:themeColor="text1"/>
              <w:right w:val="single" w:sz="2" w:space="0" w:color="000000" w:themeColor="text1"/>
            </w:tcBorders>
            <w:hideMark/>
          </w:tcPr>
          <w:p w14:paraId="162EA3CF" w14:textId="77777777" w:rsidR="00F5470E" w:rsidRDefault="00F5470E" w:rsidP="002E4B30">
            <w:pPr>
              <w:pStyle w:val="NormalWeb"/>
              <w:jc w:val="center"/>
            </w:pPr>
            <w:r>
              <w:t>10%</w:t>
            </w:r>
            <w:r w:rsidRPr="00D04969">
              <w:rPr>
                <w:vertAlign w:val="superscript"/>
              </w:rPr>
              <w:t>e</w:t>
            </w:r>
          </w:p>
        </w:tc>
        <w:tc>
          <w:tcPr>
            <w:tcW w:w="1868" w:type="dxa"/>
            <w:tcBorders>
              <w:left w:val="single" w:sz="2" w:space="0" w:color="000000" w:themeColor="text1"/>
            </w:tcBorders>
            <w:hideMark/>
          </w:tcPr>
          <w:p w14:paraId="164F00D6" w14:textId="77777777" w:rsidR="00F5470E" w:rsidRDefault="00F5470E" w:rsidP="002E4B30">
            <w:pPr>
              <w:pStyle w:val="NormalWeb"/>
              <w:jc w:val="center"/>
            </w:pPr>
            <w:r>
              <w:t>32%</w:t>
            </w:r>
          </w:p>
        </w:tc>
      </w:tr>
      <w:tr w:rsidR="00F5470E" w14:paraId="7DF2424A" w14:textId="77777777" w:rsidTr="009E79B8">
        <w:trPr>
          <w:cnfStyle w:val="000000010000" w:firstRow="0" w:lastRow="0" w:firstColumn="0" w:lastColumn="0" w:oddVBand="0" w:evenVBand="0" w:oddHBand="0" w:evenHBand="1" w:firstRowFirstColumn="0" w:firstRowLastColumn="0" w:lastRowFirstColumn="0" w:lastRowLastColumn="0"/>
        </w:trPr>
        <w:tc>
          <w:tcPr>
            <w:tcW w:w="1867" w:type="dxa"/>
            <w:tcBorders>
              <w:right w:val="single" w:sz="2" w:space="0" w:color="000000" w:themeColor="text1"/>
            </w:tcBorders>
            <w:hideMark/>
          </w:tcPr>
          <w:p w14:paraId="78D12DAA" w14:textId="77777777" w:rsidR="00F5470E" w:rsidRDefault="00F5470E">
            <w:pPr>
              <w:pStyle w:val="NormalWeb"/>
            </w:pPr>
            <w:r>
              <w:t>20</w:t>
            </w:r>
          </w:p>
        </w:tc>
        <w:tc>
          <w:tcPr>
            <w:tcW w:w="1868" w:type="dxa"/>
            <w:tcBorders>
              <w:left w:val="single" w:sz="2" w:space="0" w:color="000000" w:themeColor="text1"/>
              <w:right w:val="single" w:sz="2" w:space="0" w:color="000000" w:themeColor="text1"/>
            </w:tcBorders>
            <w:hideMark/>
          </w:tcPr>
          <w:p w14:paraId="0BD1D091" w14:textId="77777777" w:rsidR="00F5470E" w:rsidRDefault="00F5470E" w:rsidP="002E4B30">
            <w:pPr>
              <w:pStyle w:val="NormalWeb"/>
              <w:jc w:val="center"/>
            </w:pPr>
            <w:r>
              <w:t>2010–2011</w:t>
            </w:r>
          </w:p>
        </w:tc>
        <w:tc>
          <w:tcPr>
            <w:tcW w:w="1867" w:type="dxa"/>
            <w:tcBorders>
              <w:left w:val="single" w:sz="2" w:space="0" w:color="000000" w:themeColor="text1"/>
              <w:right w:val="single" w:sz="2" w:space="0" w:color="000000" w:themeColor="text1"/>
            </w:tcBorders>
            <w:hideMark/>
          </w:tcPr>
          <w:p w14:paraId="0B3AFD42" w14:textId="77777777" w:rsidR="00F5470E" w:rsidRDefault="00F5470E" w:rsidP="002E4B30">
            <w:pPr>
              <w:pStyle w:val="NormalWeb"/>
              <w:jc w:val="center"/>
            </w:pPr>
            <w:r>
              <w:t>UK</w:t>
            </w:r>
          </w:p>
        </w:tc>
        <w:tc>
          <w:tcPr>
            <w:tcW w:w="1868" w:type="dxa"/>
            <w:tcBorders>
              <w:left w:val="single" w:sz="2" w:space="0" w:color="000000" w:themeColor="text1"/>
              <w:right w:val="single" w:sz="2" w:space="0" w:color="000000" w:themeColor="text1"/>
            </w:tcBorders>
            <w:hideMark/>
          </w:tcPr>
          <w:p w14:paraId="71127164" w14:textId="77777777" w:rsidR="00F5470E" w:rsidRDefault="00F5470E" w:rsidP="002E4B30">
            <w:pPr>
              <w:pStyle w:val="NormalWeb"/>
              <w:jc w:val="center"/>
            </w:pPr>
            <w:r>
              <w:t>10</w:t>
            </w:r>
          </w:p>
        </w:tc>
        <w:tc>
          <w:tcPr>
            <w:tcW w:w="1867" w:type="dxa"/>
            <w:tcBorders>
              <w:left w:val="single" w:sz="2" w:space="0" w:color="000000" w:themeColor="text1"/>
              <w:right w:val="single" w:sz="2" w:space="0" w:color="000000" w:themeColor="text1"/>
            </w:tcBorders>
            <w:hideMark/>
          </w:tcPr>
          <w:p w14:paraId="6B94EDCE" w14:textId="77777777" w:rsidR="00F5470E" w:rsidRDefault="00F5470E" w:rsidP="002E4B30">
            <w:pPr>
              <w:pStyle w:val="NormalWeb"/>
              <w:jc w:val="center"/>
            </w:pPr>
            <w:proofErr w:type="spellStart"/>
            <w:r>
              <w:t>NS</w:t>
            </w:r>
            <w:r w:rsidRPr="00D04969">
              <w:rPr>
                <w:vertAlign w:val="superscript"/>
              </w:rPr>
              <w:t>f</w:t>
            </w:r>
            <w:proofErr w:type="spellEnd"/>
          </w:p>
        </w:tc>
        <w:tc>
          <w:tcPr>
            <w:tcW w:w="1868" w:type="dxa"/>
            <w:tcBorders>
              <w:left w:val="single" w:sz="2" w:space="0" w:color="000000" w:themeColor="text1"/>
              <w:right w:val="single" w:sz="2" w:space="0" w:color="000000" w:themeColor="text1"/>
            </w:tcBorders>
            <w:hideMark/>
          </w:tcPr>
          <w:p w14:paraId="4B73E801" w14:textId="77777777" w:rsidR="00F5470E" w:rsidRDefault="00F5470E" w:rsidP="002E4B30">
            <w:pPr>
              <w:pStyle w:val="NormalWeb"/>
              <w:jc w:val="center"/>
            </w:pPr>
            <w:r>
              <w:t>80%</w:t>
            </w:r>
          </w:p>
        </w:tc>
        <w:tc>
          <w:tcPr>
            <w:tcW w:w="1867" w:type="dxa"/>
            <w:tcBorders>
              <w:left w:val="single" w:sz="2" w:space="0" w:color="000000" w:themeColor="text1"/>
              <w:right w:val="single" w:sz="2" w:space="0" w:color="000000" w:themeColor="text1"/>
            </w:tcBorders>
            <w:hideMark/>
          </w:tcPr>
          <w:p w14:paraId="3898450E" w14:textId="77777777" w:rsidR="00F5470E" w:rsidRDefault="00F5470E" w:rsidP="002E4B30">
            <w:pPr>
              <w:pStyle w:val="NormalWeb"/>
              <w:jc w:val="center"/>
            </w:pPr>
            <w:r>
              <w:t>40%</w:t>
            </w:r>
            <w:r w:rsidRPr="00D04969">
              <w:rPr>
                <w:vertAlign w:val="superscript"/>
              </w:rPr>
              <w:t>g</w:t>
            </w:r>
          </w:p>
        </w:tc>
        <w:tc>
          <w:tcPr>
            <w:tcW w:w="1868" w:type="dxa"/>
            <w:tcBorders>
              <w:left w:val="single" w:sz="2" w:space="0" w:color="000000" w:themeColor="text1"/>
            </w:tcBorders>
            <w:hideMark/>
          </w:tcPr>
          <w:p w14:paraId="449E09FF" w14:textId="77777777" w:rsidR="00F5470E" w:rsidRDefault="00F5470E" w:rsidP="002E4B30">
            <w:pPr>
              <w:pStyle w:val="NormalWeb"/>
              <w:jc w:val="center"/>
            </w:pPr>
            <w:r>
              <w:t>60%</w:t>
            </w:r>
          </w:p>
        </w:tc>
      </w:tr>
      <w:tr w:rsidR="00F5470E" w14:paraId="42E718A1" w14:textId="77777777" w:rsidTr="009E79B8">
        <w:tc>
          <w:tcPr>
            <w:tcW w:w="1867" w:type="dxa"/>
            <w:tcBorders>
              <w:right w:val="single" w:sz="2" w:space="0" w:color="000000" w:themeColor="text1"/>
            </w:tcBorders>
            <w:hideMark/>
          </w:tcPr>
          <w:p w14:paraId="51E61C19" w14:textId="77777777" w:rsidR="00F5470E" w:rsidRDefault="00F5470E">
            <w:pPr>
              <w:pStyle w:val="NormalWeb"/>
            </w:pPr>
            <w:r>
              <w:t>21</w:t>
            </w:r>
          </w:p>
        </w:tc>
        <w:tc>
          <w:tcPr>
            <w:tcW w:w="1868" w:type="dxa"/>
            <w:tcBorders>
              <w:left w:val="single" w:sz="2" w:space="0" w:color="000000" w:themeColor="text1"/>
              <w:right w:val="single" w:sz="2" w:space="0" w:color="000000" w:themeColor="text1"/>
            </w:tcBorders>
            <w:hideMark/>
          </w:tcPr>
          <w:p w14:paraId="03D0D7CF" w14:textId="77777777" w:rsidR="00F5470E" w:rsidRDefault="00F5470E" w:rsidP="002E4B30">
            <w:pPr>
              <w:pStyle w:val="NormalWeb"/>
              <w:jc w:val="center"/>
            </w:pPr>
            <w:r>
              <w:t>2009</w:t>
            </w:r>
          </w:p>
        </w:tc>
        <w:tc>
          <w:tcPr>
            <w:tcW w:w="1867" w:type="dxa"/>
            <w:tcBorders>
              <w:left w:val="single" w:sz="2" w:space="0" w:color="000000" w:themeColor="text1"/>
              <w:right w:val="single" w:sz="2" w:space="0" w:color="000000" w:themeColor="text1"/>
            </w:tcBorders>
            <w:hideMark/>
          </w:tcPr>
          <w:p w14:paraId="7DF3C2D0" w14:textId="77777777" w:rsidR="00F5470E" w:rsidRDefault="00F5470E" w:rsidP="002E4B30">
            <w:pPr>
              <w:pStyle w:val="NormalWeb"/>
              <w:jc w:val="center"/>
            </w:pPr>
            <w:r>
              <w:t>USA</w:t>
            </w:r>
          </w:p>
        </w:tc>
        <w:tc>
          <w:tcPr>
            <w:tcW w:w="1868" w:type="dxa"/>
            <w:tcBorders>
              <w:left w:val="single" w:sz="2" w:space="0" w:color="000000" w:themeColor="text1"/>
              <w:right w:val="single" w:sz="2" w:space="0" w:color="000000" w:themeColor="text1"/>
            </w:tcBorders>
            <w:hideMark/>
          </w:tcPr>
          <w:p w14:paraId="0B85A29F" w14:textId="77777777" w:rsidR="00F5470E" w:rsidRDefault="00F5470E" w:rsidP="002E4B30">
            <w:pPr>
              <w:pStyle w:val="NormalWeb"/>
              <w:jc w:val="center"/>
            </w:pPr>
            <w:r>
              <w:t>9</w:t>
            </w:r>
          </w:p>
        </w:tc>
        <w:tc>
          <w:tcPr>
            <w:tcW w:w="1867" w:type="dxa"/>
            <w:tcBorders>
              <w:left w:val="single" w:sz="2" w:space="0" w:color="000000" w:themeColor="text1"/>
              <w:right w:val="single" w:sz="2" w:space="0" w:color="000000" w:themeColor="text1"/>
            </w:tcBorders>
            <w:hideMark/>
          </w:tcPr>
          <w:p w14:paraId="20BC6762" w14:textId="77777777" w:rsidR="00F5470E" w:rsidRDefault="00F5470E" w:rsidP="002E4B30">
            <w:pPr>
              <w:pStyle w:val="NormalWeb"/>
              <w:jc w:val="center"/>
            </w:pPr>
            <w:r>
              <w:t>37</w:t>
            </w:r>
          </w:p>
        </w:tc>
        <w:tc>
          <w:tcPr>
            <w:tcW w:w="1868" w:type="dxa"/>
            <w:tcBorders>
              <w:left w:val="single" w:sz="2" w:space="0" w:color="000000" w:themeColor="text1"/>
              <w:right w:val="single" w:sz="2" w:space="0" w:color="000000" w:themeColor="text1"/>
            </w:tcBorders>
            <w:hideMark/>
          </w:tcPr>
          <w:p w14:paraId="76D6E839" w14:textId="77777777" w:rsidR="00F5470E" w:rsidRDefault="00F5470E" w:rsidP="002E4B30">
            <w:pPr>
              <w:pStyle w:val="NormalWeb"/>
              <w:jc w:val="center"/>
            </w:pPr>
            <w:r>
              <w:t>66%</w:t>
            </w:r>
          </w:p>
        </w:tc>
        <w:tc>
          <w:tcPr>
            <w:tcW w:w="1867" w:type="dxa"/>
            <w:tcBorders>
              <w:left w:val="single" w:sz="2" w:space="0" w:color="000000" w:themeColor="text1"/>
              <w:right w:val="single" w:sz="2" w:space="0" w:color="000000" w:themeColor="text1"/>
            </w:tcBorders>
            <w:hideMark/>
          </w:tcPr>
          <w:p w14:paraId="2D97D9CE" w14:textId="77777777" w:rsidR="00F5470E" w:rsidRDefault="00F5470E" w:rsidP="002E4B30">
            <w:pPr>
              <w:pStyle w:val="NormalWeb"/>
              <w:jc w:val="center"/>
            </w:pPr>
            <w:r>
              <w:t>100%</w:t>
            </w:r>
            <w:r w:rsidRPr="00D04969">
              <w:rPr>
                <w:vertAlign w:val="superscript"/>
              </w:rPr>
              <w:t>h</w:t>
            </w:r>
          </w:p>
        </w:tc>
        <w:tc>
          <w:tcPr>
            <w:tcW w:w="1868" w:type="dxa"/>
            <w:tcBorders>
              <w:left w:val="single" w:sz="2" w:space="0" w:color="000000" w:themeColor="text1"/>
            </w:tcBorders>
            <w:hideMark/>
          </w:tcPr>
          <w:p w14:paraId="358B7A7F" w14:textId="77777777" w:rsidR="00F5470E" w:rsidRDefault="00F5470E" w:rsidP="002E4B30">
            <w:pPr>
              <w:pStyle w:val="NormalWeb"/>
              <w:jc w:val="center"/>
            </w:pPr>
            <w:r>
              <w:t>56%</w:t>
            </w:r>
          </w:p>
        </w:tc>
      </w:tr>
    </w:tbl>
    <w:p w14:paraId="36A89EB2" w14:textId="77777777" w:rsidR="00F5470E" w:rsidRDefault="00F5470E" w:rsidP="00D631B0">
      <w:pPr>
        <w:pStyle w:val="CDIfootnotes"/>
      </w:pPr>
      <w:r>
        <w:t>a</w:t>
      </w:r>
      <w:r>
        <w:tab/>
        <w:t>Reference.</w:t>
      </w:r>
    </w:p>
    <w:p w14:paraId="7DDCF411" w14:textId="77777777" w:rsidR="00F5470E" w:rsidRDefault="00F5470E" w:rsidP="00D631B0">
      <w:pPr>
        <w:pStyle w:val="CDIfootnotes"/>
      </w:pPr>
      <w:r>
        <w:t>b</w:t>
      </w:r>
      <w:r>
        <w:tab/>
        <w:t>Mean age.</w:t>
      </w:r>
    </w:p>
    <w:p w14:paraId="208C357A" w14:textId="77777777" w:rsidR="00F5470E" w:rsidRDefault="00F5470E" w:rsidP="00D631B0">
      <w:pPr>
        <w:pStyle w:val="CDIfootnotes"/>
      </w:pPr>
      <w:r>
        <w:t>c</w:t>
      </w:r>
      <w:r>
        <w:tab/>
        <w:t>1 influenza A, 3 influenza B.</w:t>
      </w:r>
    </w:p>
    <w:p w14:paraId="3DEC4231" w14:textId="77777777" w:rsidR="00F5470E" w:rsidRDefault="00F5470E" w:rsidP="00D631B0">
      <w:pPr>
        <w:pStyle w:val="CDIfootnotes"/>
      </w:pPr>
      <w:r>
        <w:t>d</w:t>
      </w:r>
      <w:r>
        <w:tab/>
        <w:t>1 influenza A.</w:t>
      </w:r>
    </w:p>
    <w:p w14:paraId="2BB42679" w14:textId="77777777" w:rsidR="00F5470E" w:rsidRDefault="00F5470E" w:rsidP="00D631B0">
      <w:pPr>
        <w:pStyle w:val="CDIfootnotes"/>
      </w:pPr>
      <w:r>
        <w:t>e</w:t>
      </w:r>
      <w:r>
        <w:tab/>
        <w:t>3 influenza A, 1 influenza B.</w:t>
      </w:r>
    </w:p>
    <w:p w14:paraId="3934AD2D" w14:textId="77777777" w:rsidR="00F5470E" w:rsidRDefault="00F5470E" w:rsidP="00D631B0">
      <w:pPr>
        <w:pStyle w:val="CDIfootnotes"/>
      </w:pPr>
      <w:r>
        <w:t>f</w:t>
      </w:r>
      <w:r>
        <w:tab/>
        <w:t>Not stated.</w:t>
      </w:r>
    </w:p>
    <w:p w14:paraId="34E45A2F" w14:textId="77777777" w:rsidR="00F5470E" w:rsidRDefault="00F5470E" w:rsidP="00D631B0">
      <w:pPr>
        <w:pStyle w:val="CDIfootnotes"/>
      </w:pPr>
      <w:r>
        <w:t>g</w:t>
      </w:r>
      <w:r>
        <w:tab/>
        <w:t>1 influenza A, 3 influenza B.</w:t>
      </w:r>
    </w:p>
    <w:p w14:paraId="376497D0" w14:textId="77777777" w:rsidR="00F5470E" w:rsidRDefault="00F5470E" w:rsidP="00D631B0">
      <w:pPr>
        <w:pStyle w:val="CDIfootnotes"/>
      </w:pPr>
      <w:r>
        <w:t>h</w:t>
      </w:r>
      <w:r>
        <w:tab/>
        <w:t>9 influenza A (H1N1)</w:t>
      </w:r>
    </w:p>
    <w:p w14:paraId="2920DF21" w14:textId="77777777" w:rsidR="00F5470E" w:rsidRDefault="00F5470E" w:rsidP="00D631B0">
      <w:pPr>
        <w:pStyle w:val="CDIFigures"/>
      </w:pPr>
      <w:r>
        <w:t>Table 2: Invasive GAS infection (iGAS) in Australia: reported case series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ummarises the seven published case series of invasive GAS infection in Australia, including the number of cases, location, incidence, prevalence of pneumonia and mortality.&#10;"/>
      </w:tblPr>
      <w:tblGrid>
        <w:gridCol w:w="488"/>
        <w:gridCol w:w="1370"/>
        <w:gridCol w:w="3541"/>
        <w:gridCol w:w="1274"/>
        <w:gridCol w:w="1418"/>
        <w:gridCol w:w="5664"/>
        <w:gridCol w:w="1103"/>
      </w:tblGrid>
      <w:tr w:rsidR="002E4B30" w:rsidRPr="002E4B30" w14:paraId="67B28AA3" w14:textId="77777777" w:rsidTr="00174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6D1CC349" w14:textId="77777777" w:rsidR="00F5470E" w:rsidRPr="002E4B30" w:rsidRDefault="00F5470E">
            <w:pPr>
              <w:pStyle w:val="NormalWeb"/>
              <w:rPr>
                <w:color w:val="FFFFFF" w:themeColor="background1"/>
              </w:rPr>
            </w:pPr>
            <w:proofErr w:type="spellStart"/>
            <w:r w:rsidRPr="002E4B30">
              <w:rPr>
                <w:color w:val="FFFFFF" w:themeColor="background1"/>
              </w:rPr>
              <w:t>Ref</w:t>
            </w:r>
            <w:r w:rsidRPr="002E4B30">
              <w:rPr>
                <w:color w:val="FFFFFF" w:themeColor="background1"/>
                <w:vertAlign w:val="superscript"/>
              </w:rPr>
              <w:t>a</w:t>
            </w:r>
            <w:proofErr w:type="spellEnd"/>
          </w:p>
        </w:tc>
        <w:tc>
          <w:tcPr>
            <w:tcW w:w="1370" w:type="dxa"/>
            <w:tcBorders>
              <w:left w:val="single" w:sz="2" w:space="0" w:color="FFFFFF" w:themeColor="background1"/>
              <w:right w:val="single" w:sz="2" w:space="0" w:color="FFFFFF" w:themeColor="background1"/>
            </w:tcBorders>
            <w:hideMark/>
          </w:tcPr>
          <w:p w14:paraId="037CC09C" w14:textId="77777777" w:rsidR="00F5470E" w:rsidRPr="002E4B30" w:rsidRDefault="00F5470E" w:rsidP="002E4B30">
            <w:pPr>
              <w:pStyle w:val="NormalWeb"/>
              <w:jc w:val="center"/>
              <w:rPr>
                <w:color w:val="FFFFFF" w:themeColor="background1"/>
              </w:rPr>
            </w:pPr>
            <w:r w:rsidRPr="002E4B30">
              <w:rPr>
                <w:color w:val="FFFFFF" w:themeColor="background1"/>
              </w:rPr>
              <w:t>Time period</w:t>
            </w:r>
          </w:p>
        </w:tc>
        <w:tc>
          <w:tcPr>
            <w:tcW w:w="3541" w:type="dxa"/>
            <w:tcBorders>
              <w:left w:val="single" w:sz="2" w:space="0" w:color="FFFFFF" w:themeColor="background1"/>
              <w:right w:val="single" w:sz="2" w:space="0" w:color="FFFFFF" w:themeColor="background1"/>
            </w:tcBorders>
            <w:hideMark/>
          </w:tcPr>
          <w:p w14:paraId="63F5C22A" w14:textId="77777777" w:rsidR="00F5470E" w:rsidRPr="002E4B30" w:rsidRDefault="00F5470E" w:rsidP="002E4B30">
            <w:pPr>
              <w:pStyle w:val="NormalWeb"/>
              <w:jc w:val="center"/>
              <w:rPr>
                <w:color w:val="FFFFFF" w:themeColor="background1"/>
              </w:rPr>
            </w:pPr>
            <w:r w:rsidRPr="002E4B30">
              <w:rPr>
                <w:color w:val="FFFFFF" w:themeColor="background1"/>
              </w:rPr>
              <w:t>Location</w:t>
            </w:r>
          </w:p>
        </w:tc>
        <w:tc>
          <w:tcPr>
            <w:tcW w:w="1274" w:type="dxa"/>
            <w:tcBorders>
              <w:left w:val="single" w:sz="2" w:space="0" w:color="FFFFFF" w:themeColor="background1"/>
              <w:right w:val="single" w:sz="2" w:space="0" w:color="FFFFFF" w:themeColor="background1"/>
            </w:tcBorders>
            <w:hideMark/>
          </w:tcPr>
          <w:p w14:paraId="6626A683" w14:textId="77777777" w:rsidR="00F5470E" w:rsidRPr="002E4B30" w:rsidRDefault="00F5470E" w:rsidP="002E4B30">
            <w:pPr>
              <w:pStyle w:val="NormalWeb"/>
              <w:jc w:val="center"/>
              <w:rPr>
                <w:color w:val="FFFFFF" w:themeColor="background1"/>
              </w:rPr>
            </w:pPr>
            <w:r w:rsidRPr="002E4B30">
              <w:rPr>
                <w:color w:val="FFFFFF" w:themeColor="background1"/>
              </w:rPr>
              <w:t>iGAS cases</w:t>
            </w:r>
          </w:p>
        </w:tc>
        <w:tc>
          <w:tcPr>
            <w:tcW w:w="1418" w:type="dxa"/>
            <w:tcBorders>
              <w:left w:val="single" w:sz="2" w:space="0" w:color="FFFFFF" w:themeColor="background1"/>
              <w:right w:val="single" w:sz="2" w:space="0" w:color="FFFFFF" w:themeColor="background1"/>
            </w:tcBorders>
            <w:hideMark/>
          </w:tcPr>
          <w:p w14:paraId="73CEE6F3" w14:textId="77777777" w:rsidR="00F5470E" w:rsidRPr="002E4B30" w:rsidRDefault="00F5470E" w:rsidP="002E4B30">
            <w:pPr>
              <w:pStyle w:val="NormalWeb"/>
              <w:jc w:val="center"/>
              <w:rPr>
                <w:color w:val="FFFFFF" w:themeColor="background1"/>
              </w:rPr>
            </w:pPr>
            <w:r w:rsidRPr="002E4B30">
              <w:rPr>
                <w:color w:val="FFFFFF" w:themeColor="background1"/>
              </w:rPr>
              <w:t>Pneumonia</w:t>
            </w:r>
          </w:p>
        </w:tc>
        <w:tc>
          <w:tcPr>
            <w:tcW w:w="5664" w:type="dxa"/>
            <w:tcBorders>
              <w:left w:val="single" w:sz="2" w:space="0" w:color="FFFFFF" w:themeColor="background1"/>
              <w:right w:val="single" w:sz="2" w:space="0" w:color="FFFFFF" w:themeColor="background1"/>
            </w:tcBorders>
            <w:hideMark/>
          </w:tcPr>
          <w:p w14:paraId="637EDFAD" w14:textId="77777777" w:rsidR="00F5470E" w:rsidRPr="002E4B30" w:rsidRDefault="00F5470E" w:rsidP="002E4B30">
            <w:pPr>
              <w:pStyle w:val="NormalWeb"/>
              <w:jc w:val="center"/>
              <w:rPr>
                <w:color w:val="FFFFFF" w:themeColor="background1"/>
              </w:rPr>
            </w:pPr>
            <w:r w:rsidRPr="002E4B30">
              <w:rPr>
                <w:color w:val="FFFFFF" w:themeColor="background1"/>
              </w:rPr>
              <w:t>Incidence per 100,000</w:t>
            </w:r>
          </w:p>
        </w:tc>
        <w:tc>
          <w:tcPr>
            <w:tcW w:w="1103" w:type="dxa"/>
            <w:tcBorders>
              <w:left w:val="single" w:sz="2" w:space="0" w:color="FFFFFF" w:themeColor="background1"/>
            </w:tcBorders>
            <w:hideMark/>
          </w:tcPr>
          <w:p w14:paraId="1557E32A" w14:textId="77777777" w:rsidR="00F5470E" w:rsidRPr="002E4B30" w:rsidRDefault="00F5470E" w:rsidP="002E4B30">
            <w:pPr>
              <w:pStyle w:val="NormalWeb"/>
              <w:jc w:val="center"/>
              <w:rPr>
                <w:color w:val="FFFFFF" w:themeColor="background1"/>
              </w:rPr>
            </w:pPr>
            <w:r w:rsidRPr="002E4B30">
              <w:rPr>
                <w:color w:val="FFFFFF" w:themeColor="background1"/>
              </w:rPr>
              <w:t>Mortality</w:t>
            </w:r>
          </w:p>
        </w:tc>
      </w:tr>
      <w:tr w:rsidR="00F5470E" w14:paraId="7837E140" w14:textId="77777777" w:rsidTr="00EC1C51">
        <w:tc>
          <w:tcPr>
            <w:tcW w:w="0" w:type="auto"/>
            <w:tcBorders>
              <w:right w:val="single" w:sz="2" w:space="0" w:color="000000" w:themeColor="text1"/>
            </w:tcBorders>
            <w:hideMark/>
          </w:tcPr>
          <w:p w14:paraId="477D7AE3" w14:textId="77777777" w:rsidR="00F5470E" w:rsidRDefault="00F5470E">
            <w:pPr>
              <w:pStyle w:val="NormalWeb"/>
            </w:pPr>
            <w:r>
              <w:t>2</w:t>
            </w:r>
          </w:p>
        </w:tc>
        <w:tc>
          <w:tcPr>
            <w:tcW w:w="1370" w:type="dxa"/>
            <w:tcBorders>
              <w:left w:val="single" w:sz="2" w:space="0" w:color="000000" w:themeColor="text1"/>
              <w:right w:val="single" w:sz="2" w:space="0" w:color="000000" w:themeColor="text1"/>
            </w:tcBorders>
            <w:hideMark/>
          </w:tcPr>
          <w:p w14:paraId="33E030FB" w14:textId="77777777" w:rsidR="00F5470E" w:rsidRDefault="00F5470E" w:rsidP="002E4B30">
            <w:pPr>
              <w:pStyle w:val="NormalWeb"/>
              <w:jc w:val="center"/>
            </w:pPr>
            <w:r>
              <w:t>1996–2001</w:t>
            </w:r>
          </w:p>
        </w:tc>
        <w:tc>
          <w:tcPr>
            <w:tcW w:w="3541" w:type="dxa"/>
            <w:tcBorders>
              <w:left w:val="single" w:sz="2" w:space="0" w:color="000000" w:themeColor="text1"/>
              <w:right w:val="single" w:sz="2" w:space="0" w:color="000000" w:themeColor="text1"/>
            </w:tcBorders>
            <w:hideMark/>
          </w:tcPr>
          <w:p w14:paraId="3AC3D0D8" w14:textId="77777777" w:rsidR="00F5470E" w:rsidRDefault="00F5470E" w:rsidP="002E4B30">
            <w:pPr>
              <w:pStyle w:val="NormalWeb"/>
              <w:jc w:val="center"/>
            </w:pPr>
            <w:r>
              <w:t>North Queensland</w:t>
            </w:r>
          </w:p>
        </w:tc>
        <w:tc>
          <w:tcPr>
            <w:tcW w:w="1274" w:type="dxa"/>
            <w:tcBorders>
              <w:left w:val="single" w:sz="2" w:space="0" w:color="000000" w:themeColor="text1"/>
              <w:right w:val="single" w:sz="2" w:space="0" w:color="000000" w:themeColor="text1"/>
            </w:tcBorders>
            <w:hideMark/>
          </w:tcPr>
          <w:p w14:paraId="052FC923" w14:textId="77777777" w:rsidR="00F5470E" w:rsidRDefault="00F5470E" w:rsidP="002E4B30">
            <w:pPr>
              <w:pStyle w:val="NormalWeb"/>
              <w:jc w:val="center"/>
            </w:pPr>
            <w:r>
              <w:t>109</w:t>
            </w:r>
          </w:p>
        </w:tc>
        <w:tc>
          <w:tcPr>
            <w:tcW w:w="1418" w:type="dxa"/>
            <w:tcBorders>
              <w:left w:val="single" w:sz="2" w:space="0" w:color="000000" w:themeColor="text1"/>
              <w:right w:val="single" w:sz="2" w:space="0" w:color="000000" w:themeColor="text1"/>
            </w:tcBorders>
            <w:hideMark/>
          </w:tcPr>
          <w:p w14:paraId="1543EEF4" w14:textId="77777777" w:rsidR="00F5470E" w:rsidRDefault="00F5470E" w:rsidP="002E4B30">
            <w:pPr>
              <w:pStyle w:val="NormalWeb"/>
              <w:jc w:val="center"/>
            </w:pPr>
            <w:r>
              <w:t>10 (9%)</w:t>
            </w:r>
          </w:p>
        </w:tc>
        <w:tc>
          <w:tcPr>
            <w:tcW w:w="5664" w:type="dxa"/>
            <w:tcBorders>
              <w:left w:val="single" w:sz="2" w:space="0" w:color="000000" w:themeColor="text1"/>
              <w:right w:val="single" w:sz="2" w:space="0" w:color="000000" w:themeColor="text1"/>
            </w:tcBorders>
            <w:hideMark/>
          </w:tcPr>
          <w:p w14:paraId="6A32B2B2" w14:textId="77777777" w:rsidR="00F5470E" w:rsidRDefault="00F5470E" w:rsidP="002E4B30">
            <w:pPr>
              <w:pStyle w:val="NormalWeb"/>
              <w:jc w:val="center"/>
            </w:pPr>
            <w:r>
              <w:t>82.5 (Aboriginal and Torres Strait Islander)</w:t>
            </w:r>
            <w:r>
              <w:br/>
              <w:t>10.1 (Non-Indigenous)</w:t>
            </w:r>
          </w:p>
        </w:tc>
        <w:tc>
          <w:tcPr>
            <w:tcW w:w="1103" w:type="dxa"/>
            <w:tcBorders>
              <w:left w:val="single" w:sz="2" w:space="0" w:color="000000" w:themeColor="text1"/>
            </w:tcBorders>
            <w:hideMark/>
          </w:tcPr>
          <w:p w14:paraId="35FE4F60" w14:textId="77777777" w:rsidR="00F5470E" w:rsidRDefault="00F5470E" w:rsidP="002E4B30">
            <w:pPr>
              <w:pStyle w:val="NormalWeb"/>
              <w:jc w:val="center"/>
            </w:pPr>
            <w:r>
              <w:t>7%</w:t>
            </w:r>
          </w:p>
        </w:tc>
      </w:tr>
      <w:tr w:rsidR="00377DCD" w14:paraId="58256FB0" w14:textId="77777777" w:rsidTr="00EC1C5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12C94A1E" w14:textId="77777777" w:rsidR="00F5470E" w:rsidRDefault="00F5470E">
            <w:pPr>
              <w:pStyle w:val="NormalWeb"/>
            </w:pPr>
            <w:r>
              <w:t>3</w:t>
            </w:r>
          </w:p>
        </w:tc>
        <w:tc>
          <w:tcPr>
            <w:tcW w:w="1370" w:type="dxa"/>
            <w:tcBorders>
              <w:left w:val="single" w:sz="2" w:space="0" w:color="000000" w:themeColor="text1"/>
              <w:right w:val="single" w:sz="2" w:space="0" w:color="000000" w:themeColor="text1"/>
            </w:tcBorders>
            <w:hideMark/>
          </w:tcPr>
          <w:p w14:paraId="4F2D09BC" w14:textId="77777777" w:rsidR="00F5470E" w:rsidRDefault="00F5470E" w:rsidP="002E4B30">
            <w:pPr>
              <w:pStyle w:val="NormalWeb"/>
              <w:jc w:val="center"/>
            </w:pPr>
            <w:r>
              <w:t>2002–2004</w:t>
            </w:r>
          </w:p>
        </w:tc>
        <w:tc>
          <w:tcPr>
            <w:tcW w:w="3541" w:type="dxa"/>
            <w:tcBorders>
              <w:left w:val="single" w:sz="2" w:space="0" w:color="000000" w:themeColor="text1"/>
              <w:right w:val="single" w:sz="2" w:space="0" w:color="000000" w:themeColor="text1"/>
            </w:tcBorders>
            <w:hideMark/>
          </w:tcPr>
          <w:p w14:paraId="0DDB4AEA" w14:textId="77777777" w:rsidR="00F5470E" w:rsidRDefault="00F5470E" w:rsidP="002E4B30">
            <w:pPr>
              <w:pStyle w:val="NormalWeb"/>
              <w:jc w:val="center"/>
            </w:pPr>
            <w:r>
              <w:t>Victoria</w:t>
            </w:r>
          </w:p>
        </w:tc>
        <w:tc>
          <w:tcPr>
            <w:tcW w:w="1274" w:type="dxa"/>
            <w:tcBorders>
              <w:left w:val="single" w:sz="2" w:space="0" w:color="000000" w:themeColor="text1"/>
              <w:right w:val="single" w:sz="2" w:space="0" w:color="000000" w:themeColor="text1"/>
            </w:tcBorders>
            <w:hideMark/>
          </w:tcPr>
          <w:p w14:paraId="30D5AFC7" w14:textId="77777777" w:rsidR="00F5470E" w:rsidRDefault="00F5470E" w:rsidP="002E4B30">
            <w:pPr>
              <w:pStyle w:val="NormalWeb"/>
              <w:jc w:val="center"/>
            </w:pPr>
            <w:r>
              <w:t>333</w:t>
            </w:r>
          </w:p>
        </w:tc>
        <w:tc>
          <w:tcPr>
            <w:tcW w:w="1418" w:type="dxa"/>
            <w:tcBorders>
              <w:left w:val="single" w:sz="2" w:space="0" w:color="000000" w:themeColor="text1"/>
              <w:right w:val="single" w:sz="2" w:space="0" w:color="000000" w:themeColor="text1"/>
            </w:tcBorders>
            <w:hideMark/>
          </w:tcPr>
          <w:p w14:paraId="10C524AF" w14:textId="77777777" w:rsidR="00F5470E" w:rsidRDefault="00F5470E" w:rsidP="002E4B30">
            <w:pPr>
              <w:pStyle w:val="NormalWeb"/>
              <w:jc w:val="center"/>
            </w:pPr>
            <w:r>
              <w:t>36 (10.8%)</w:t>
            </w:r>
          </w:p>
        </w:tc>
        <w:tc>
          <w:tcPr>
            <w:tcW w:w="5664" w:type="dxa"/>
            <w:tcBorders>
              <w:left w:val="single" w:sz="2" w:space="0" w:color="000000" w:themeColor="text1"/>
              <w:right w:val="single" w:sz="2" w:space="0" w:color="000000" w:themeColor="text1"/>
            </w:tcBorders>
            <w:hideMark/>
          </w:tcPr>
          <w:p w14:paraId="761D1AAC" w14:textId="77777777" w:rsidR="00F5470E" w:rsidRDefault="00F5470E" w:rsidP="002E4B30">
            <w:pPr>
              <w:pStyle w:val="NormalWeb"/>
              <w:jc w:val="center"/>
            </w:pPr>
            <w:r>
              <w:t>2.7</w:t>
            </w:r>
          </w:p>
        </w:tc>
        <w:tc>
          <w:tcPr>
            <w:tcW w:w="1103" w:type="dxa"/>
            <w:tcBorders>
              <w:left w:val="single" w:sz="2" w:space="0" w:color="000000" w:themeColor="text1"/>
            </w:tcBorders>
            <w:hideMark/>
          </w:tcPr>
          <w:p w14:paraId="5595352A" w14:textId="77777777" w:rsidR="00F5470E" w:rsidRDefault="00F5470E" w:rsidP="002E4B30">
            <w:pPr>
              <w:pStyle w:val="NormalWeb"/>
              <w:jc w:val="center"/>
            </w:pPr>
            <w:r>
              <w:t>7.8%</w:t>
            </w:r>
          </w:p>
        </w:tc>
      </w:tr>
      <w:tr w:rsidR="00F5470E" w14:paraId="1FD8F845" w14:textId="77777777" w:rsidTr="00EC1C51">
        <w:tc>
          <w:tcPr>
            <w:tcW w:w="0" w:type="auto"/>
            <w:tcBorders>
              <w:right w:val="single" w:sz="2" w:space="0" w:color="000000" w:themeColor="text1"/>
            </w:tcBorders>
            <w:hideMark/>
          </w:tcPr>
          <w:p w14:paraId="2F3A8E34" w14:textId="77777777" w:rsidR="00F5470E" w:rsidRDefault="00F5470E">
            <w:pPr>
              <w:pStyle w:val="NormalWeb"/>
            </w:pPr>
            <w:r>
              <w:t>4</w:t>
            </w:r>
          </w:p>
        </w:tc>
        <w:tc>
          <w:tcPr>
            <w:tcW w:w="1370" w:type="dxa"/>
            <w:tcBorders>
              <w:left w:val="single" w:sz="2" w:space="0" w:color="000000" w:themeColor="text1"/>
              <w:right w:val="single" w:sz="2" w:space="0" w:color="000000" w:themeColor="text1"/>
            </w:tcBorders>
            <w:hideMark/>
          </w:tcPr>
          <w:p w14:paraId="746E1D81" w14:textId="77777777" w:rsidR="00F5470E" w:rsidRDefault="00F5470E" w:rsidP="002E4B30">
            <w:pPr>
              <w:pStyle w:val="NormalWeb"/>
              <w:jc w:val="center"/>
            </w:pPr>
            <w:r>
              <w:t>1998–2009</w:t>
            </w:r>
          </w:p>
        </w:tc>
        <w:tc>
          <w:tcPr>
            <w:tcW w:w="3541" w:type="dxa"/>
            <w:tcBorders>
              <w:left w:val="single" w:sz="2" w:space="0" w:color="000000" w:themeColor="text1"/>
              <w:right w:val="single" w:sz="2" w:space="0" w:color="000000" w:themeColor="text1"/>
            </w:tcBorders>
            <w:hideMark/>
          </w:tcPr>
          <w:p w14:paraId="3F6EDC0B" w14:textId="77777777" w:rsidR="00F5470E" w:rsidRDefault="00F5470E" w:rsidP="002E4B30">
            <w:pPr>
              <w:pStyle w:val="NormalWeb"/>
              <w:jc w:val="center"/>
            </w:pPr>
            <w:r>
              <w:t>Northern Territory (“Top End”)</w:t>
            </w:r>
          </w:p>
        </w:tc>
        <w:tc>
          <w:tcPr>
            <w:tcW w:w="1274" w:type="dxa"/>
            <w:tcBorders>
              <w:left w:val="single" w:sz="2" w:space="0" w:color="000000" w:themeColor="text1"/>
              <w:right w:val="single" w:sz="2" w:space="0" w:color="000000" w:themeColor="text1"/>
            </w:tcBorders>
            <w:hideMark/>
          </w:tcPr>
          <w:p w14:paraId="1AFC6758" w14:textId="77777777" w:rsidR="00F5470E" w:rsidRDefault="00F5470E" w:rsidP="002E4B30">
            <w:pPr>
              <w:pStyle w:val="NormalWeb"/>
              <w:jc w:val="center"/>
            </w:pPr>
            <w:r>
              <w:t>295</w:t>
            </w:r>
          </w:p>
        </w:tc>
        <w:tc>
          <w:tcPr>
            <w:tcW w:w="1418" w:type="dxa"/>
            <w:tcBorders>
              <w:left w:val="single" w:sz="2" w:space="0" w:color="000000" w:themeColor="text1"/>
              <w:right w:val="single" w:sz="2" w:space="0" w:color="000000" w:themeColor="text1"/>
            </w:tcBorders>
            <w:hideMark/>
          </w:tcPr>
          <w:p w14:paraId="60154A2C" w14:textId="77777777" w:rsidR="00F5470E" w:rsidRDefault="00F5470E" w:rsidP="002E4B30">
            <w:pPr>
              <w:pStyle w:val="NormalWeb"/>
              <w:jc w:val="center"/>
            </w:pPr>
            <w:r>
              <w:t>8 (6.6%)</w:t>
            </w:r>
          </w:p>
        </w:tc>
        <w:tc>
          <w:tcPr>
            <w:tcW w:w="5664" w:type="dxa"/>
            <w:tcBorders>
              <w:left w:val="single" w:sz="2" w:space="0" w:color="000000" w:themeColor="text1"/>
              <w:right w:val="single" w:sz="2" w:space="0" w:color="000000" w:themeColor="text1"/>
            </w:tcBorders>
            <w:hideMark/>
          </w:tcPr>
          <w:p w14:paraId="2BCB6476" w14:textId="77777777" w:rsidR="00F5470E" w:rsidRDefault="00F5470E" w:rsidP="002E4B30">
            <w:pPr>
              <w:pStyle w:val="NormalWeb"/>
              <w:jc w:val="center"/>
            </w:pPr>
            <w:r>
              <w:t>15.8 (all)</w:t>
            </w:r>
            <w:r>
              <w:br/>
              <w:t>40.6 (Aboriginal and Torres Strait Islander)</w:t>
            </w:r>
          </w:p>
        </w:tc>
        <w:tc>
          <w:tcPr>
            <w:tcW w:w="1103" w:type="dxa"/>
            <w:tcBorders>
              <w:left w:val="single" w:sz="2" w:space="0" w:color="000000" w:themeColor="text1"/>
            </w:tcBorders>
            <w:hideMark/>
          </w:tcPr>
          <w:p w14:paraId="34D9BA9D" w14:textId="77777777" w:rsidR="00F5470E" w:rsidRDefault="00F5470E" w:rsidP="002E4B30">
            <w:pPr>
              <w:pStyle w:val="NormalWeb"/>
              <w:jc w:val="center"/>
            </w:pPr>
            <w:r>
              <w:t>13.8%</w:t>
            </w:r>
          </w:p>
        </w:tc>
      </w:tr>
      <w:tr w:rsidR="00377DCD" w14:paraId="6C6C049C" w14:textId="77777777" w:rsidTr="00EC1C5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61B943BC" w14:textId="77777777" w:rsidR="00F5470E" w:rsidRDefault="00F5470E">
            <w:pPr>
              <w:pStyle w:val="NormalWeb"/>
            </w:pPr>
            <w:r>
              <w:t>5</w:t>
            </w:r>
          </w:p>
        </w:tc>
        <w:tc>
          <w:tcPr>
            <w:tcW w:w="1370" w:type="dxa"/>
            <w:tcBorders>
              <w:left w:val="single" w:sz="2" w:space="0" w:color="000000" w:themeColor="text1"/>
              <w:right w:val="single" w:sz="2" w:space="0" w:color="000000" w:themeColor="text1"/>
            </w:tcBorders>
            <w:hideMark/>
          </w:tcPr>
          <w:p w14:paraId="1B6866E1" w14:textId="77777777" w:rsidR="00F5470E" w:rsidRDefault="00F5470E" w:rsidP="002E4B30">
            <w:pPr>
              <w:pStyle w:val="NormalWeb"/>
              <w:jc w:val="center"/>
            </w:pPr>
            <w:r>
              <w:t>2011–2013</w:t>
            </w:r>
          </w:p>
        </w:tc>
        <w:tc>
          <w:tcPr>
            <w:tcW w:w="3541" w:type="dxa"/>
            <w:tcBorders>
              <w:left w:val="single" w:sz="2" w:space="0" w:color="000000" w:themeColor="text1"/>
              <w:right w:val="single" w:sz="2" w:space="0" w:color="000000" w:themeColor="text1"/>
            </w:tcBorders>
            <w:hideMark/>
          </w:tcPr>
          <w:p w14:paraId="0F3F8894" w14:textId="77777777" w:rsidR="00F5470E" w:rsidRDefault="00F5470E" w:rsidP="002E4B30">
            <w:pPr>
              <w:pStyle w:val="NormalWeb"/>
              <w:jc w:val="center"/>
            </w:pPr>
            <w:r>
              <w:t>Northern Territory</w:t>
            </w:r>
          </w:p>
        </w:tc>
        <w:tc>
          <w:tcPr>
            <w:tcW w:w="1274" w:type="dxa"/>
            <w:tcBorders>
              <w:left w:val="single" w:sz="2" w:space="0" w:color="000000" w:themeColor="text1"/>
              <w:right w:val="single" w:sz="2" w:space="0" w:color="000000" w:themeColor="text1"/>
            </w:tcBorders>
            <w:hideMark/>
          </w:tcPr>
          <w:p w14:paraId="13674A25" w14:textId="77777777" w:rsidR="00F5470E" w:rsidRDefault="00F5470E" w:rsidP="002E4B30">
            <w:pPr>
              <w:pStyle w:val="NormalWeb"/>
              <w:jc w:val="center"/>
            </w:pPr>
            <w:r>
              <w:t>128</w:t>
            </w:r>
          </w:p>
        </w:tc>
        <w:tc>
          <w:tcPr>
            <w:tcW w:w="1418" w:type="dxa"/>
            <w:tcBorders>
              <w:left w:val="single" w:sz="2" w:space="0" w:color="000000" w:themeColor="text1"/>
              <w:right w:val="single" w:sz="2" w:space="0" w:color="000000" w:themeColor="text1"/>
            </w:tcBorders>
            <w:hideMark/>
          </w:tcPr>
          <w:p w14:paraId="7C941FA4" w14:textId="77777777" w:rsidR="00F5470E" w:rsidRDefault="00F5470E" w:rsidP="002E4B30">
            <w:pPr>
              <w:pStyle w:val="NormalWeb"/>
              <w:jc w:val="center"/>
            </w:pPr>
            <w:r>
              <w:t>12 (9%)</w:t>
            </w:r>
          </w:p>
        </w:tc>
        <w:tc>
          <w:tcPr>
            <w:tcW w:w="5664" w:type="dxa"/>
            <w:tcBorders>
              <w:left w:val="single" w:sz="2" w:space="0" w:color="000000" w:themeColor="text1"/>
              <w:right w:val="single" w:sz="2" w:space="0" w:color="000000" w:themeColor="text1"/>
            </w:tcBorders>
            <w:hideMark/>
          </w:tcPr>
          <w:p w14:paraId="598ECB3E" w14:textId="77777777" w:rsidR="00F5470E" w:rsidRDefault="00F5470E" w:rsidP="002E4B30">
            <w:pPr>
              <w:pStyle w:val="NormalWeb"/>
              <w:jc w:val="center"/>
            </w:pPr>
            <w:r>
              <w:t>8.8 (Non-Indigenous)</w:t>
            </w:r>
            <w:r>
              <w:br/>
              <w:t>69.7 (Aboriginal and Torres Strait Islander)</w:t>
            </w:r>
          </w:p>
        </w:tc>
        <w:tc>
          <w:tcPr>
            <w:tcW w:w="1103" w:type="dxa"/>
            <w:tcBorders>
              <w:left w:val="single" w:sz="2" w:space="0" w:color="000000" w:themeColor="text1"/>
            </w:tcBorders>
            <w:hideMark/>
          </w:tcPr>
          <w:p w14:paraId="5617DC51" w14:textId="77777777" w:rsidR="00F5470E" w:rsidRDefault="00F5470E" w:rsidP="002E4B30">
            <w:pPr>
              <w:pStyle w:val="NormalWeb"/>
              <w:jc w:val="center"/>
            </w:pPr>
            <w:r>
              <w:t>8%</w:t>
            </w:r>
          </w:p>
        </w:tc>
      </w:tr>
      <w:tr w:rsidR="00F5470E" w14:paraId="36E63C8D" w14:textId="77777777" w:rsidTr="00EC1C51">
        <w:tc>
          <w:tcPr>
            <w:tcW w:w="0" w:type="auto"/>
            <w:tcBorders>
              <w:right w:val="single" w:sz="2" w:space="0" w:color="000000" w:themeColor="text1"/>
            </w:tcBorders>
            <w:hideMark/>
          </w:tcPr>
          <w:p w14:paraId="06F9D82D" w14:textId="77777777" w:rsidR="00F5470E" w:rsidRDefault="00F5470E">
            <w:pPr>
              <w:pStyle w:val="NormalWeb"/>
            </w:pPr>
            <w:r>
              <w:t>6</w:t>
            </w:r>
          </w:p>
        </w:tc>
        <w:tc>
          <w:tcPr>
            <w:tcW w:w="1370" w:type="dxa"/>
            <w:tcBorders>
              <w:left w:val="single" w:sz="2" w:space="0" w:color="000000" w:themeColor="text1"/>
              <w:right w:val="single" w:sz="2" w:space="0" w:color="000000" w:themeColor="text1"/>
            </w:tcBorders>
            <w:hideMark/>
          </w:tcPr>
          <w:p w14:paraId="39E6E16F" w14:textId="77777777" w:rsidR="00F5470E" w:rsidRDefault="00F5470E" w:rsidP="002E4B30">
            <w:pPr>
              <w:pStyle w:val="NormalWeb"/>
              <w:jc w:val="center"/>
            </w:pPr>
            <w:r>
              <w:t>2007–2017</w:t>
            </w:r>
          </w:p>
        </w:tc>
        <w:tc>
          <w:tcPr>
            <w:tcW w:w="3541" w:type="dxa"/>
            <w:tcBorders>
              <w:left w:val="single" w:sz="2" w:space="0" w:color="000000" w:themeColor="text1"/>
              <w:right w:val="single" w:sz="2" w:space="0" w:color="000000" w:themeColor="text1"/>
            </w:tcBorders>
            <w:hideMark/>
          </w:tcPr>
          <w:p w14:paraId="696323CE" w14:textId="77777777" w:rsidR="00F5470E" w:rsidRDefault="00F5470E" w:rsidP="002E4B30">
            <w:pPr>
              <w:pStyle w:val="NormalWeb"/>
              <w:jc w:val="center"/>
            </w:pPr>
            <w:r>
              <w:t>Victoria</w:t>
            </w:r>
          </w:p>
        </w:tc>
        <w:tc>
          <w:tcPr>
            <w:tcW w:w="1274" w:type="dxa"/>
            <w:tcBorders>
              <w:left w:val="single" w:sz="2" w:space="0" w:color="000000" w:themeColor="text1"/>
              <w:right w:val="single" w:sz="2" w:space="0" w:color="000000" w:themeColor="text1"/>
            </w:tcBorders>
            <w:hideMark/>
          </w:tcPr>
          <w:p w14:paraId="1B6196CA" w14:textId="77777777" w:rsidR="00F5470E" w:rsidRDefault="00F5470E" w:rsidP="002E4B30">
            <w:pPr>
              <w:pStyle w:val="NormalWeb"/>
              <w:jc w:val="center"/>
            </w:pPr>
            <w:r>
              <w:t>1,311</w:t>
            </w:r>
          </w:p>
        </w:tc>
        <w:tc>
          <w:tcPr>
            <w:tcW w:w="1418" w:type="dxa"/>
            <w:tcBorders>
              <w:left w:val="single" w:sz="2" w:space="0" w:color="000000" w:themeColor="text1"/>
              <w:right w:val="single" w:sz="2" w:space="0" w:color="000000" w:themeColor="text1"/>
            </w:tcBorders>
            <w:hideMark/>
          </w:tcPr>
          <w:p w14:paraId="09E28E04" w14:textId="77777777" w:rsidR="00F5470E" w:rsidRDefault="00F5470E" w:rsidP="002E4B30">
            <w:pPr>
              <w:pStyle w:val="NormalWeb"/>
              <w:jc w:val="center"/>
            </w:pPr>
            <w:proofErr w:type="spellStart"/>
            <w:r>
              <w:t>NS</w:t>
            </w:r>
            <w:r w:rsidRPr="00CA23CD">
              <w:rPr>
                <w:vertAlign w:val="superscript"/>
              </w:rPr>
              <w:t>b</w:t>
            </w:r>
            <w:proofErr w:type="spellEnd"/>
          </w:p>
        </w:tc>
        <w:tc>
          <w:tcPr>
            <w:tcW w:w="5664" w:type="dxa"/>
            <w:tcBorders>
              <w:left w:val="single" w:sz="2" w:space="0" w:color="000000" w:themeColor="text1"/>
              <w:right w:val="single" w:sz="2" w:space="0" w:color="000000" w:themeColor="text1"/>
            </w:tcBorders>
            <w:hideMark/>
          </w:tcPr>
          <w:p w14:paraId="536EDFA2" w14:textId="77777777" w:rsidR="00F5470E" w:rsidRDefault="00F5470E" w:rsidP="002E4B30">
            <w:pPr>
              <w:pStyle w:val="NormalWeb"/>
              <w:jc w:val="center"/>
            </w:pPr>
            <w:r>
              <w:t>2.1</w:t>
            </w:r>
          </w:p>
        </w:tc>
        <w:tc>
          <w:tcPr>
            <w:tcW w:w="1103" w:type="dxa"/>
            <w:tcBorders>
              <w:left w:val="single" w:sz="2" w:space="0" w:color="000000" w:themeColor="text1"/>
            </w:tcBorders>
            <w:hideMark/>
          </w:tcPr>
          <w:p w14:paraId="5F861BD2" w14:textId="77777777" w:rsidR="00F5470E" w:rsidRDefault="00F5470E" w:rsidP="002E4B30">
            <w:pPr>
              <w:pStyle w:val="NormalWeb"/>
              <w:jc w:val="center"/>
            </w:pPr>
            <w:proofErr w:type="spellStart"/>
            <w:r>
              <w:t>NS</w:t>
            </w:r>
            <w:r w:rsidRPr="00CA23CD">
              <w:rPr>
                <w:vertAlign w:val="superscript"/>
              </w:rPr>
              <w:t>b</w:t>
            </w:r>
            <w:proofErr w:type="spellEnd"/>
          </w:p>
        </w:tc>
      </w:tr>
      <w:tr w:rsidR="00377DCD" w14:paraId="7902FC55" w14:textId="77777777" w:rsidTr="00EC1C5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9ADD154" w14:textId="77777777" w:rsidR="00F5470E" w:rsidRDefault="00F5470E">
            <w:pPr>
              <w:pStyle w:val="NormalWeb"/>
            </w:pPr>
            <w:r>
              <w:t>7</w:t>
            </w:r>
          </w:p>
        </w:tc>
        <w:tc>
          <w:tcPr>
            <w:tcW w:w="1370" w:type="dxa"/>
            <w:tcBorders>
              <w:left w:val="single" w:sz="2" w:space="0" w:color="000000" w:themeColor="text1"/>
              <w:right w:val="single" w:sz="2" w:space="0" w:color="000000" w:themeColor="text1"/>
            </w:tcBorders>
            <w:hideMark/>
          </w:tcPr>
          <w:p w14:paraId="5C4450C4" w14:textId="77777777" w:rsidR="00F5470E" w:rsidRDefault="00F5470E" w:rsidP="002E4B30">
            <w:pPr>
              <w:pStyle w:val="NormalWeb"/>
              <w:jc w:val="center"/>
            </w:pPr>
            <w:r>
              <w:t>2008–2010</w:t>
            </w:r>
          </w:p>
        </w:tc>
        <w:tc>
          <w:tcPr>
            <w:tcW w:w="3541" w:type="dxa"/>
            <w:tcBorders>
              <w:left w:val="single" w:sz="2" w:space="0" w:color="000000" w:themeColor="text1"/>
              <w:right w:val="single" w:sz="2" w:space="0" w:color="000000" w:themeColor="text1"/>
            </w:tcBorders>
            <w:hideMark/>
          </w:tcPr>
          <w:p w14:paraId="43DB5375" w14:textId="77777777" w:rsidR="00F5470E" w:rsidRDefault="00F5470E" w:rsidP="002E4B30">
            <w:pPr>
              <w:pStyle w:val="NormalWeb"/>
              <w:jc w:val="center"/>
            </w:pPr>
            <w:r>
              <w:t>Western Sydney, New South Wales</w:t>
            </w:r>
          </w:p>
        </w:tc>
        <w:tc>
          <w:tcPr>
            <w:tcW w:w="1274" w:type="dxa"/>
            <w:tcBorders>
              <w:left w:val="single" w:sz="2" w:space="0" w:color="000000" w:themeColor="text1"/>
              <w:right w:val="single" w:sz="2" w:space="0" w:color="000000" w:themeColor="text1"/>
            </w:tcBorders>
            <w:hideMark/>
          </w:tcPr>
          <w:p w14:paraId="501D8AB1" w14:textId="77777777" w:rsidR="00F5470E" w:rsidRDefault="00F5470E" w:rsidP="002E4B30">
            <w:pPr>
              <w:pStyle w:val="NormalWeb"/>
              <w:jc w:val="center"/>
            </w:pPr>
            <w:r>
              <w:t>72</w:t>
            </w:r>
          </w:p>
        </w:tc>
        <w:tc>
          <w:tcPr>
            <w:tcW w:w="1418" w:type="dxa"/>
            <w:tcBorders>
              <w:left w:val="single" w:sz="2" w:space="0" w:color="000000" w:themeColor="text1"/>
              <w:right w:val="single" w:sz="2" w:space="0" w:color="000000" w:themeColor="text1"/>
            </w:tcBorders>
            <w:hideMark/>
          </w:tcPr>
          <w:p w14:paraId="185E8451" w14:textId="77777777" w:rsidR="00F5470E" w:rsidRDefault="00F5470E" w:rsidP="002E4B30">
            <w:pPr>
              <w:pStyle w:val="NormalWeb"/>
              <w:jc w:val="center"/>
            </w:pPr>
            <w:r>
              <w:t>2 (2.8%)</w:t>
            </w:r>
            <w:r w:rsidRPr="00C02590">
              <w:rPr>
                <w:vertAlign w:val="superscript"/>
              </w:rPr>
              <w:t>c</w:t>
            </w:r>
          </w:p>
        </w:tc>
        <w:tc>
          <w:tcPr>
            <w:tcW w:w="5664" w:type="dxa"/>
            <w:tcBorders>
              <w:left w:val="single" w:sz="2" w:space="0" w:color="000000" w:themeColor="text1"/>
              <w:right w:val="single" w:sz="2" w:space="0" w:color="000000" w:themeColor="text1"/>
            </w:tcBorders>
            <w:hideMark/>
          </w:tcPr>
          <w:p w14:paraId="7D06CCFF" w14:textId="77777777" w:rsidR="00F5470E" w:rsidRDefault="00F5470E" w:rsidP="002E4B30">
            <w:pPr>
              <w:pStyle w:val="NormalWeb"/>
              <w:jc w:val="center"/>
            </w:pPr>
            <w:proofErr w:type="spellStart"/>
            <w:r>
              <w:t>NS</w:t>
            </w:r>
            <w:r w:rsidRPr="00CA23CD">
              <w:rPr>
                <w:vertAlign w:val="superscript"/>
              </w:rPr>
              <w:t>b</w:t>
            </w:r>
            <w:proofErr w:type="spellEnd"/>
          </w:p>
        </w:tc>
        <w:tc>
          <w:tcPr>
            <w:tcW w:w="1103" w:type="dxa"/>
            <w:tcBorders>
              <w:left w:val="single" w:sz="2" w:space="0" w:color="000000" w:themeColor="text1"/>
            </w:tcBorders>
            <w:hideMark/>
          </w:tcPr>
          <w:p w14:paraId="08F34DF9" w14:textId="77777777" w:rsidR="00F5470E" w:rsidRDefault="00F5470E" w:rsidP="002E4B30">
            <w:pPr>
              <w:pStyle w:val="NormalWeb"/>
              <w:jc w:val="center"/>
            </w:pPr>
            <w:r>
              <w:t>8.3%</w:t>
            </w:r>
          </w:p>
        </w:tc>
      </w:tr>
    </w:tbl>
    <w:p w14:paraId="02972F89" w14:textId="77777777" w:rsidR="00F5470E" w:rsidRDefault="00F5470E" w:rsidP="00D631B0">
      <w:pPr>
        <w:pStyle w:val="CDIfootnotes"/>
      </w:pPr>
      <w:r>
        <w:t>a</w:t>
      </w:r>
      <w:r>
        <w:tab/>
        <w:t>Reference.</w:t>
      </w:r>
    </w:p>
    <w:p w14:paraId="7D07488C" w14:textId="77777777" w:rsidR="00F5470E" w:rsidRDefault="00F5470E" w:rsidP="00D631B0">
      <w:pPr>
        <w:pStyle w:val="CDIfootnotes"/>
      </w:pPr>
      <w:r>
        <w:t>b</w:t>
      </w:r>
      <w:r>
        <w:tab/>
        <w:t>Not stated.</w:t>
      </w:r>
    </w:p>
    <w:p w14:paraId="1B772264" w14:textId="77777777" w:rsidR="00F5470E" w:rsidRDefault="00F5470E" w:rsidP="00D631B0">
      <w:pPr>
        <w:pStyle w:val="CDIfootnotes"/>
      </w:pPr>
      <w:r>
        <w:t>c</w:t>
      </w:r>
      <w:r>
        <w:tab/>
        <w:t>Empyema.</w:t>
      </w:r>
    </w:p>
    <w:p w14:paraId="446F26BA" w14:textId="77777777" w:rsidR="002E4B30" w:rsidRDefault="002E4B30" w:rsidP="00D631B0">
      <w:pPr>
        <w:sectPr w:rsidR="002E4B30" w:rsidSect="002E4B30">
          <w:pgSz w:w="16838" w:h="11906" w:orient="landscape"/>
          <w:pgMar w:top="720" w:right="720" w:bottom="720" w:left="1134" w:header="709" w:footer="284" w:gutter="0"/>
          <w:cols w:space="708"/>
          <w:titlePg/>
          <w:docGrid w:linePitch="360"/>
        </w:sectPr>
      </w:pPr>
    </w:p>
    <w:p w14:paraId="772D8396" w14:textId="77777777" w:rsidR="00F5470E" w:rsidRDefault="00F5470E" w:rsidP="00D631B0">
      <w:r>
        <w:lastRenderedPageBreak/>
        <w:t xml:space="preserve">During the winter and early spring of 2017, it was noticed that there were a number of patients presenting to public hospitals in Newcastle, New South Wales, with severe community-acquired pneumonia due to </w:t>
      </w:r>
      <w:r w:rsidRPr="002A1E41">
        <w:rPr>
          <w:rStyle w:val="Emphasis"/>
          <w:b w:val="0"/>
        </w:rPr>
        <w:t>Streptococcus pyogenes</w:t>
      </w:r>
      <w:r>
        <w:t xml:space="preserve">. The current study was performed in order to assess whether there was a true increase in the local incidence of </w:t>
      </w:r>
      <w:r w:rsidRPr="002A1E41">
        <w:rPr>
          <w:rStyle w:val="Emphasis"/>
          <w:b w:val="0"/>
        </w:rPr>
        <w:t xml:space="preserve">S. pyogenes </w:t>
      </w:r>
      <w:r>
        <w:t>pneumonia, and to describe its clinical features in a local population. A secondary aim was to determine the frequency of viral co-infection in these patients.</w:t>
      </w:r>
    </w:p>
    <w:p w14:paraId="281DFF6A" w14:textId="77777777" w:rsidR="004F62CF" w:rsidRDefault="004F62CF" w:rsidP="004F62CF">
      <w:pPr>
        <w:pStyle w:val="CDIFigures"/>
      </w:pPr>
      <w:r>
        <w:t xml:space="preserve">Table 3: Severe </w:t>
      </w:r>
      <w:r w:rsidRPr="00C02590">
        <w:rPr>
          <w:i/>
        </w:rPr>
        <w:t>Streptococcus pyogenes</w:t>
      </w:r>
      <w:r>
        <w:t xml:space="preserve"> pneumonia in the Newcastle area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provides yearly case numbers for GAS pneumonia occurring in the Newcastle area between 2007 and 2018.&#10;"/>
      </w:tblPr>
      <w:tblGrid>
        <w:gridCol w:w="993"/>
        <w:gridCol w:w="2126"/>
        <w:gridCol w:w="1984"/>
      </w:tblGrid>
      <w:tr w:rsidR="004F62CF" w:rsidRPr="003728EF" w14:paraId="6B3E692F" w14:textId="77777777" w:rsidTr="00DE2482">
        <w:trPr>
          <w:cnfStyle w:val="100000000000" w:firstRow="1" w:lastRow="0" w:firstColumn="0" w:lastColumn="0" w:oddVBand="0" w:evenVBand="0" w:oddHBand="0" w:evenHBand="0" w:firstRowFirstColumn="0" w:firstRowLastColumn="0" w:lastRowFirstColumn="0" w:lastRowLastColumn="0"/>
          <w:tblHeader/>
        </w:trPr>
        <w:tc>
          <w:tcPr>
            <w:tcW w:w="993" w:type="dxa"/>
            <w:tcBorders>
              <w:bottom w:val="single" w:sz="2" w:space="0" w:color="auto"/>
              <w:right w:val="single" w:sz="2" w:space="0" w:color="FFFFFF" w:themeColor="background1"/>
            </w:tcBorders>
            <w:hideMark/>
          </w:tcPr>
          <w:p w14:paraId="21DC4AF8" w14:textId="77777777" w:rsidR="004F62CF" w:rsidRPr="003728EF" w:rsidRDefault="004F62CF" w:rsidP="00DE2482">
            <w:pPr>
              <w:pStyle w:val="NormalWeb"/>
              <w:rPr>
                <w:color w:val="FFFFFF" w:themeColor="background1"/>
              </w:rPr>
            </w:pPr>
            <w:r w:rsidRPr="003728EF">
              <w:rPr>
                <w:color w:val="FFFFFF" w:themeColor="background1"/>
              </w:rPr>
              <w:t>Year</w:t>
            </w:r>
          </w:p>
        </w:tc>
        <w:tc>
          <w:tcPr>
            <w:tcW w:w="2126" w:type="dxa"/>
            <w:tcBorders>
              <w:left w:val="single" w:sz="2" w:space="0" w:color="FFFFFF" w:themeColor="background1"/>
              <w:bottom w:val="single" w:sz="2" w:space="0" w:color="auto"/>
              <w:right w:val="single" w:sz="2" w:space="0" w:color="FFFFFF" w:themeColor="background1"/>
            </w:tcBorders>
            <w:hideMark/>
          </w:tcPr>
          <w:p w14:paraId="1B34CE2F" w14:textId="77777777" w:rsidR="004F62CF" w:rsidRPr="003728EF" w:rsidRDefault="004F62CF" w:rsidP="00DE2482">
            <w:pPr>
              <w:pStyle w:val="NormalWeb"/>
              <w:jc w:val="center"/>
              <w:rPr>
                <w:color w:val="FFFFFF" w:themeColor="background1"/>
              </w:rPr>
            </w:pPr>
            <w:r w:rsidRPr="003728EF">
              <w:rPr>
                <w:color w:val="FFFFFF" w:themeColor="background1"/>
              </w:rPr>
              <w:t>Number of cases</w:t>
            </w:r>
          </w:p>
        </w:tc>
        <w:tc>
          <w:tcPr>
            <w:tcW w:w="1984" w:type="dxa"/>
            <w:tcBorders>
              <w:left w:val="single" w:sz="2" w:space="0" w:color="FFFFFF" w:themeColor="background1"/>
              <w:bottom w:val="single" w:sz="2" w:space="0" w:color="auto"/>
            </w:tcBorders>
            <w:hideMark/>
          </w:tcPr>
          <w:p w14:paraId="53D69C7E" w14:textId="77777777" w:rsidR="004F62CF" w:rsidRPr="003728EF" w:rsidRDefault="004F62CF" w:rsidP="00DE2482">
            <w:pPr>
              <w:pStyle w:val="NormalWeb"/>
              <w:jc w:val="center"/>
              <w:rPr>
                <w:color w:val="FFFFFF" w:themeColor="background1"/>
              </w:rPr>
            </w:pPr>
            <w:r w:rsidRPr="003728EF">
              <w:rPr>
                <w:color w:val="FFFFFF" w:themeColor="background1"/>
              </w:rPr>
              <w:t>% of total</w:t>
            </w:r>
          </w:p>
        </w:tc>
      </w:tr>
      <w:tr w:rsidR="004F62CF" w14:paraId="3D8F2583" w14:textId="77777777" w:rsidTr="00DE2482">
        <w:tc>
          <w:tcPr>
            <w:tcW w:w="993" w:type="dxa"/>
            <w:tcBorders>
              <w:top w:val="single" w:sz="2" w:space="0" w:color="auto"/>
              <w:right w:val="single" w:sz="2" w:space="0" w:color="000000" w:themeColor="text1"/>
            </w:tcBorders>
            <w:hideMark/>
          </w:tcPr>
          <w:p w14:paraId="545620FE" w14:textId="77777777" w:rsidR="004F62CF" w:rsidRDefault="004F62CF" w:rsidP="00DE2482">
            <w:pPr>
              <w:pStyle w:val="NormalWeb"/>
            </w:pPr>
            <w:r>
              <w:t>2007</w:t>
            </w:r>
          </w:p>
        </w:tc>
        <w:tc>
          <w:tcPr>
            <w:tcW w:w="2126" w:type="dxa"/>
            <w:tcBorders>
              <w:top w:val="single" w:sz="2" w:space="0" w:color="auto"/>
              <w:left w:val="single" w:sz="2" w:space="0" w:color="000000" w:themeColor="text1"/>
              <w:right w:val="single" w:sz="2" w:space="0" w:color="000000" w:themeColor="text1"/>
            </w:tcBorders>
            <w:hideMark/>
          </w:tcPr>
          <w:p w14:paraId="073C7FED" w14:textId="77777777" w:rsidR="004F62CF" w:rsidRDefault="004F62CF" w:rsidP="00DE2482">
            <w:pPr>
              <w:pStyle w:val="NormalWeb"/>
              <w:jc w:val="center"/>
            </w:pPr>
            <w:r>
              <w:t>1</w:t>
            </w:r>
          </w:p>
        </w:tc>
        <w:tc>
          <w:tcPr>
            <w:tcW w:w="1984" w:type="dxa"/>
            <w:tcBorders>
              <w:top w:val="single" w:sz="2" w:space="0" w:color="auto"/>
              <w:left w:val="single" w:sz="2" w:space="0" w:color="000000" w:themeColor="text1"/>
            </w:tcBorders>
            <w:hideMark/>
          </w:tcPr>
          <w:p w14:paraId="37045DCC" w14:textId="77777777" w:rsidR="004F62CF" w:rsidRDefault="004F62CF" w:rsidP="00DE2482">
            <w:pPr>
              <w:pStyle w:val="NormalWeb"/>
              <w:jc w:val="center"/>
            </w:pPr>
            <w:r>
              <w:t>8.3</w:t>
            </w:r>
          </w:p>
        </w:tc>
      </w:tr>
      <w:tr w:rsidR="004F62CF" w14:paraId="0AFF0013" w14:textId="77777777" w:rsidTr="00DE2482">
        <w:trPr>
          <w:cnfStyle w:val="000000010000" w:firstRow="0" w:lastRow="0" w:firstColumn="0" w:lastColumn="0" w:oddVBand="0" w:evenVBand="0" w:oddHBand="0" w:evenHBand="1" w:firstRowFirstColumn="0" w:firstRowLastColumn="0" w:lastRowFirstColumn="0" w:lastRowLastColumn="0"/>
        </w:trPr>
        <w:tc>
          <w:tcPr>
            <w:tcW w:w="993" w:type="dxa"/>
            <w:tcBorders>
              <w:right w:val="single" w:sz="2" w:space="0" w:color="000000" w:themeColor="text1"/>
            </w:tcBorders>
            <w:hideMark/>
          </w:tcPr>
          <w:p w14:paraId="379EFA97" w14:textId="77777777" w:rsidR="004F62CF" w:rsidRDefault="004F62CF" w:rsidP="00DE2482">
            <w:pPr>
              <w:pStyle w:val="NormalWeb"/>
            </w:pPr>
            <w:r>
              <w:t>2008</w:t>
            </w:r>
          </w:p>
        </w:tc>
        <w:tc>
          <w:tcPr>
            <w:tcW w:w="2126" w:type="dxa"/>
            <w:tcBorders>
              <w:left w:val="single" w:sz="2" w:space="0" w:color="000000" w:themeColor="text1"/>
              <w:right w:val="single" w:sz="2" w:space="0" w:color="000000" w:themeColor="text1"/>
            </w:tcBorders>
            <w:hideMark/>
          </w:tcPr>
          <w:p w14:paraId="69005130" w14:textId="77777777" w:rsidR="004F62CF" w:rsidRDefault="004F62CF" w:rsidP="00DE2482">
            <w:pPr>
              <w:jc w:val="center"/>
            </w:pPr>
          </w:p>
        </w:tc>
        <w:tc>
          <w:tcPr>
            <w:tcW w:w="1984" w:type="dxa"/>
            <w:tcBorders>
              <w:left w:val="single" w:sz="2" w:space="0" w:color="000000" w:themeColor="text1"/>
            </w:tcBorders>
            <w:hideMark/>
          </w:tcPr>
          <w:p w14:paraId="4C379293" w14:textId="77777777" w:rsidR="004F62CF" w:rsidRDefault="004F62CF" w:rsidP="00DE2482">
            <w:pPr>
              <w:jc w:val="center"/>
              <w:rPr>
                <w:rFonts w:eastAsia="Times New Roman"/>
                <w:sz w:val="20"/>
                <w:szCs w:val="20"/>
              </w:rPr>
            </w:pPr>
          </w:p>
        </w:tc>
      </w:tr>
      <w:tr w:rsidR="004F62CF" w14:paraId="34850EC4" w14:textId="77777777" w:rsidTr="00DE2482">
        <w:tc>
          <w:tcPr>
            <w:tcW w:w="993" w:type="dxa"/>
            <w:tcBorders>
              <w:right w:val="single" w:sz="2" w:space="0" w:color="000000" w:themeColor="text1"/>
            </w:tcBorders>
            <w:hideMark/>
          </w:tcPr>
          <w:p w14:paraId="73B2973D" w14:textId="77777777" w:rsidR="004F62CF" w:rsidRDefault="004F62CF" w:rsidP="00DE2482">
            <w:pPr>
              <w:pStyle w:val="NormalWeb"/>
              <w:rPr>
                <w:sz w:val="24"/>
                <w:szCs w:val="24"/>
              </w:rPr>
            </w:pPr>
            <w:r>
              <w:t>2009</w:t>
            </w:r>
          </w:p>
        </w:tc>
        <w:tc>
          <w:tcPr>
            <w:tcW w:w="2126" w:type="dxa"/>
            <w:tcBorders>
              <w:left w:val="single" w:sz="2" w:space="0" w:color="000000" w:themeColor="text1"/>
              <w:right w:val="single" w:sz="2" w:space="0" w:color="000000" w:themeColor="text1"/>
            </w:tcBorders>
            <w:hideMark/>
          </w:tcPr>
          <w:p w14:paraId="25610429" w14:textId="77777777" w:rsidR="004F62CF" w:rsidRDefault="004F62CF" w:rsidP="00DE2482">
            <w:pPr>
              <w:jc w:val="center"/>
            </w:pPr>
          </w:p>
        </w:tc>
        <w:tc>
          <w:tcPr>
            <w:tcW w:w="1984" w:type="dxa"/>
            <w:tcBorders>
              <w:left w:val="single" w:sz="2" w:space="0" w:color="000000" w:themeColor="text1"/>
            </w:tcBorders>
            <w:hideMark/>
          </w:tcPr>
          <w:p w14:paraId="15E95C42" w14:textId="77777777" w:rsidR="004F62CF" w:rsidRDefault="004F62CF" w:rsidP="00DE2482">
            <w:pPr>
              <w:jc w:val="center"/>
              <w:rPr>
                <w:rFonts w:eastAsia="Times New Roman"/>
                <w:sz w:val="20"/>
                <w:szCs w:val="20"/>
              </w:rPr>
            </w:pPr>
          </w:p>
        </w:tc>
      </w:tr>
      <w:tr w:rsidR="004F62CF" w14:paraId="76AED51E" w14:textId="77777777" w:rsidTr="00DE2482">
        <w:trPr>
          <w:cnfStyle w:val="000000010000" w:firstRow="0" w:lastRow="0" w:firstColumn="0" w:lastColumn="0" w:oddVBand="0" w:evenVBand="0" w:oddHBand="0" w:evenHBand="1" w:firstRowFirstColumn="0" w:firstRowLastColumn="0" w:lastRowFirstColumn="0" w:lastRowLastColumn="0"/>
        </w:trPr>
        <w:tc>
          <w:tcPr>
            <w:tcW w:w="993" w:type="dxa"/>
            <w:tcBorders>
              <w:right w:val="single" w:sz="2" w:space="0" w:color="000000" w:themeColor="text1"/>
            </w:tcBorders>
            <w:hideMark/>
          </w:tcPr>
          <w:p w14:paraId="6F945748" w14:textId="77777777" w:rsidR="004F62CF" w:rsidRDefault="004F62CF" w:rsidP="00DE2482">
            <w:pPr>
              <w:pStyle w:val="NormalWeb"/>
              <w:rPr>
                <w:sz w:val="24"/>
                <w:szCs w:val="24"/>
              </w:rPr>
            </w:pPr>
            <w:r>
              <w:t>2010</w:t>
            </w:r>
          </w:p>
        </w:tc>
        <w:tc>
          <w:tcPr>
            <w:tcW w:w="2126" w:type="dxa"/>
            <w:tcBorders>
              <w:left w:val="single" w:sz="2" w:space="0" w:color="000000" w:themeColor="text1"/>
              <w:right w:val="single" w:sz="2" w:space="0" w:color="000000" w:themeColor="text1"/>
            </w:tcBorders>
            <w:hideMark/>
          </w:tcPr>
          <w:p w14:paraId="28E55C72" w14:textId="77777777" w:rsidR="004F62CF" w:rsidRDefault="004F62CF" w:rsidP="00DE2482">
            <w:pPr>
              <w:pStyle w:val="NormalWeb"/>
              <w:jc w:val="center"/>
            </w:pPr>
            <w:r>
              <w:t>2</w:t>
            </w:r>
          </w:p>
        </w:tc>
        <w:tc>
          <w:tcPr>
            <w:tcW w:w="1984" w:type="dxa"/>
            <w:tcBorders>
              <w:left w:val="single" w:sz="2" w:space="0" w:color="000000" w:themeColor="text1"/>
            </w:tcBorders>
            <w:hideMark/>
          </w:tcPr>
          <w:p w14:paraId="02183B7D" w14:textId="77777777" w:rsidR="004F62CF" w:rsidRDefault="004F62CF" w:rsidP="00DE2482">
            <w:pPr>
              <w:pStyle w:val="NormalWeb"/>
              <w:jc w:val="center"/>
            </w:pPr>
            <w:r>
              <w:t>16.7</w:t>
            </w:r>
          </w:p>
        </w:tc>
      </w:tr>
      <w:tr w:rsidR="004F62CF" w14:paraId="0D2C5849" w14:textId="77777777" w:rsidTr="00DE2482">
        <w:tc>
          <w:tcPr>
            <w:tcW w:w="993" w:type="dxa"/>
            <w:tcBorders>
              <w:right w:val="single" w:sz="2" w:space="0" w:color="000000" w:themeColor="text1"/>
            </w:tcBorders>
            <w:hideMark/>
          </w:tcPr>
          <w:p w14:paraId="2C32CE46" w14:textId="77777777" w:rsidR="004F62CF" w:rsidRDefault="004F62CF" w:rsidP="00DE2482">
            <w:pPr>
              <w:pStyle w:val="NormalWeb"/>
            </w:pPr>
            <w:r>
              <w:t>2011</w:t>
            </w:r>
          </w:p>
        </w:tc>
        <w:tc>
          <w:tcPr>
            <w:tcW w:w="2126" w:type="dxa"/>
            <w:tcBorders>
              <w:left w:val="single" w:sz="2" w:space="0" w:color="000000" w:themeColor="text1"/>
              <w:right w:val="single" w:sz="2" w:space="0" w:color="000000" w:themeColor="text1"/>
            </w:tcBorders>
            <w:hideMark/>
          </w:tcPr>
          <w:p w14:paraId="34200CE7" w14:textId="77777777" w:rsidR="004F62CF" w:rsidRDefault="004F62CF" w:rsidP="00DE2482">
            <w:pPr>
              <w:jc w:val="center"/>
            </w:pPr>
          </w:p>
        </w:tc>
        <w:tc>
          <w:tcPr>
            <w:tcW w:w="1984" w:type="dxa"/>
            <w:tcBorders>
              <w:left w:val="single" w:sz="2" w:space="0" w:color="000000" w:themeColor="text1"/>
            </w:tcBorders>
            <w:hideMark/>
          </w:tcPr>
          <w:p w14:paraId="4C9BB99B" w14:textId="77777777" w:rsidR="004F62CF" w:rsidRDefault="004F62CF" w:rsidP="00DE2482">
            <w:pPr>
              <w:jc w:val="center"/>
              <w:rPr>
                <w:rFonts w:eastAsia="Times New Roman"/>
                <w:sz w:val="20"/>
                <w:szCs w:val="20"/>
              </w:rPr>
            </w:pPr>
          </w:p>
        </w:tc>
      </w:tr>
      <w:tr w:rsidR="004F62CF" w14:paraId="35972121" w14:textId="77777777" w:rsidTr="00DE2482">
        <w:trPr>
          <w:cnfStyle w:val="000000010000" w:firstRow="0" w:lastRow="0" w:firstColumn="0" w:lastColumn="0" w:oddVBand="0" w:evenVBand="0" w:oddHBand="0" w:evenHBand="1" w:firstRowFirstColumn="0" w:firstRowLastColumn="0" w:lastRowFirstColumn="0" w:lastRowLastColumn="0"/>
        </w:trPr>
        <w:tc>
          <w:tcPr>
            <w:tcW w:w="993" w:type="dxa"/>
            <w:tcBorders>
              <w:right w:val="single" w:sz="2" w:space="0" w:color="000000" w:themeColor="text1"/>
            </w:tcBorders>
            <w:hideMark/>
          </w:tcPr>
          <w:p w14:paraId="7943AE59" w14:textId="77777777" w:rsidR="004F62CF" w:rsidRDefault="004F62CF" w:rsidP="00DE2482">
            <w:pPr>
              <w:pStyle w:val="NormalWeb"/>
              <w:rPr>
                <w:sz w:val="24"/>
                <w:szCs w:val="24"/>
              </w:rPr>
            </w:pPr>
            <w:r>
              <w:t>2012</w:t>
            </w:r>
          </w:p>
        </w:tc>
        <w:tc>
          <w:tcPr>
            <w:tcW w:w="2126" w:type="dxa"/>
            <w:tcBorders>
              <w:left w:val="single" w:sz="2" w:space="0" w:color="000000" w:themeColor="text1"/>
              <w:right w:val="single" w:sz="2" w:space="0" w:color="000000" w:themeColor="text1"/>
            </w:tcBorders>
            <w:hideMark/>
          </w:tcPr>
          <w:p w14:paraId="348497A0" w14:textId="77777777" w:rsidR="004F62CF" w:rsidRDefault="004F62CF" w:rsidP="00DE2482">
            <w:pPr>
              <w:jc w:val="center"/>
            </w:pPr>
          </w:p>
        </w:tc>
        <w:tc>
          <w:tcPr>
            <w:tcW w:w="1984" w:type="dxa"/>
            <w:tcBorders>
              <w:left w:val="single" w:sz="2" w:space="0" w:color="000000" w:themeColor="text1"/>
            </w:tcBorders>
            <w:hideMark/>
          </w:tcPr>
          <w:p w14:paraId="5DB9A260" w14:textId="77777777" w:rsidR="004F62CF" w:rsidRDefault="004F62CF" w:rsidP="00DE2482">
            <w:pPr>
              <w:jc w:val="center"/>
              <w:rPr>
                <w:rFonts w:eastAsia="Times New Roman"/>
                <w:sz w:val="20"/>
                <w:szCs w:val="20"/>
              </w:rPr>
            </w:pPr>
          </w:p>
        </w:tc>
      </w:tr>
      <w:tr w:rsidR="004F62CF" w14:paraId="1E868265" w14:textId="77777777" w:rsidTr="00DE2482">
        <w:tc>
          <w:tcPr>
            <w:tcW w:w="993" w:type="dxa"/>
            <w:tcBorders>
              <w:right w:val="single" w:sz="2" w:space="0" w:color="000000" w:themeColor="text1"/>
            </w:tcBorders>
            <w:hideMark/>
          </w:tcPr>
          <w:p w14:paraId="01DECA2E" w14:textId="77777777" w:rsidR="004F62CF" w:rsidRDefault="004F62CF" w:rsidP="00DE2482">
            <w:pPr>
              <w:pStyle w:val="NormalWeb"/>
              <w:rPr>
                <w:sz w:val="24"/>
                <w:szCs w:val="24"/>
              </w:rPr>
            </w:pPr>
            <w:r>
              <w:t>2013</w:t>
            </w:r>
          </w:p>
        </w:tc>
        <w:tc>
          <w:tcPr>
            <w:tcW w:w="2126" w:type="dxa"/>
            <w:tcBorders>
              <w:left w:val="single" w:sz="2" w:space="0" w:color="000000" w:themeColor="text1"/>
              <w:right w:val="single" w:sz="2" w:space="0" w:color="000000" w:themeColor="text1"/>
            </w:tcBorders>
            <w:hideMark/>
          </w:tcPr>
          <w:p w14:paraId="5AFEFC5C" w14:textId="77777777" w:rsidR="004F62CF" w:rsidRDefault="004F62CF" w:rsidP="00DE2482">
            <w:pPr>
              <w:jc w:val="center"/>
            </w:pPr>
          </w:p>
        </w:tc>
        <w:tc>
          <w:tcPr>
            <w:tcW w:w="1984" w:type="dxa"/>
            <w:tcBorders>
              <w:left w:val="single" w:sz="2" w:space="0" w:color="000000" w:themeColor="text1"/>
            </w:tcBorders>
            <w:hideMark/>
          </w:tcPr>
          <w:p w14:paraId="0324315E" w14:textId="77777777" w:rsidR="004F62CF" w:rsidRDefault="004F62CF" w:rsidP="00DE2482">
            <w:pPr>
              <w:jc w:val="center"/>
              <w:rPr>
                <w:rFonts w:eastAsia="Times New Roman"/>
                <w:sz w:val="20"/>
                <w:szCs w:val="20"/>
              </w:rPr>
            </w:pPr>
          </w:p>
        </w:tc>
      </w:tr>
      <w:tr w:rsidR="004F62CF" w14:paraId="179D7E21" w14:textId="77777777" w:rsidTr="00DE2482">
        <w:trPr>
          <w:cnfStyle w:val="000000010000" w:firstRow="0" w:lastRow="0" w:firstColumn="0" w:lastColumn="0" w:oddVBand="0" w:evenVBand="0" w:oddHBand="0" w:evenHBand="1" w:firstRowFirstColumn="0" w:firstRowLastColumn="0" w:lastRowFirstColumn="0" w:lastRowLastColumn="0"/>
        </w:trPr>
        <w:tc>
          <w:tcPr>
            <w:tcW w:w="993" w:type="dxa"/>
            <w:tcBorders>
              <w:right w:val="single" w:sz="2" w:space="0" w:color="000000" w:themeColor="text1"/>
            </w:tcBorders>
            <w:hideMark/>
          </w:tcPr>
          <w:p w14:paraId="29452CB8" w14:textId="77777777" w:rsidR="004F62CF" w:rsidRDefault="004F62CF" w:rsidP="00DE2482">
            <w:pPr>
              <w:pStyle w:val="NormalWeb"/>
              <w:rPr>
                <w:sz w:val="24"/>
                <w:szCs w:val="24"/>
              </w:rPr>
            </w:pPr>
            <w:r>
              <w:t>2014</w:t>
            </w:r>
          </w:p>
        </w:tc>
        <w:tc>
          <w:tcPr>
            <w:tcW w:w="2126" w:type="dxa"/>
            <w:tcBorders>
              <w:left w:val="single" w:sz="2" w:space="0" w:color="000000" w:themeColor="text1"/>
              <w:right w:val="single" w:sz="2" w:space="0" w:color="000000" w:themeColor="text1"/>
            </w:tcBorders>
            <w:hideMark/>
          </w:tcPr>
          <w:p w14:paraId="5DD15905" w14:textId="77777777" w:rsidR="004F62CF" w:rsidRDefault="004F62CF" w:rsidP="00DE2482">
            <w:pPr>
              <w:pStyle w:val="NormalWeb"/>
              <w:jc w:val="center"/>
            </w:pPr>
            <w:r>
              <w:t>1</w:t>
            </w:r>
          </w:p>
        </w:tc>
        <w:tc>
          <w:tcPr>
            <w:tcW w:w="1984" w:type="dxa"/>
            <w:tcBorders>
              <w:left w:val="single" w:sz="2" w:space="0" w:color="000000" w:themeColor="text1"/>
            </w:tcBorders>
            <w:hideMark/>
          </w:tcPr>
          <w:p w14:paraId="43510E46" w14:textId="77777777" w:rsidR="004F62CF" w:rsidRDefault="004F62CF" w:rsidP="00DE2482">
            <w:pPr>
              <w:pStyle w:val="NormalWeb"/>
              <w:jc w:val="center"/>
            </w:pPr>
            <w:r>
              <w:t>8.3</w:t>
            </w:r>
          </w:p>
        </w:tc>
      </w:tr>
      <w:tr w:rsidR="004F62CF" w14:paraId="554E910E" w14:textId="77777777" w:rsidTr="00DE2482">
        <w:tc>
          <w:tcPr>
            <w:tcW w:w="993" w:type="dxa"/>
            <w:tcBorders>
              <w:right w:val="single" w:sz="2" w:space="0" w:color="000000" w:themeColor="text1"/>
            </w:tcBorders>
            <w:hideMark/>
          </w:tcPr>
          <w:p w14:paraId="0FFC84A5" w14:textId="77777777" w:rsidR="004F62CF" w:rsidRDefault="004F62CF" w:rsidP="00DE2482">
            <w:pPr>
              <w:pStyle w:val="NormalWeb"/>
            </w:pPr>
            <w:r>
              <w:t>2015</w:t>
            </w:r>
          </w:p>
        </w:tc>
        <w:tc>
          <w:tcPr>
            <w:tcW w:w="2126" w:type="dxa"/>
            <w:tcBorders>
              <w:left w:val="single" w:sz="2" w:space="0" w:color="000000" w:themeColor="text1"/>
              <w:right w:val="single" w:sz="2" w:space="0" w:color="000000" w:themeColor="text1"/>
            </w:tcBorders>
            <w:hideMark/>
          </w:tcPr>
          <w:p w14:paraId="65795A72" w14:textId="77777777" w:rsidR="004F62CF" w:rsidRDefault="004F62CF" w:rsidP="00DE2482">
            <w:pPr>
              <w:pStyle w:val="NormalWeb"/>
              <w:jc w:val="center"/>
            </w:pPr>
            <w:r>
              <w:t>1</w:t>
            </w:r>
          </w:p>
        </w:tc>
        <w:tc>
          <w:tcPr>
            <w:tcW w:w="1984" w:type="dxa"/>
            <w:tcBorders>
              <w:left w:val="single" w:sz="2" w:space="0" w:color="000000" w:themeColor="text1"/>
            </w:tcBorders>
            <w:hideMark/>
          </w:tcPr>
          <w:p w14:paraId="7B8FC391" w14:textId="77777777" w:rsidR="004F62CF" w:rsidRDefault="004F62CF" w:rsidP="00DE2482">
            <w:pPr>
              <w:pStyle w:val="NormalWeb"/>
              <w:jc w:val="center"/>
            </w:pPr>
            <w:r>
              <w:t>8.3</w:t>
            </w:r>
          </w:p>
        </w:tc>
      </w:tr>
      <w:tr w:rsidR="004F62CF" w14:paraId="5DE1AD54" w14:textId="77777777" w:rsidTr="00DE2482">
        <w:trPr>
          <w:cnfStyle w:val="000000010000" w:firstRow="0" w:lastRow="0" w:firstColumn="0" w:lastColumn="0" w:oddVBand="0" w:evenVBand="0" w:oddHBand="0" w:evenHBand="1" w:firstRowFirstColumn="0" w:firstRowLastColumn="0" w:lastRowFirstColumn="0" w:lastRowLastColumn="0"/>
        </w:trPr>
        <w:tc>
          <w:tcPr>
            <w:tcW w:w="993" w:type="dxa"/>
            <w:tcBorders>
              <w:right w:val="single" w:sz="2" w:space="0" w:color="000000" w:themeColor="text1"/>
            </w:tcBorders>
            <w:hideMark/>
          </w:tcPr>
          <w:p w14:paraId="421F97D5" w14:textId="77777777" w:rsidR="004F62CF" w:rsidRDefault="004F62CF" w:rsidP="00DE2482">
            <w:pPr>
              <w:pStyle w:val="NormalWeb"/>
            </w:pPr>
            <w:r>
              <w:t>2016</w:t>
            </w:r>
          </w:p>
        </w:tc>
        <w:tc>
          <w:tcPr>
            <w:tcW w:w="2126" w:type="dxa"/>
            <w:tcBorders>
              <w:left w:val="single" w:sz="2" w:space="0" w:color="000000" w:themeColor="text1"/>
              <w:right w:val="single" w:sz="2" w:space="0" w:color="000000" w:themeColor="text1"/>
            </w:tcBorders>
            <w:hideMark/>
          </w:tcPr>
          <w:p w14:paraId="5110A6BC" w14:textId="77777777" w:rsidR="004F62CF" w:rsidRDefault="004F62CF" w:rsidP="00DE2482">
            <w:pPr>
              <w:jc w:val="center"/>
            </w:pPr>
          </w:p>
        </w:tc>
        <w:tc>
          <w:tcPr>
            <w:tcW w:w="1984" w:type="dxa"/>
            <w:tcBorders>
              <w:left w:val="single" w:sz="2" w:space="0" w:color="000000" w:themeColor="text1"/>
            </w:tcBorders>
            <w:hideMark/>
          </w:tcPr>
          <w:p w14:paraId="06D96AC5" w14:textId="77777777" w:rsidR="004F62CF" w:rsidRDefault="004F62CF" w:rsidP="00DE2482">
            <w:pPr>
              <w:jc w:val="center"/>
              <w:rPr>
                <w:rFonts w:eastAsia="Times New Roman"/>
                <w:sz w:val="20"/>
                <w:szCs w:val="20"/>
              </w:rPr>
            </w:pPr>
          </w:p>
        </w:tc>
      </w:tr>
      <w:tr w:rsidR="004F62CF" w14:paraId="49C57B27" w14:textId="77777777" w:rsidTr="00DE2482">
        <w:tc>
          <w:tcPr>
            <w:tcW w:w="993" w:type="dxa"/>
            <w:tcBorders>
              <w:right w:val="single" w:sz="2" w:space="0" w:color="000000" w:themeColor="text1"/>
            </w:tcBorders>
            <w:hideMark/>
          </w:tcPr>
          <w:p w14:paraId="35C35E56" w14:textId="77777777" w:rsidR="004F62CF" w:rsidRDefault="004F62CF" w:rsidP="00DE2482">
            <w:pPr>
              <w:pStyle w:val="NormalWeb"/>
              <w:rPr>
                <w:sz w:val="24"/>
                <w:szCs w:val="24"/>
              </w:rPr>
            </w:pPr>
            <w:r>
              <w:t>2017</w:t>
            </w:r>
          </w:p>
        </w:tc>
        <w:tc>
          <w:tcPr>
            <w:tcW w:w="2126" w:type="dxa"/>
            <w:tcBorders>
              <w:left w:val="single" w:sz="2" w:space="0" w:color="000000" w:themeColor="text1"/>
              <w:right w:val="single" w:sz="2" w:space="0" w:color="000000" w:themeColor="text1"/>
            </w:tcBorders>
            <w:hideMark/>
          </w:tcPr>
          <w:p w14:paraId="2306D585" w14:textId="77777777" w:rsidR="004F62CF" w:rsidRDefault="004F62CF" w:rsidP="00DE2482">
            <w:pPr>
              <w:pStyle w:val="NormalWeb"/>
              <w:jc w:val="center"/>
            </w:pPr>
            <w:r>
              <w:t>7</w:t>
            </w:r>
          </w:p>
        </w:tc>
        <w:tc>
          <w:tcPr>
            <w:tcW w:w="1984" w:type="dxa"/>
            <w:tcBorders>
              <w:left w:val="single" w:sz="2" w:space="0" w:color="000000" w:themeColor="text1"/>
            </w:tcBorders>
            <w:hideMark/>
          </w:tcPr>
          <w:p w14:paraId="583A25B5" w14:textId="77777777" w:rsidR="004F62CF" w:rsidRDefault="004F62CF" w:rsidP="00DE2482">
            <w:pPr>
              <w:pStyle w:val="NormalWeb"/>
              <w:jc w:val="center"/>
            </w:pPr>
            <w:r>
              <w:t>58.3</w:t>
            </w:r>
          </w:p>
        </w:tc>
      </w:tr>
      <w:tr w:rsidR="004F62CF" w14:paraId="603D6957" w14:textId="77777777" w:rsidTr="00DE2482">
        <w:trPr>
          <w:cnfStyle w:val="000000010000" w:firstRow="0" w:lastRow="0" w:firstColumn="0" w:lastColumn="0" w:oddVBand="0" w:evenVBand="0" w:oddHBand="0" w:evenHBand="1" w:firstRowFirstColumn="0" w:firstRowLastColumn="0" w:lastRowFirstColumn="0" w:lastRowLastColumn="0"/>
        </w:trPr>
        <w:tc>
          <w:tcPr>
            <w:tcW w:w="993" w:type="dxa"/>
            <w:tcBorders>
              <w:right w:val="single" w:sz="2" w:space="0" w:color="000000" w:themeColor="text1"/>
            </w:tcBorders>
            <w:hideMark/>
          </w:tcPr>
          <w:p w14:paraId="38125E4F" w14:textId="77777777" w:rsidR="004F62CF" w:rsidRDefault="004F62CF" w:rsidP="00DE2482">
            <w:pPr>
              <w:pStyle w:val="NormalWeb"/>
            </w:pPr>
            <w:r>
              <w:t>2018</w:t>
            </w:r>
          </w:p>
        </w:tc>
        <w:tc>
          <w:tcPr>
            <w:tcW w:w="2126" w:type="dxa"/>
            <w:tcBorders>
              <w:left w:val="single" w:sz="2" w:space="0" w:color="000000" w:themeColor="text1"/>
              <w:right w:val="single" w:sz="2" w:space="0" w:color="000000" w:themeColor="text1"/>
            </w:tcBorders>
            <w:hideMark/>
          </w:tcPr>
          <w:p w14:paraId="33B8E00E" w14:textId="77777777" w:rsidR="004F62CF" w:rsidRDefault="004F62CF" w:rsidP="00DE2482">
            <w:pPr>
              <w:jc w:val="center"/>
            </w:pPr>
          </w:p>
        </w:tc>
        <w:tc>
          <w:tcPr>
            <w:tcW w:w="1984" w:type="dxa"/>
            <w:tcBorders>
              <w:left w:val="single" w:sz="2" w:space="0" w:color="000000" w:themeColor="text1"/>
            </w:tcBorders>
            <w:hideMark/>
          </w:tcPr>
          <w:p w14:paraId="56784D61" w14:textId="77777777" w:rsidR="004F62CF" w:rsidRDefault="004F62CF" w:rsidP="00DE2482">
            <w:pPr>
              <w:jc w:val="center"/>
              <w:rPr>
                <w:rFonts w:eastAsia="Times New Roman"/>
                <w:sz w:val="20"/>
                <w:szCs w:val="20"/>
              </w:rPr>
            </w:pPr>
          </w:p>
        </w:tc>
      </w:tr>
    </w:tbl>
    <w:p w14:paraId="2EFF060C" w14:textId="77777777" w:rsidR="004F62CF" w:rsidRDefault="004F62CF" w:rsidP="004F62CF">
      <w:pPr>
        <w:pStyle w:val="CDIFigures"/>
        <w:rPr>
          <w:sz w:val="24"/>
          <w:szCs w:val="24"/>
        </w:rPr>
      </w:pPr>
      <w:r>
        <w:t xml:space="preserve">Table 4: Influenza in NSW and Hunter New England (HNE) </w:t>
      </w:r>
      <w:proofErr w:type="spellStart"/>
      <w:r>
        <w:t>LHD</w:t>
      </w:r>
      <w:r w:rsidRPr="00CF0225">
        <w:rPr>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describes the rates of influenza A and influenza B in both the HNE Local Health District and NSW as a whole between 2009 and 2018. &#10;"/>
      </w:tblPr>
      <w:tblGrid>
        <w:gridCol w:w="709"/>
        <w:gridCol w:w="1418"/>
        <w:gridCol w:w="1559"/>
        <w:gridCol w:w="1701"/>
        <w:gridCol w:w="1417"/>
        <w:gridCol w:w="3636"/>
      </w:tblGrid>
      <w:tr w:rsidR="004F62CF" w:rsidRPr="003728EF" w14:paraId="01816F39" w14:textId="77777777" w:rsidTr="00DE2482">
        <w:trPr>
          <w:cnfStyle w:val="100000000000" w:firstRow="1" w:lastRow="0" w:firstColumn="0" w:lastColumn="0" w:oddVBand="0" w:evenVBand="0" w:oddHBand="0" w:evenHBand="0" w:firstRowFirstColumn="0" w:firstRowLastColumn="0" w:lastRowFirstColumn="0" w:lastRowLastColumn="0"/>
          <w:tblHeader/>
        </w:trPr>
        <w:tc>
          <w:tcPr>
            <w:tcW w:w="709" w:type="dxa"/>
            <w:tcBorders>
              <w:right w:val="single" w:sz="2" w:space="0" w:color="FFFFFF" w:themeColor="background1"/>
            </w:tcBorders>
            <w:hideMark/>
          </w:tcPr>
          <w:p w14:paraId="0897D33A" w14:textId="77777777" w:rsidR="004F62CF" w:rsidRPr="003728EF" w:rsidRDefault="004F62CF" w:rsidP="00DE2482">
            <w:pPr>
              <w:pStyle w:val="NormalWeb"/>
              <w:rPr>
                <w:color w:val="FFFFFF" w:themeColor="background1"/>
              </w:rPr>
            </w:pPr>
            <w:r w:rsidRPr="003728EF">
              <w:rPr>
                <w:color w:val="FFFFFF" w:themeColor="background1"/>
              </w:rPr>
              <w:t>Year</w:t>
            </w:r>
          </w:p>
        </w:tc>
        <w:tc>
          <w:tcPr>
            <w:tcW w:w="1418" w:type="dxa"/>
            <w:tcBorders>
              <w:left w:val="single" w:sz="2" w:space="0" w:color="FFFFFF" w:themeColor="background1"/>
              <w:right w:val="single" w:sz="2" w:space="0" w:color="FFFFFF" w:themeColor="background1"/>
            </w:tcBorders>
            <w:hideMark/>
          </w:tcPr>
          <w:p w14:paraId="438F1BE1" w14:textId="77777777" w:rsidR="004F62CF" w:rsidRPr="003728EF" w:rsidRDefault="004F62CF" w:rsidP="00DE2482">
            <w:pPr>
              <w:pStyle w:val="NormalWeb"/>
              <w:jc w:val="center"/>
              <w:rPr>
                <w:color w:val="FFFFFF" w:themeColor="background1"/>
              </w:rPr>
            </w:pPr>
            <w:r w:rsidRPr="003728EF">
              <w:rPr>
                <w:color w:val="FFFFFF" w:themeColor="background1"/>
              </w:rPr>
              <w:t>Influenza</w:t>
            </w:r>
            <w:r>
              <w:rPr>
                <w:color w:val="FFFFFF" w:themeColor="background1"/>
              </w:rPr>
              <w:br/>
            </w:r>
            <w:r w:rsidRPr="003728EF">
              <w:rPr>
                <w:color w:val="FFFFFF" w:themeColor="background1"/>
              </w:rPr>
              <w:t>total NSW</w:t>
            </w:r>
          </w:p>
        </w:tc>
        <w:tc>
          <w:tcPr>
            <w:tcW w:w="1559" w:type="dxa"/>
            <w:tcBorders>
              <w:left w:val="single" w:sz="2" w:space="0" w:color="FFFFFF" w:themeColor="background1"/>
              <w:right w:val="single" w:sz="2" w:space="0" w:color="FFFFFF" w:themeColor="background1"/>
            </w:tcBorders>
            <w:hideMark/>
          </w:tcPr>
          <w:p w14:paraId="642D6F56" w14:textId="77777777" w:rsidR="004F62CF" w:rsidRPr="003728EF" w:rsidRDefault="004F62CF" w:rsidP="00DE2482">
            <w:pPr>
              <w:pStyle w:val="NormalWeb"/>
              <w:jc w:val="center"/>
              <w:rPr>
                <w:color w:val="FFFFFF" w:themeColor="background1"/>
              </w:rPr>
            </w:pPr>
            <w:r w:rsidRPr="003728EF">
              <w:rPr>
                <w:color w:val="FFFFFF" w:themeColor="background1"/>
              </w:rPr>
              <w:t>Flu A</w:t>
            </w:r>
          </w:p>
        </w:tc>
        <w:tc>
          <w:tcPr>
            <w:tcW w:w="1701" w:type="dxa"/>
            <w:tcBorders>
              <w:left w:val="single" w:sz="2" w:space="0" w:color="FFFFFF" w:themeColor="background1"/>
              <w:right w:val="single" w:sz="2" w:space="0" w:color="FFFFFF" w:themeColor="background1"/>
            </w:tcBorders>
            <w:hideMark/>
          </w:tcPr>
          <w:p w14:paraId="3E1525F6" w14:textId="77777777" w:rsidR="004F62CF" w:rsidRPr="003728EF" w:rsidRDefault="004F62CF" w:rsidP="00DE2482">
            <w:pPr>
              <w:pStyle w:val="NormalWeb"/>
              <w:jc w:val="center"/>
              <w:rPr>
                <w:color w:val="FFFFFF" w:themeColor="background1"/>
              </w:rPr>
            </w:pPr>
            <w:r w:rsidRPr="003728EF">
              <w:rPr>
                <w:color w:val="FFFFFF" w:themeColor="background1"/>
              </w:rPr>
              <w:t>Flu B</w:t>
            </w:r>
          </w:p>
        </w:tc>
        <w:tc>
          <w:tcPr>
            <w:tcW w:w="1417" w:type="dxa"/>
            <w:tcBorders>
              <w:left w:val="single" w:sz="2" w:space="0" w:color="FFFFFF" w:themeColor="background1"/>
              <w:right w:val="single" w:sz="2" w:space="0" w:color="FFFFFF" w:themeColor="background1"/>
            </w:tcBorders>
            <w:hideMark/>
          </w:tcPr>
          <w:p w14:paraId="4C5E218A" w14:textId="77777777" w:rsidR="004F62CF" w:rsidRPr="003728EF" w:rsidRDefault="004F62CF" w:rsidP="00DE2482">
            <w:pPr>
              <w:pStyle w:val="NormalWeb"/>
              <w:jc w:val="center"/>
              <w:rPr>
                <w:color w:val="FFFFFF" w:themeColor="background1"/>
              </w:rPr>
            </w:pPr>
            <w:r w:rsidRPr="003728EF">
              <w:rPr>
                <w:color w:val="FFFFFF" w:themeColor="background1"/>
              </w:rPr>
              <w:t>HNE LHD</w:t>
            </w:r>
            <w:r>
              <w:rPr>
                <w:color w:val="FFFFFF" w:themeColor="background1"/>
              </w:rPr>
              <w:br/>
            </w:r>
            <w:r w:rsidRPr="003728EF">
              <w:rPr>
                <w:color w:val="FFFFFF" w:themeColor="background1"/>
              </w:rPr>
              <w:t>cases</w:t>
            </w:r>
          </w:p>
        </w:tc>
        <w:tc>
          <w:tcPr>
            <w:tcW w:w="3636" w:type="dxa"/>
            <w:tcBorders>
              <w:left w:val="single" w:sz="2" w:space="0" w:color="FFFFFF" w:themeColor="background1"/>
            </w:tcBorders>
            <w:hideMark/>
          </w:tcPr>
          <w:p w14:paraId="5239766F" w14:textId="77777777" w:rsidR="004F62CF" w:rsidRPr="003728EF" w:rsidRDefault="004F62CF" w:rsidP="00DE2482">
            <w:pPr>
              <w:pStyle w:val="NormalWeb"/>
              <w:jc w:val="center"/>
              <w:rPr>
                <w:color w:val="FFFFFF" w:themeColor="background1"/>
              </w:rPr>
            </w:pPr>
            <w:r w:rsidRPr="003728EF">
              <w:rPr>
                <w:color w:val="FFFFFF" w:themeColor="background1"/>
              </w:rPr>
              <w:t>HNE LHD</w:t>
            </w:r>
            <w:r>
              <w:rPr>
                <w:color w:val="FFFFFF" w:themeColor="background1"/>
              </w:rPr>
              <w:br/>
            </w:r>
            <w:r w:rsidRPr="003728EF">
              <w:rPr>
                <w:color w:val="FFFFFF" w:themeColor="background1"/>
              </w:rPr>
              <w:t>incidence per 100,000</w:t>
            </w:r>
          </w:p>
        </w:tc>
      </w:tr>
      <w:tr w:rsidR="004F62CF" w14:paraId="0DB50FB4" w14:textId="77777777" w:rsidTr="00DE2482">
        <w:tc>
          <w:tcPr>
            <w:tcW w:w="709" w:type="dxa"/>
            <w:tcBorders>
              <w:right w:val="single" w:sz="2" w:space="0" w:color="000000" w:themeColor="text1"/>
            </w:tcBorders>
            <w:hideMark/>
          </w:tcPr>
          <w:p w14:paraId="5D948A96" w14:textId="77777777" w:rsidR="004F62CF" w:rsidRDefault="004F62CF" w:rsidP="00DE2482">
            <w:pPr>
              <w:pStyle w:val="NormalWeb"/>
            </w:pPr>
            <w:r>
              <w:t>2009</w:t>
            </w:r>
          </w:p>
        </w:tc>
        <w:tc>
          <w:tcPr>
            <w:tcW w:w="1418" w:type="dxa"/>
            <w:tcBorders>
              <w:left w:val="single" w:sz="2" w:space="0" w:color="000000" w:themeColor="text1"/>
              <w:right w:val="single" w:sz="2" w:space="0" w:color="000000" w:themeColor="text1"/>
            </w:tcBorders>
            <w:hideMark/>
          </w:tcPr>
          <w:p w14:paraId="26959521" w14:textId="77777777" w:rsidR="004F62CF" w:rsidRDefault="004F62CF" w:rsidP="00DE2482">
            <w:pPr>
              <w:jc w:val="center"/>
            </w:pPr>
          </w:p>
        </w:tc>
        <w:tc>
          <w:tcPr>
            <w:tcW w:w="1559" w:type="dxa"/>
            <w:tcBorders>
              <w:left w:val="single" w:sz="2" w:space="0" w:color="000000" w:themeColor="text1"/>
              <w:right w:val="single" w:sz="2" w:space="0" w:color="000000" w:themeColor="text1"/>
            </w:tcBorders>
            <w:hideMark/>
          </w:tcPr>
          <w:p w14:paraId="5386E2DC" w14:textId="77777777" w:rsidR="004F62CF" w:rsidRDefault="004F62CF" w:rsidP="00DE2482">
            <w:pPr>
              <w:pStyle w:val="NormalWeb"/>
              <w:jc w:val="center"/>
              <w:rPr>
                <w:sz w:val="24"/>
                <w:szCs w:val="24"/>
              </w:rPr>
            </w:pPr>
            <w:r>
              <w:t>1,298</w:t>
            </w:r>
            <w:r w:rsidRPr="00C02590">
              <w:rPr>
                <w:vertAlign w:val="superscript"/>
              </w:rPr>
              <w:t>b</w:t>
            </w:r>
          </w:p>
        </w:tc>
        <w:tc>
          <w:tcPr>
            <w:tcW w:w="1701" w:type="dxa"/>
            <w:tcBorders>
              <w:left w:val="single" w:sz="2" w:space="0" w:color="000000" w:themeColor="text1"/>
              <w:right w:val="single" w:sz="2" w:space="0" w:color="000000" w:themeColor="text1"/>
            </w:tcBorders>
            <w:hideMark/>
          </w:tcPr>
          <w:p w14:paraId="78BA03E2" w14:textId="77777777" w:rsidR="004F62CF" w:rsidRDefault="004F62CF" w:rsidP="00DE2482">
            <w:pPr>
              <w:jc w:val="center"/>
            </w:pPr>
          </w:p>
        </w:tc>
        <w:tc>
          <w:tcPr>
            <w:tcW w:w="1417" w:type="dxa"/>
            <w:tcBorders>
              <w:left w:val="single" w:sz="2" w:space="0" w:color="000000" w:themeColor="text1"/>
              <w:right w:val="single" w:sz="2" w:space="0" w:color="000000" w:themeColor="text1"/>
            </w:tcBorders>
            <w:hideMark/>
          </w:tcPr>
          <w:p w14:paraId="1333FFDF" w14:textId="77777777" w:rsidR="004F62CF" w:rsidRDefault="004F62CF" w:rsidP="00DE2482">
            <w:pPr>
              <w:jc w:val="center"/>
              <w:rPr>
                <w:rFonts w:eastAsia="Times New Roman"/>
                <w:sz w:val="20"/>
                <w:szCs w:val="20"/>
              </w:rPr>
            </w:pPr>
          </w:p>
        </w:tc>
        <w:tc>
          <w:tcPr>
            <w:tcW w:w="3636" w:type="dxa"/>
            <w:tcBorders>
              <w:left w:val="single" w:sz="2" w:space="0" w:color="000000" w:themeColor="text1"/>
            </w:tcBorders>
            <w:hideMark/>
          </w:tcPr>
          <w:p w14:paraId="4CEBD0C6" w14:textId="77777777" w:rsidR="004F62CF" w:rsidRDefault="004F62CF" w:rsidP="00DE2482">
            <w:pPr>
              <w:jc w:val="center"/>
              <w:rPr>
                <w:rFonts w:eastAsia="Times New Roman"/>
                <w:sz w:val="20"/>
                <w:szCs w:val="20"/>
              </w:rPr>
            </w:pPr>
          </w:p>
        </w:tc>
      </w:tr>
      <w:tr w:rsidR="004F62CF" w14:paraId="0E595B13" w14:textId="77777777" w:rsidTr="00DE2482">
        <w:trPr>
          <w:cnfStyle w:val="000000010000" w:firstRow="0" w:lastRow="0" w:firstColumn="0" w:lastColumn="0" w:oddVBand="0" w:evenVBand="0" w:oddHBand="0" w:evenHBand="1" w:firstRowFirstColumn="0" w:firstRowLastColumn="0" w:lastRowFirstColumn="0" w:lastRowLastColumn="0"/>
        </w:trPr>
        <w:tc>
          <w:tcPr>
            <w:tcW w:w="709" w:type="dxa"/>
            <w:tcBorders>
              <w:right w:val="single" w:sz="2" w:space="0" w:color="000000" w:themeColor="text1"/>
            </w:tcBorders>
            <w:hideMark/>
          </w:tcPr>
          <w:p w14:paraId="762822B6" w14:textId="77777777" w:rsidR="004F62CF" w:rsidRDefault="004F62CF" w:rsidP="00DE2482">
            <w:pPr>
              <w:pStyle w:val="NormalWeb"/>
              <w:rPr>
                <w:sz w:val="24"/>
                <w:szCs w:val="24"/>
              </w:rPr>
            </w:pPr>
            <w:r>
              <w:t>2010</w:t>
            </w:r>
          </w:p>
        </w:tc>
        <w:tc>
          <w:tcPr>
            <w:tcW w:w="1418" w:type="dxa"/>
            <w:tcBorders>
              <w:left w:val="single" w:sz="2" w:space="0" w:color="000000" w:themeColor="text1"/>
              <w:right w:val="single" w:sz="2" w:space="0" w:color="000000" w:themeColor="text1"/>
            </w:tcBorders>
            <w:hideMark/>
          </w:tcPr>
          <w:p w14:paraId="7CC89467" w14:textId="77777777" w:rsidR="004F62CF" w:rsidRDefault="004F62CF" w:rsidP="00DE2482">
            <w:pPr>
              <w:jc w:val="center"/>
            </w:pPr>
          </w:p>
        </w:tc>
        <w:tc>
          <w:tcPr>
            <w:tcW w:w="1559" w:type="dxa"/>
            <w:tcBorders>
              <w:left w:val="single" w:sz="2" w:space="0" w:color="000000" w:themeColor="text1"/>
              <w:right w:val="single" w:sz="2" w:space="0" w:color="000000" w:themeColor="text1"/>
            </w:tcBorders>
            <w:hideMark/>
          </w:tcPr>
          <w:p w14:paraId="35F23006" w14:textId="77777777" w:rsidR="004F62CF" w:rsidRDefault="004F62CF" w:rsidP="00DE2482">
            <w:pPr>
              <w:pStyle w:val="NormalWeb"/>
              <w:jc w:val="center"/>
              <w:rPr>
                <w:sz w:val="24"/>
                <w:szCs w:val="24"/>
              </w:rPr>
            </w:pPr>
            <w:r>
              <w:t>546</w:t>
            </w:r>
          </w:p>
        </w:tc>
        <w:tc>
          <w:tcPr>
            <w:tcW w:w="1701" w:type="dxa"/>
            <w:tcBorders>
              <w:left w:val="single" w:sz="2" w:space="0" w:color="000000" w:themeColor="text1"/>
              <w:right w:val="single" w:sz="2" w:space="0" w:color="000000" w:themeColor="text1"/>
            </w:tcBorders>
            <w:hideMark/>
          </w:tcPr>
          <w:p w14:paraId="272932B8" w14:textId="77777777" w:rsidR="004F62CF" w:rsidRDefault="004F62CF" w:rsidP="00DE2482">
            <w:pPr>
              <w:pStyle w:val="NormalWeb"/>
              <w:jc w:val="center"/>
            </w:pPr>
            <w:r>
              <w:t>93</w:t>
            </w:r>
          </w:p>
        </w:tc>
        <w:tc>
          <w:tcPr>
            <w:tcW w:w="1417" w:type="dxa"/>
            <w:tcBorders>
              <w:left w:val="single" w:sz="2" w:space="0" w:color="000000" w:themeColor="text1"/>
              <w:right w:val="single" w:sz="2" w:space="0" w:color="000000" w:themeColor="text1"/>
            </w:tcBorders>
            <w:hideMark/>
          </w:tcPr>
          <w:p w14:paraId="728B7CD4" w14:textId="77777777" w:rsidR="004F62CF" w:rsidRDefault="004F62CF" w:rsidP="00DE2482">
            <w:pPr>
              <w:jc w:val="center"/>
            </w:pPr>
          </w:p>
        </w:tc>
        <w:tc>
          <w:tcPr>
            <w:tcW w:w="3636" w:type="dxa"/>
            <w:tcBorders>
              <w:left w:val="single" w:sz="2" w:space="0" w:color="000000" w:themeColor="text1"/>
            </w:tcBorders>
            <w:hideMark/>
          </w:tcPr>
          <w:p w14:paraId="6C40D5DC" w14:textId="77777777" w:rsidR="004F62CF" w:rsidRDefault="004F62CF" w:rsidP="00DE2482">
            <w:pPr>
              <w:jc w:val="center"/>
              <w:rPr>
                <w:rFonts w:eastAsia="Times New Roman"/>
                <w:sz w:val="20"/>
                <w:szCs w:val="20"/>
              </w:rPr>
            </w:pPr>
          </w:p>
        </w:tc>
      </w:tr>
      <w:tr w:rsidR="004F62CF" w14:paraId="6471AD2F" w14:textId="77777777" w:rsidTr="00DE2482">
        <w:tc>
          <w:tcPr>
            <w:tcW w:w="709" w:type="dxa"/>
            <w:tcBorders>
              <w:right w:val="single" w:sz="2" w:space="0" w:color="000000" w:themeColor="text1"/>
            </w:tcBorders>
            <w:hideMark/>
          </w:tcPr>
          <w:p w14:paraId="1507AF03" w14:textId="77777777" w:rsidR="004F62CF" w:rsidRDefault="004F62CF" w:rsidP="00DE2482">
            <w:pPr>
              <w:pStyle w:val="NormalWeb"/>
              <w:rPr>
                <w:sz w:val="24"/>
                <w:szCs w:val="24"/>
              </w:rPr>
            </w:pPr>
            <w:r>
              <w:t>2011</w:t>
            </w:r>
          </w:p>
        </w:tc>
        <w:tc>
          <w:tcPr>
            <w:tcW w:w="1418" w:type="dxa"/>
            <w:tcBorders>
              <w:left w:val="single" w:sz="2" w:space="0" w:color="000000" w:themeColor="text1"/>
              <w:right w:val="single" w:sz="2" w:space="0" w:color="000000" w:themeColor="text1"/>
            </w:tcBorders>
            <w:hideMark/>
          </w:tcPr>
          <w:p w14:paraId="62D1C806" w14:textId="77777777" w:rsidR="004F62CF" w:rsidRDefault="004F62CF" w:rsidP="00DE2482">
            <w:pPr>
              <w:jc w:val="center"/>
            </w:pPr>
          </w:p>
        </w:tc>
        <w:tc>
          <w:tcPr>
            <w:tcW w:w="1559" w:type="dxa"/>
            <w:tcBorders>
              <w:left w:val="single" w:sz="2" w:space="0" w:color="000000" w:themeColor="text1"/>
              <w:right w:val="single" w:sz="2" w:space="0" w:color="000000" w:themeColor="text1"/>
            </w:tcBorders>
            <w:hideMark/>
          </w:tcPr>
          <w:p w14:paraId="24F38864" w14:textId="77777777" w:rsidR="004F62CF" w:rsidRDefault="004F62CF" w:rsidP="00DE2482">
            <w:pPr>
              <w:pStyle w:val="NormalWeb"/>
              <w:jc w:val="center"/>
              <w:rPr>
                <w:sz w:val="24"/>
                <w:szCs w:val="24"/>
              </w:rPr>
            </w:pPr>
            <w:r>
              <w:t>2,438</w:t>
            </w:r>
          </w:p>
        </w:tc>
        <w:tc>
          <w:tcPr>
            <w:tcW w:w="1701" w:type="dxa"/>
            <w:tcBorders>
              <w:left w:val="single" w:sz="2" w:space="0" w:color="000000" w:themeColor="text1"/>
              <w:right w:val="single" w:sz="2" w:space="0" w:color="000000" w:themeColor="text1"/>
            </w:tcBorders>
            <w:hideMark/>
          </w:tcPr>
          <w:p w14:paraId="2DC4219F" w14:textId="77777777" w:rsidR="004F62CF" w:rsidRDefault="004F62CF" w:rsidP="00DE2482">
            <w:pPr>
              <w:pStyle w:val="NormalWeb"/>
              <w:jc w:val="center"/>
            </w:pPr>
            <w:r>
              <w:t>1,215</w:t>
            </w:r>
          </w:p>
        </w:tc>
        <w:tc>
          <w:tcPr>
            <w:tcW w:w="1417" w:type="dxa"/>
            <w:tcBorders>
              <w:left w:val="single" w:sz="2" w:space="0" w:color="000000" w:themeColor="text1"/>
              <w:right w:val="single" w:sz="2" w:space="0" w:color="000000" w:themeColor="text1"/>
            </w:tcBorders>
            <w:hideMark/>
          </w:tcPr>
          <w:p w14:paraId="584A9A91" w14:textId="77777777" w:rsidR="004F62CF" w:rsidRDefault="004F62CF" w:rsidP="00DE2482">
            <w:pPr>
              <w:jc w:val="center"/>
            </w:pPr>
          </w:p>
        </w:tc>
        <w:tc>
          <w:tcPr>
            <w:tcW w:w="3636" w:type="dxa"/>
            <w:tcBorders>
              <w:left w:val="single" w:sz="2" w:space="0" w:color="000000" w:themeColor="text1"/>
            </w:tcBorders>
            <w:hideMark/>
          </w:tcPr>
          <w:p w14:paraId="4118834B" w14:textId="77777777" w:rsidR="004F62CF" w:rsidRDefault="004F62CF" w:rsidP="00DE2482">
            <w:pPr>
              <w:jc w:val="center"/>
              <w:rPr>
                <w:rFonts w:eastAsia="Times New Roman"/>
                <w:sz w:val="20"/>
                <w:szCs w:val="20"/>
              </w:rPr>
            </w:pPr>
          </w:p>
        </w:tc>
      </w:tr>
      <w:tr w:rsidR="004F62CF" w14:paraId="3EE3DB60" w14:textId="77777777" w:rsidTr="00DE2482">
        <w:trPr>
          <w:cnfStyle w:val="000000010000" w:firstRow="0" w:lastRow="0" w:firstColumn="0" w:lastColumn="0" w:oddVBand="0" w:evenVBand="0" w:oddHBand="0" w:evenHBand="1" w:firstRowFirstColumn="0" w:firstRowLastColumn="0" w:lastRowFirstColumn="0" w:lastRowLastColumn="0"/>
        </w:trPr>
        <w:tc>
          <w:tcPr>
            <w:tcW w:w="709" w:type="dxa"/>
            <w:tcBorders>
              <w:right w:val="single" w:sz="2" w:space="0" w:color="000000" w:themeColor="text1"/>
            </w:tcBorders>
            <w:hideMark/>
          </w:tcPr>
          <w:p w14:paraId="780DD536" w14:textId="77777777" w:rsidR="004F62CF" w:rsidRDefault="004F62CF" w:rsidP="00DE2482">
            <w:pPr>
              <w:pStyle w:val="NormalWeb"/>
              <w:rPr>
                <w:sz w:val="24"/>
                <w:szCs w:val="24"/>
              </w:rPr>
            </w:pPr>
            <w:r>
              <w:t>2012</w:t>
            </w:r>
          </w:p>
        </w:tc>
        <w:tc>
          <w:tcPr>
            <w:tcW w:w="1418" w:type="dxa"/>
            <w:tcBorders>
              <w:left w:val="single" w:sz="2" w:space="0" w:color="000000" w:themeColor="text1"/>
              <w:right w:val="single" w:sz="2" w:space="0" w:color="000000" w:themeColor="text1"/>
            </w:tcBorders>
            <w:hideMark/>
          </w:tcPr>
          <w:p w14:paraId="45B98376" w14:textId="77777777" w:rsidR="004F62CF" w:rsidRDefault="004F62CF" w:rsidP="00DE2482">
            <w:pPr>
              <w:jc w:val="center"/>
            </w:pPr>
          </w:p>
        </w:tc>
        <w:tc>
          <w:tcPr>
            <w:tcW w:w="1559" w:type="dxa"/>
            <w:tcBorders>
              <w:left w:val="single" w:sz="2" w:space="0" w:color="000000" w:themeColor="text1"/>
              <w:right w:val="single" w:sz="2" w:space="0" w:color="000000" w:themeColor="text1"/>
            </w:tcBorders>
            <w:hideMark/>
          </w:tcPr>
          <w:p w14:paraId="78F50FAB" w14:textId="77777777" w:rsidR="004F62CF" w:rsidRDefault="004F62CF" w:rsidP="00DE2482">
            <w:pPr>
              <w:pStyle w:val="NormalWeb"/>
              <w:jc w:val="center"/>
              <w:rPr>
                <w:sz w:val="24"/>
                <w:szCs w:val="24"/>
              </w:rPr>
            </w:pPr>
            <w:r>
              <w:t>4,365</w:t>
            </w:r>
          </w:p>
        </w:tc>
        <w:tc>
          <w:tcPr>
            <w:tcW w:w="1701" w:type="dxa"/>
            <w:tcBorders>
              <w:left w:val="single" w:sz="2" w:space="0" w:color="000000" w:themeColor="text1"/>
              <w:right w:val="single" w:sz="2" w:space="0" w:color="000000" w:themeColor="text1"/>
            </w:tcBorders>
            <w:hideMark/>
          </w:tcPr>
          <w:p w14:paraId="6C671019" w14:textId="77777777" w:rsidR="004F62CF" w:rsidRDefault="004F62CF" w:rsidP="00DE2482">
            <w:pPr>
              <w:pStyle w:val="NormalWeb"/>
              <w:jc w:val="center"/>
            </w:pPr>
            <w:r>
              <w:t>1,263</w:t>
            </w:r>
          </w:p>
        </w:tc>
        <w:tc>
          <w:tcPr>
            <w:tcW w:w="1417" w:type="dxa"/>
            <w:tcBorders>
              <w:left w:val="single" w:sz="2" w:space="0" w:color="000000" w:themeColor="text1"/>
              <w:right w:val="single" w:sz="2" w:space="0" w:color="000000" w:themeColor="text1"/>
            </w:tcBorders>
            <w:hideMark/>
          </w:tcPr>
          <w:p w14:paraId="48E18E63" w14:textId="77777777" w:rsidR="004F62CF" w:rsidRDefault="004F62CF" w:rsidP="00DE2482">
            <w:pPr>
              <w:jc w:val="center"/>
            </w:pPr>
          </w:p>
        </w:tc>
        <w:tc>
          <w:tcPr>
            <w:tcW w:w="3636" w:type="dxa"/>
            <w:tcBorders>
              <w:left w:val="single" w:sz="2" w:space="0" w:color="000000" w:themeColor="text1"/>
            </w:tcBorders>
            <w:hideMark/>
          </w:tcPr>
          <w:p w14:paraId="102036D2" w14:textId="77777777" w:rsidR="004F62CF" w:rsidRDefault="004F62CF" w:rsidP="00DE2482">
            <w:pPr>
              <w:jc w:val="center"/>
              <w:rPr>
                <w:rFonts w:eastAsia="Times New Roman"/>
                <w:sz w:val="20"/>
                <w:szCs w:val="20"/>
              </w:rPr>
            </w:pPr>
          </w:p>
        </w:tc>
      </w:tr>
      <w:tr w:rsidR="004F62CF" w14:paraId="7E93439D" w14:textId="77777777" w:rsidTr="00DE2482">
        <w:tc>
          <w:tcPr>
            <w:tcW w:w="709" w:type="dxa"/>
            <w:tcBorders>
              <w:right w:val="single" w:sz="2" w:space="0" w:color="000000" w:themeColor="text1"/>
            </w:tcBorders>
            <w:hideMark/>
          </w:tcPr>
          <w:p w14:paraId="4663B77C" w14:textId="77777777" w:rsidR="004F62CF" w:rsidRDefault="004F62CF" w:rsidP="00DE2482">
            <w:pPr>
              <w:pStyle w:val="NormalWeb"/>
              <w:rPr>
                <w:sz w:val="24"/>
                <w:szCs w:val="24"/>
              </w:rPr>
            </w:pPr>
            <w:r>
              <w:t>2013</w:t>
            </w:r>
          </w:p>
        </w:tc>
        <w:tc>
          <w:tcPr>
            <w:tcW w:w="1418" w:type="dxa"/>
            <w:tcBorders>
              <w:left w:val="single" w:sz="2" w:space="0" w:color="000000" w:themeColor="text1"/>
              <w:right w:val="single" w:sz="2" w:space="0" w:color="000000" w:themeColor="text1"/>
            </w:tcBorders>
            <w:hideMark/>
          </w:tcPr>
          <w:p w14:paraId="7A82E011" w14:textId="77777777" w:rsidR="004F62CF" w:rsidRDefault="004F62CF" w:rsidP="00DE2482">
            <w:pPr>
              <w:jc w:val="center"/>
            </w:pPr>
          </w:p>
        </w:tc>
        <w:tc>
          <w:tcPr>
            <w:tcW w:w="1559" w:type="dxa"/>
            <w:tcBorders>
              <w:left w:val="single" w:sz="2" w:space="0" w:color="000000" w:themeColor="text1"/>
              <w:right w:val="single" w:sz="2" w:space="0" w:color="000000" w:themeColor="text1"/>
            </w:tcBorders>
            <w:hideMark/>
          </w:tcPr>
          <w:p w14:paraId="09DAEC15" w14:textId="77777777" w:rsidR="004F62CF" w:rsidRDefault="004F62CF" w:rsidP="00DE2482">
            <w:pPr>
              <w:pStyle w:val="NormalWeb"/>
              <w:jc w:val="center"/>
              <w:rPr>
                <w:sz w:val="24"/>
                <w:szCs w:val="24"/>
              </w:rPr>
            </w:pPr>
            <w:r>
              <w:t>3,716</w:t>
            </w:r>
          </w:p>
        </w:tc>
        <w:tc>
          <w:tcPr>
            <w:tcW w:w="1701" w:type="dxa"/>
            <w:tcBorders>
              <w:left w:val="single" w:sz="2" w:space="0" w:color="000000" w:themeColor="text1"/>
              <w:right w:val="single" w:sz="2" w:space="0" w:color="000000" w:themeColor="text1"/>
            </w:tcBorders>
            <w:hideMark/>
          </w:tcPr>
          <w:p w14:paraId="2E9F9781" w14:textId="77777777" w:rsidR="004F62CF" w:rsidRDefault="004F62CF" w:rsidP="00DE2482">
            <w:pPr>
              <w:pStyle w:val="NormalWeb"/>
              <w:jc w:val="center"/>
            </w:pPr>
            <w:r>
              <w:t>2,404</w:t>
            </w:r>
          </w:p>
        </w:tc>
        <w:tc>
          <w:tcPr>
            <w:tcW w:w="1417" w:type="dxa"/>
            <w:tcBorders>
              <w:left w:val="single" w:sz="2" w:space="0" w:color="000000" w:themeColor="text1"/>
              <w:right w:val="single" w:sz="2" w:space="0" w:color="000000" w:themeColor="text1"/>
            </w:tcBorders>
            <w:hideMark/>
          </w:tcPr>
          <w:p w14:paraId="3B83FA58" w14:textId="77777777" w:rsidR="004F62CF" w:rsidRDefault="004F62CF" w:rsidP="00DE2482">
            <w:pPr>
              <w:jc w:val="center"/>
            </w:pPr>
          </w:p>
        </w:tc>
        <w:tc>
          <w:tcPr>
            <w:tcW w:w="3636" w:type="dxa"/>
            <w:tcBorders>
              <w:left w:val="single" w:sz="2" w:space="0" w:color="000000" w:themeColor="text1"/>
            </w:tcBorders>
            <w:hideMark/>
          </w:tcPr>
          <w:p w14:paraId="5127CA93" w14:textId="77777777" w:rsidR="004F62CF" w:rsidRDefault="004F62CF" w:rsidP="00DE2482">
            <w:pPr>
              <w:jc w:val="center"/>
              <w:rPr>
                <w:rFonts w:eastAsia="Times New Roman"/>
                <w:sz w:val="20"/>
                <w:szCs w:val="20"/>
              </w:rPr>
            </w:pPr>
          </w:p>
        </w:tc>
      </w:tr>
      <w:tr w:rsidR="004F62CF" w14:paraId="04669EAA" w14:textId="77777777" w:rsidTr="00DE2482">
        <w:trPr>
          <w:cnfStyle w:val="000000010000" w:firstRow="0" w:lastRow="0" w:firstColumn="0" w:lastColumn="0" w:oddVBand="0" w:evenVBand="0" w:oddHBand="0" w:evenHBand="1" w:firstRowFirstColumn="0" w:firstRowLastColumn="0" w:lastRowFirstColumn="0" w:lastRowLastColumn="0"/>
        </w:trPr>
        <w:tc>
          <w:tcPr>
            <w:tcW w:w="709" w:type="dxa"/>
            <w:tcBorders>
              <w:right w:val="single" w:sz="2" w:space="0" w:color="000000" w:themeColor="text1"/>
            </w:tcBorders>
            <w:hideMark/>
          </w:tcPr>
          <w:p w14:paraId="7295D28C" w14:textId="77777777" w:rsidR="004F62CF" w:rsidRDefault="004F62CF" w:rsidP="00DE2482">
            <w:pPr>
              <w:pStyle w:val="NormalWeb"/>
              <w:rPr>
                <w:sz w:val="24"/>
                <w:szCs w:val="24"/>
              </w:rPr>
            </w:pPr>
            <w:r>
              <w:t>2014</w:t>
            </w:r>
          </w:p>
        </w:tc>
        <w:tc>
          <w:tcPr>
            <w:tcW w:w="1418" w:type="dxa"/>
            <w:tcBorders>
              <w:left w:val="single" w:sz="2" w:space="0" w:color="000000" w:themeColor="text1"/>
              <w:right w:val="single" w:sz="2" w:space="0" w:color="000000" w:themeColor="text1"/>
            </w:tcBorders>
            <w:hideMark/>
          </w:tcPr>
          <w:p w14:paraId="78BB3014" w14:textId="77777777" w:rsidR="004F62CF" w:rsidRDefault="004F62CF" w:rsidP="00DE2482">
            <w:pPr>
              <w:jc w:val="center"/>
            </w:pPr>
          </w:p>
        </w:tc>
        <w:tc>
          <w:tcPr>
            <w:tcW w:w="1559" w:type="dxa"/>
            <w:tcBorders>
              <w:left w:val="single" w:sz="2" w:space="0" w:color="000000" w:themeColor="text1"/>
              <w:right w:val="single" w:sz="2" w:space="0" w:color="000000" w:themeColor="text1"/>
            </w:tcBorders>
            <w:hideMark/>
          </w:tcPr>
          <w:p w14:paraId="40306CC5" w14:textId="77777777" w:rsidR="004F62CF" w:rsidRDefault="004F62CF" w:rsidP="00DE2482">
            <w:pPr>
              <w:pStyle w:val="NormalWeb"/>
              <w:jc w:val="center"/>
              <w:rPr>
                <w:sz w:val="24"/>
                <w:szCs w:val="24"/>
              </w:rPr>
            </w:pPr>
            <w:r>
              <w:t>15,672</w:t>
            </w:r>
          </w:p>
        </w:tc>
        <w:tc>
          <w:tcPr>
            <w:tcW w:w="1701" w:type="dxa"/>
            <w:tcBorders>
              <w:left w:val="single" w:sz="2" w:space="0" w:color="000000" w:themeColor="text1"/>
              <w:right w:val="single" w:sz="2" w:space="0" w:color="000000" w:themeColor="text1"/>
            </w:tcBorders>
            <w:hideMark/>
          </w:tcPr>
          <w:p w14:paraId="1CC9A500" w14:textId="77777777" w:rsidR="004F62CF" w:rsidRDefault="004F62CF" w:rsidP="00DE2482">
            <w:pPr>
              <w:pStyle w:val="NormalWeb"/>
              <w:jc w:val="center"/>
            </w:pPr>
            <w:r>
              <w:t>2,553</w:t>
            </w:r>
          </w:p>
        </w:tc>
        <w:tc>
          <w:tcPr>
            <w:tcW w:w="1417" w:type="dxa"/>
            <w:tcBorders>
              <w:left w:val="single" w:sz="2" w:space="0" w:color="000000" w:themeColor="text1"/>
              <w:right w:val="single" w:sz="2" w:space="0" w:color="000000" w:themeColor="text1"/>
            </w:tcBorders>
            <w:hideMark/>
          </w:tcPr>
          <w:p w14:paraId="7ECBA5E5" w14:textId="77777777" w:rsidR="004F62CF" w:rsidRDefault="004F62CF" w:rsidP="00DE2482">
            <w:pPr>
              <w:jc w:val="center"/>
            </w:pPr>
          </w:p>
        </w:tc>
        <w:tc>
          <w:tcPr>
            <w:tcW w:w="3636" w:type="dxa"/>
            <w:tcBorders>
              <w:left w:val="single" w:sz="2" w:space="0" w:color="000000" w:themeColor="text1"/>
            </w:tcBorders>
            <w:hideMark/>
          </w:tcPr>
          <w:p w14:paraId="65A84B88" w14:textId="77777777" w:rsidR="004F62CF" w:rsidRDefault="004F62CF" w:rsidP="00DE2482">
            <w:pPr>
              <w:jc w:val="center"/>
              <w:rPr>
                <w:rFonts w:eastAsia="Times New Roman"/>
                <w:sz w:val="20"/>
                <w:szCs w:val="20"/>
              </w:rPr>
            </w:pPr>
          </w:p>
        </w:tc>
      </w:tr>
      <w:tr w:rsidR="004F62CF" w14:paraId="6F81995A" w14:textId="77777777" w:rsidTr="00DE2482">
        <w:tc>
          <w:tcPr>
            <w:tcW w:w="709" w:type="dxa"/>
            <w:tcBorders>
              <w:right w:val="single" w:sz="2" w:space="0" w:color="000000" w:themeColor="text1"/>
            </w:tcBorders>
            <w:hideMark/>
          </w:tcPr>
          <w:p w14:paraId="6FE195B4" w14:textId="77777777" w:rsidR="004F62CF" w:rsidRDefault="004F62CF" w:rsidP="00DE2482">
            <w:pPr>
              <w:pStyle w:val="NormalWeb"/>
              <w:rPr>
                <w:sz w:val="24"/>
                <w:szCs w:val="24"/>
              </w:rPr>
            </w:pPr>
            <w:r>
              <w:t>2015</w:t>
            </w:r>
          </w:p>
        </w:tc>
        <w:tc>
          <w:tcPr>
            <w:tcW w:w="1418" w:type="dxa"/>
            <w:tcBorders>
              <w:left w:val="single" w:sz="2" w:space="0" w:color="000000" w:themeColor="text1"/>
              <w:right w:val="single" w:sz="2" w:space="0" w:color="000000" w:themeColor="text1"/>
            </w:tcBorders>
            <w:hideMark/>
          </w:tcPr>
          <w:p w14:paraId="3C391234" w14:textId="77777777" w:rsidR="004F62CF" w:rsidRDefault="004F62CF" w:rsidP="00DE2482">
            <w:pPr>
              <w:jc w:val="center"/>
            </w:pPr>
          </w:p>
        </w:tc>
        <w:tc>
          <w:tcPr>
            <w:tcW w:w="1559" w:type="dxa"/>
            <w:tcBorders>
              <w:left w:val="single" w:sz="2" w:space="0" w:color="000000" w:themeColor="text1"/>
              <w:right w:val="single" w:sz="2" w:space="0" w:color="000000" w:themeColor="text1"/>
            </w:tcBorders>
            <w:hideMark/>
          </w:tcPr>
          <w:p w14:paraId="747C1972" w14:textId="77777777" w:rsidR="004F62CF" w:rsidRDefault="004F62CF" w:rsidP="00DE2482">
            <w:pPr>
              <w:pStyle w:val="NormalWeb"/>
              <w:jc w:val="center"/>
              <w:rPr>
                <w:sz w:val="24"/>
                <w:szCs w:val="24"/>
              </w:rPr>
            </w:pPr>
            <w:r>
              <w:t>10,513</w:t>
            </w:r>
          </w:p>
        </w:tc>
        <w:tc>
          <w:tcPr>
            <w:tcW w:w="1701" w:type="dxa"/>
            <w:tcBorders>
              <w:left w:val="single" w:sz="2" w:space="0" w:color="000000" w:themeColor="text1"/>
              <w:right w:val="single" w:sz="2" w:space="0" w:color="000000" w:themeColor="text1"/>
            </w:tcBorders>
            <w:hideMark/>
          </w:tcPr>
          <w:p w14:paraId="57E93255" w14:textId="77777777" w:rsidR="004F62CF" w:rsidRDefault="004F62CF" w:rsidP="00DE2482">
            <w:pPr>
              <w:pStyle w:val="NormalWeb"/>
              <w:jc w:val="center"/>
            </w:pPr>
            <w:r>
              <w:t>18,978</w:t>
            </w:r>
          </w:p>
        </w:tc>
        <w:tc>
          <w:tcPr>
            <w:tcW w:w="1417" w:type="dxa"/>
            <w:tcBorders>
              <w:left w:val="single" w:sz="2" w:space="0" w:color="000000" w:themeColor="text1"/>
              <w:right w:val="single" w:sz="2" w:space="0" w:color="000000" w:themeColor="text1"/>
            </w:tcBorders>
            <w:hideMark/>
          </w:tcPr>
          <w:p w14:paraId="283CD3E7" w14:textId="77777777" w:rsidR="004F62CF" w:rsidRDefault="004F62CF" w:rsidP="00DE2482">
            <w:pPr>
              <w:pStyle w:val="NormalWeb"/>
              <w:jc w:val="center"/>
            </w:pPr>
            <w:r>
              <w:t>2,643</w:t>
            </w:r>
          </w:p>
        </w:tc>
        <w:tc>
          <w:tcPr>
            <w:tcW w:w="3636" w:type="dxa"/>
            <w:tcBorders>
              <w:left w:val="single" w:sz="2" w:space="0" w:color="000000" w:themeColor="text1"/>
            </w:tcBorders>
            <w:hideMark/>
          </w:tcPr>
          <w:p w14:paraId="409A0369" w14:textId="77777777" w:rsidR="004F62CF" w:rsidRDefault="004F62CF" w:rsidP="00DE2482">
            <w:pPr>
              <w:pStyle w:val="NormalWeb"/>
              <w:jc w:val="center"/>
            </w:pPr>
            <w:r>
              <w:t>291</w:t>
            </w:r>
          </w:p>
        </w:tc>
      </w:tr>
      <w:tr w:rsidR="004F62CF" w14:paraId="0BEA283A" w14:textId="77777777" w:rsidTr="00DE2482">
        <w:trPr>
          <w:cnfStyle w:val="000000010000" w:firstRow="0" w:lastRow="0" w:firstColumn="0" w:lastColumn="0" w:oddVBand="0" w:evenVBand="0" w:oddHBand="0" w:evenHBand="1" w:firstRowFirstColumn="0" w:firstRowLastColumn="0" w:lastRowFirstColumn="0" w:lastRowLastColumn="0"/>
        </w:trPr>
        <w:tc>
          <w:tcPr>
            <w:tcW w:w="709" w:type="dxa"/>
            <w:tcBorders>
              <w:right w:val="single" w:sz="2" w:space="0" w:color="000000" w:themeColor="text1"/>
            </w:tcBorders>
            <w:hideMark/>
          </w:tcPr>
          <w:p w14:paraId="59E4F31A" w14:textId="77777777" w:rsidR="004F62CF" w:rsidRDefault="004F62CF" w:rsidP="00DE2482">
            <w:pPr>
              <w:pStyle w:val="NormalWeb"/>
            </w:pPr>
            <w:r>
              <w:t>2016</w:t>
            </w:r>
          </w:p>
        </w:tc>
        <w:tc>
          <w:tcPr>
            <w:tcW w:w="1418" w:type="dxa"/>
            <w:tcBorders>
              <w:left w:val="single" w:sz="2" w:space="0" w:color="000000" w:themeColor="text1"/>
              <w:right w:val="single" w:sz="2" w:space="0" w:color="000000" w:themeColor="text1"/>
            </w:tcBorders>
            <w:hideMark/>
          </w:tcPr>
          <w:p w14:paraId="3F4F0B61" w14:textId="77777777" w:rsidR="004F62CF" w:rsidRDefault="004F62CF" w:rsidP="00DE2482">
            <w:pPr>
              <w:pStyle w:val="NormalWeb"/>
              <w:jc w:val="center"/>
            </w:pPr>
            <w:r>
              <w:t>35,409</w:t>
            </w:r>
          </w:p>
        </w:tc>
        <w:tc>
          <w:tcPr>
            <w:tcW w:w="1559" w:type="dxa"/>
            <w:tcBorders>
              <w:left w:val="single" w:sz="2" w:space="0" w:color="000000" w:themeColor="text1"/>
              <w:right w:val="single" w:sz="2" w:space="0" w:color="000000" w:themeColor="text1"/>
            </w:tcBorders>
            <w:hideMark/>
          </w:tcPr>
          <w:p w14:paraId="56746765" w14:textId="77777777" w:rsidR="004F62CF" w:rsidRDefault="004F62CF" w:rsidP="00DE2482">
            <w:pPr>
              <w:pStyle w:val="NormalWeb"/>
              <w:jc w:val="center"/>
            </w:pPr>
            <w:r>
              <w:t>32,391</w:t>
            </w:r>
          </w:p>
        </w:tc>
        <w:tc>
          <w:tcPr>
            <w:tcW w:w="1701" w:type="dxa"/>
            <w:tcBorders>
              <w:left w:val="single" w:sz="2" w:space="0" w:color="000000" w:themeColor="text1"/>
              <w:right w:val="single" w:sz="2" w:space="0" w:color="000000" w:themeColor="text1"/>
            </w:tcBorders>
            <w:hideMark/>
          </w:tcPr>
          <w:p w14:paraId="4AAF81C1" w14:textId="77777777" w:rsidR="004F62CF" w:rsidRDefault="004F62CF" w:rsidP="00DE2482">
            <w:pPr>
              <w:pStyle w:val="NormalWeb"/>
              <w:jc w:val="center"/>
            </w:pPr>
            <w:r>
              <w:t>3,797</w:t>
            </w:r>
          </w:p>
        </w:tc>
        <w:tc>
          <w:tcPr>
            <w:tcW w:w="1417" w:type="dxa"/>
            <w:tcBorders>
              <w:left w:val="single" w:sz="2" w:space="0" w:color="000000" w:themeColor="text1"/>
              <w:right w:val="single" w:sz="2" w:space="0" w:color="000000" w:themeColor="text1"/>
            </w:tcBorders>
            <w:hideMark/>
          </w:tcPr>
          <w:p w14:paraId="4A11B0D0" w14:textId="77777777" w:rsidR="004F62CF" w:rsidRDefault="004F62CF" w:rsidP="00DE2482">
            <w:pPr>
              <w:pStyle w:val="NormalWeb"/>
              <w:jc w:val="center"/>
            </w:pPr>
            <w:r>
              <w:t>3,264</w:t>
            </w:r>
          </w:p>
        </w:tc>
        <w:tc>
          <w:tcPr>
            <w:tcW w:w="3636" w:type="dxa"/>
            <w:tcBorders>
              <w:left w:val="single" w:sz="2" w:space="0" w:color="000000" w:themeColor="text1"/>
            </w:tcBorders>
            <w:hideMark/>
          </w:tcPr>
          <w:p w14:paraId="23B90464" w14:textId="77777777" w:rsidR="004F62CF" w:rsidRDefault="004F62CF" w:rsidP="00DE2482">
            <w:pPr>
              <w:pStyle w:val="NormalWeb"/>
              <w:jc w:val="center"/>
            </w:pPr>
            <w:r>
              <w:t>356.2</w:t>
            </w:r>
          </w:p>
        </w:tc>
      </w:tr>
      <w:tr w:rsidR="004F62CF" w14:paraId="235B5D8D" w14:textId="77777777" w:rsidTr="00DE2482">
        <w:tc>
          <w:tcPr>
            <w:tcW w:w="709" w:type="dxa"/>
            <w:tcBorders>
              <w:right w:val="single" w:sz="2" w:space="0" w:color="000000" w:themeColor="text1"/>
            </w:tcBorders>
            <w:hideMark/>
          </w:tcPr>
          <w:p w14:paraId="3115FFE1" w14:textId="77777777" w:rsidR="004F62CF" w:rsidRDefault="004F62CF" w:rsidP="00DE2482">
            <w:pPr>
              <w:pStyle w:val="NormalWeb"/>
            </w:pPr>
            <w:r>
              <w:t>2017</w:t>
            </w:r>
          </w:p>
        </w:tc>
        <w:tc>
          <w:tcPr>
            <w:tcW w:w="1418" w:type="dxa"/>
            <w:tcBorders>
              <w:left w:val="single" w:sz="2" w:space="0" w:color="000000" w:themeColor="text1"/>
              <w:right w:val="single" w:sz="2" w:space="0" w:color="000000" w:themeColor="text1"/>
            </w:tcBorders>
            <w:hideMark/>
          </w:tcPr>
          <w:p w14:paraId="3406272B" w14:textId="77777777" w:rsidR="004F62CF" w:rsidRDefault="004F62CF" w:rsidP="00DE2482">
            <w:pPr>
              <w:pStyle w:val="NormalWeb"/>
              <w:jc w:val="center"/>
            </w:pPr>
            <w:r>
              <w:t>102,880</w:t>
            </w:r>
          </w:p>
        </w:tc>
        <w:tc>
          <w:tcPr>
            <w:tcW w:w="1559" w:type="dxa"/>
            <w:tcBorders>
              <w:left w:val="single" w:sz="2" w:space="0" w:color="000000" w:themeColor="text1"/>
              <w:right w:val="single" w:sz="2" w:space="0" w:color="000000" w:themeColor="text1"/>
            </w:tcBorders>
            <w:hideMark/>
          </w:tcPr>
          <w:p w14:paraId="6B195A96" w14:textId="77777777" w:rsidR="004F62CF" w:rsidRDefault="004F62CF" w:rsidP="00DE2482">
            <w:pPr>
              <w:pStyle w:val="NormalWeb"/>
              <w:jc w:val="center"/>
            </w:pPr>
            <w:r>
              <w:t>59,468</w:t>
            </w:r>
          </w:p>
        </w:tc>
        <w:tc>
          <w:tcPr>
            <w:tcW w:w="1701" w:type="dxa"/>
            <w:tcBorders>
              <w:left w:val="single" w:sz="2" w:space="0" w:color="000000" w:themeColor="text1"/>
              <w:right w:val="single" w:sz="2" w:space="0" w:color="000000" w:themeColor="text1"/>
            </w:tcBorders>
            <w:hideMark/>
          </w:tcPr>
          <w:p w14:paraId="46B50EA6" w14:textId="77777777" w:rsidR="004F62CF" w:rsidRDefault="004F62CF" w:rsidP="00DE2482">
            <w:pPr>
              <w:pStyle w:val="NormalWeb"/>
              <w:jc w:val="center"/>
            </w:pPr>
            <w:r>
              <w:t>42,841</w:t>
            </w:r>
          </w:p>
        </w:tc>
        <w:tc>
          <w:tcPr>
            <w:tcW w:w="1417" w:type="dxa"/>
            <w:tcBorders>
              <w:left w:val="single" w:sz="2" w:space="0" w:color="000000" w:themeColor="text1"/>
              <w:right w:val="single" w:sz="2" w:space="0" w:color="000000" w:themeColor="text1"/>
            </w:tcBorders>
            <w:hideMark/>
          </w:tcPr>
          <w:p w14:paraId="2AFFCE59" w14:textId="77777777" w:rsidR="004F62CF" w:rsidRDefault="004F62CF" w:rsidP="00DE2482">
            <w:pPr>
              <w:pStyle w:val="NormalWeb"/>
              <w:jc w:val="center"/>
            </w:pPr>
            <w:r>
              <w:t>11,968</w:t>
            </w:r>
          </w:p>
        </w:tc>
        <w:tc>
          <w:tcPr>
            <w:tcW w:w="3636" w:type="dxa"/>
            <w:tcBorders>
              <w:left w:val="single" w:sz="2" w:space="0" w:color="000000" w:themeColor="text1"/>
            </w:tcBorders>
            <w:hideMark/>
          </w:tcPr>
          <w:p w14:paraId="329BF038" w14:textId="77777777" w:rsidR="004F62CF" w:rsidRDefault="004F62CF" w:rsidP="00DE2482">
            <w:pPr>
              <w:pStyle w:val="NormalWeb"/>
              <w:jc w:val="center"/>
            </w:pPr>
            <w:r>
              <w:t>1287.2</w:t>
            </w:r>
          </w:p>
        </w:tc>
      </w:tr>
      <w:tr w:rsidR="004F62CF" w14:paraId="72DCF194" w14:textId="77777777" w:rsidTr="00DE2482">
        <w:trPr>
          <w:cnfStyle w:val="000000010000" w:firstRow="0" w:lastRow="0" w:firstColumn="0" w:lastColumn="0" w:oddVBand="0" w:evenVBand="0" w:oddHBand="0" w:evenHBand="1" w:firstRowFirstColumn="0" w:firstRowLastColumn="0" w:lastRowFirstColumn="0" w:lastRowLastColumn="0"/>
        </w:trPr>
        <w:tc>
          <w:tcPr>
            <w:tcW w:w="709" w:type="dxa"/>
            <w:tcBorders>
              <w:right w:val="single" w:sz="2" w:space="0" w:color="000000" w:themeColor="text1"/>
            </w:tcBorders>
            <w:hideMark/>
          </w:tcPr>
          <w:p w14:paraId="0320AF76" w14:textId="77777777" w:rsidR="004F62CF" w:rsidRDefault="004F62CF" w:rsidP="00DE2482">
            <w:pPr>
              <w:pStyle w:val="NormalWeb"/>
            </w:pPr>
            <w:r>
              <w:t>2018</w:t>
            </w:r>
          </w:p>
        </w:tc>
        <w:tc>
          <w:tcPr>
            <w:tcW w:w="1418" w:type="dxa"/>
            <w:tcBorders>
              <w:left w:val="single" w:sz="2" w:space="0" w:color="000000" w:themeColor="text1"/>
              <w:right w:val="single" w:sz="2" w:space="0" w:color="000000" w:themeColor="text1"/>
            </w:tcBorders>
            <w:hideMark/>
          </w:tcPr>
          <w:p w14:paraId="17F7EF0D" w14:textId="77777777" w:rsidR="004F62CF" w:rsidRDefault="004F62CF" w:rsidP="00DE2482">
            <w:pPr>
              <w:pStyle w:val="NormalWeb"/>
              <w:jc w:val="center"/>
            </w:pPr>
            <w:r>
              <w:t>17,467</w:t>
            </w:r>
          </w:p>
        </w:tc>
        <w:tc>
          <w:tcPr>
            <w:tcW w:w="1559" w:type="dxa"/>
            <w:tcBorders>
              <w:left w:val="single" w:sz="2" w:space="0" w:color="000000" w:themeColor="text1"/>
              <w:right w:val="single" w:sz="2" w:space="0" w:color="000000" w:themeColor="text1"/>
            </w:tcBorders>
            <w:hideMark/>
          </w:tcPr>
          <w:p w14:paraId="1D9A8D82" w14:textId="77777777" w:rsidR="004F62CF" w:rsidRDefault="004F62CF" w:rsidP="00DE2482">
            <w:pPr>
              <w:pStyle w:val="NormalWeb"/>
              <w:jc w:val="center"/>
            </w:pPr>
            <w:r>
              <w:t>13,625</w:t>
            </w:r>
          </w:p>
        </w:tc>
        <w:tc>
          <w:tcPr>
            <w:tcW w:w="1701" w:type="dxa"/>
            <w:tcBorders>
              <w:left w:val="single" w:sz="2" w:space="0" w:color="000000" w:themeColor="text1"/>
              <w:right w:val="single" w:sz="2" w:space="0" w:color="000000" w:themeColor="text1"/>
            </w:tcBorders>
            <w:hideMark/>
          </w:tcPr>
          <w:p w14:paraId="4D337F28" w14:textId="77777777" w:rsidR="004F62CF" w:rsidRDefault="004F62CF" w:rsidP="00DE2482">
            <w:pPr>
              <w:pStyle w:val="NormalWeb"/>
              <w:jc w:val="center"/>
            </w:pPr>
            <w:r>
              <w:t>3,051</w:t>
            </w:r>
          </w:p>
        </w:tc>
        <w:tc>
          <w:tcPr>
            <w:tcW w:w="1417" w:type="dxa"/>
            <w:tcBorders>
              <w:left w:val="single" w:sz="2" w:space="0" w:color="000000" w:themeColor="text1"/>
              <w:right w:val="single" w:sz="2" w:space="0" w:color="000000" w:themeColor="text1"/>
            </w:tcBorders>
            <w:hideMark/>
          </w:tcPr>
          <w:p w14:paraId="4BA1ED95" w14:textId="77777777" w:rsidR="004F62CF" w:rsidRDefault="004F62CF" w:rsidP="00DE2482">
            <w:pPr>
              <w:pStyle w:val="NormalWeb"/>
              <w:jc w:val="center"/>
            </w:pPr>
            <w:r>
              <w:t>1,819</w:t>
            </w:r>
          </w:p>
        </w:tc>
        <w:tc>
          <w:tcPr>
            <w:tcW w:w="3636" w:type="dxa"/>
            <w:tcBorders>
              <w:left w:val="single" w:sz="2" w:space="0" w:color="000000" w:themeColor="text1"/>
            </w:tcBorders>
            <w:hideMark/>
          </w:tcPr>
          <w:p w14:paraId="1E2454FB" w14:textId="77777777" w:rsidR="004F62CF" w:rsidRDefault="004F62CF" w:rsidP="00DE2482">
            <w:pPr>
              <w:pStyle w:val="NormalWeb"/>
              <w:jc w:val="center"/>
            </w:pPr>
            <w:r>
              <w:t>194.1</w:t>
            </w:r>
          </w:p>
        </w:tc>
      </w:tr>
    </w:tbl>
    <w:p w14:paraId="212CB726" w14:textId="77777777" w:rsidR="004F62CF" w:rsidRDefault="004F62CF" w:rsidP="004F62CF">
      <w:pPr>
        <w:pStyle w:val="CDIfootnotes"/>
      </w:pPr>
      <w:proofErr w:type="gramStart"/>
      <w:r>
        <w:t>a</w:t>
      </w:r>
      <w:proofErr w:type="gramEnd"/>
      <w:r>
        <w:tab/>
        <w:t>NSW = New South Wales; LHD = Local Health District.</w:t>
      </w:r>
    </w:p>
    <w:p w14:paraId="4B7AF45C" w14:textId="77777777" w:rsidR="004F62CF" w:rsidRDefault="004F62CF" w:rsidP="004F62CF">
      <w:pPr>
        <w:pStyle w:val="CDIfootnotes"/>
      </w:pPr>
      <w:r>
        <w:t>b</w:t>
      </w:r>
      <w:r>
        <w:tab/>
        <w:t>May to December.</w:t>
      </w:r>
    </w:p>
    <w:p w14:paraId="46FD592B" w14:textId="77777777" w:rsidR="004F62CF" w:rsidRDefault="004F62CF">
      <w:r>
        <w:rPr>
          <w:b/>
          <w:bCs/>
        </w:rPr>
        <w:br w:type="page"/>
      </w:r>
    </w:p>
    <w:p w14:paraId="0052A81B" w14:textId="77777777" w:rsidR="00F5470E" w:rsidRPr="00D631B0" w:rsidRDefault="00F5470E" w:rsidP="00D631B0">
      <w:pPr>
        <w:pStyle w:val="Heading1"/>
      </w:pPr>
      <w:r w:rsidRPr="00D631B0">
        <w:lastRenderedPageBreak/>
        <w:t xml:space="preserve">Methods </w:t>
      </w:r>
    </w:p>
    <w:p w14:paraId="7E07D358" w14:textId="77777777" w:rsidR="00F5470E" w:rsidRPr="00D631B0" w:rsidRDefault="00F5470E" w:rsidP="00D631B0">
      <w:pPr>
        <w:pStyle w:val="Heading2"/>
      </w:pPr>
      <w:r w:rsidRPr="00D631B0">
        <w:t xml:space="preserve">Setting, data collection </w:t>
      </w:r>
    </w:p>
    <w:p w14:paraId="0D43D860" w14:textId="77777777" w:rsidR="00F5470E" w:rsidRDefault="00F5470E" w:rsidP="00D631B0">
      <w:r>
        <w:t xml:space="preserve">A database was maintained of episodes of severe community-acquired pneumonia, as defined by the requirement for intensive care unit (ICU) admission, at each of two tertiary referral centres in Newcastle (John Hunter Hospital and Calvary Mater Newcastle) during the period 1 January 2007 to 31 December 2018. The data were collected using a combination of prospective and retrospective methods. Information recorded in a spreadsheet included demographic details such as age, sex, comorbidities; clinical characteristics including requirement for inotropic support or mechanical ventilation, presence of acute kidney injury, length of hospital stay; and diagnostic information such as chest x-ray findings, inflammatory markers (C-reactive protein, procalcitonin) and tests for </w:t>
      </w:r>
      <w:proofErr w:type="spellStart"/>
      <w:r>
        <w:t>etiology</w:t>
      </w:r>
      <w:proofErr w:type="spellEnd"/>
      <w:r>
        <w:t xml:space="preserve"> of pneumonia (blood and sputum cultures, urinary </w:t>
      </w:r>
      <w:r w:rsidRPr="002A1E41">
        <w:rPr>
          <w:rStyle w:val="Emphasis"/>
          <w:b w:val="0"/>
        </w:rPr>
        <w:t xml:space="preserve">Legionella </w:t>
      </w:r>
      <w:r>
        <w:t>and pneumococcal antigens, multiplex respiratory virus nucleic acid amplification tests [NAAT], pleural fluid culture and NAAT). The multiplex respiratory virus NAAT (</w:t>
      </w:r>
      <w:proofErr w:type="spellStart"/>
      <w:r>
        <w:t>Ausdiagnostics</w:t>
      </w:r>
      <w:proofErr w:type="spellEnd"/>
      <w:r>
        <w:t xml:space="preserve">, Mascot, Australia) was available from 2012 and tested for influenza, parainfluenza, respiratory syncytial virus (RSV), adenovirus, picornavirus and human metapneumovirus. Prior to 2012, influenza was tested by NAAT and the other viruses by direct fluorescent antibody testing (DFA). The investigation of pneumonia </w:t>
      </w:r>
      <w:proofErr w:type="spellStart"/>
      <w:r>
        <w:t>etiology</w:t>
      </w:r>
      <w:proofErr w:type="spellEnd"/>
      <w:r>
        <w:t xml:space="preserve"> and the choice of diagnostic tests was directed by the treating team. A search was made for further patients with </w:t>
      </w:r>
      <w:r w:rsidRPr="002A1E41">
        <w:rPr>
          <w:rStyle w:val="Emphasis"/>
          <w:b w:val="0"/>
        </w:rPr>
        <w:t xml:space="preserve">S. pyogenes </w:t>
      </w:r>
      <w:r>
        <w:t xml:space="preserve">pneumonia who were not admitted to ICU by searching the NSW Health Pathology database for positive blood cultures for </w:t>
      </w:r>
      <w:r w:rsidRPr="002A1E41">
        <w:rPr>
          <w:rStyle w:val="Emphasis"/>
          <w:b w:val="0"/>
        </w:rPr>
        <w:t>S. pyogenes</w:t>
      </w:r>
      <w:r>
        <w:t xml:space="preserve">, which were cross-checked with admission chest x-ray reports. The study included only adult patients (aged ≥ 18 years). </w:t>
      </w:r>
      <w:r w:rsidRPr="002A1E41">
        <w:rPr>
          <w:rStyle w:val="Emphasis"/>
          <w:b w:val="0"/>
        </w:rPr>
        <w:t>S. pyogenes</w:t>
      </w:r>
      <w:r>
        <w:t xml:space="preserve"> was identified using Gram stain followed by serologic antigen testing and MALDI-TOF mass spectrometry (VITEK MS, </w:t>
      </w:r>
      <w:proofErr w:type="spellStart"/>
      <w:r>
        <w:t>bioMerieux</w:t>
      </w:r>
      <w:proofErr w:type="spellEnd"/>
      <w:r>
        <w:t xml:space="preserve">). </w:t>
      </w:r>
    </w:p>
    <w:p w14:paraId="7ED0910B" w14:textId="77777777" w:rsidR="00F5470E" w:rsidRPr="00D631B0" w:rsidRDefault="00F5470E" w:rsidP="00D631B0">
      <w:pPr>
        <w:pStyle w:val="Heading2"/>
      </w:pPr>
      <w:r w:rsidRPr="00D631B0">
        <w:t xml:space="preserve">Definitions </w:t>
      </w:r>
    </w:p>
    <w:p w14:paraId="22595FB7" w14:textId="77777777" w:rsidR="00A4790C" w:rsidRPr="004F62CF" w:rsidRDefault="00F5470E">
      <w:r>
        <w:t xml:space="preserve">The diagnosis of community-acquired pneumonia was confirmed by the following: a chest x-ray report of a new pulmonary infiltrate documented within 24 hours of hospital admission; a clinical diagnosis of community-acquired pneumonia by the treating team; and clinical and/or laboratory findings consistent with infection. The following criteria were used to define </w:t>
      </w:r>
      <w:r w:rsidRPr="002A1E41">
        <w:rPr>
          <w:rStyle w:val="Emphasis"/>
          <w:b w:val="0"/>
        </w:rPr>
        <w:t xml:space="preserve">S. pyogenes </w:t>
      </w:r>
      <w:r>
        <w:t xml:space="preserve">as the cause of community acquired pneumonia: positive blood or pleural fluid culture, or pleural fluid NAAT. </w:t>
      </w:r>
    </w:p>
    <w:p w14:paraId="59B9A7C0" w14:textId="77777777" w:rsidR="00F5470E" w:rsidRPr="00D631B0" w:rsidRDefault="00F5470E" w:rsidP="00D631B0">
      <w:pPr>
        <w:pStyle w:val="Heading1"/>
      </w:pPr>
      <w:r w:rsidRPr="00D631B0">
        <w:t xml:space="preserve">Results </w:t>
      </w:r>
    </w:p>
    <w:p w14:paraId="42655A66" w14:textId="77777777" w:rsidR="00F5470E" w:rsidRPr="00D631B0" w:rsidRDefault="00F5470E" w:rsidP="00D631B0">
      <w:pPr>
        <w:pStyle w:val="Heading2"/>
      </w:pPr>
      <w:r w:rsidRPr="00D631B0">
        <w:t xml:space="preserve">Patient characteristics </w:t>
      </w:r>
    </w:p>
    <w:p w14:paraId="4549D93D" w14:textId="77777777" w:rsidR="00F5470E" w:rsidRDefault="00F5470E" w:rsidP="00D631B0">
      <w:r>
        <w:t xml:space="preserve">For the 12-year period from 1 January 2007 to 31 December 2018, a total of 213 adult patients with positive blood cultures for </w:t>
      </w:r>
      <w:r w:rsidRPr="002A1E41">
        <w:rPr>
          <w:rStyle w:val="Emphasis"/>
          <w:b w:val="0"/>
        </w:rPr>
        <w:t>S. pyogenes</w:t>
      </w:r>
      <w:r>
        <w:t xml:space="preserve"> were identified by searching the NSW Health Pathology database. There were 13 identified cases of community-acquired pneumonia due to </w:t>
      </w:r>
      <w:r w:rsidRPr="002A1E41">
        <w:rPr>
          <w:rStyle w:val="Emphasis"/>
          <w:b w:val="0"/>
        </w:rPr>
        <w:t>S</w:t>
      </w:r>
      <w:r w:rsidR="00EA772C">
        <w:rPr>
          <w:rStyle w:val="Emphasis"/>
          <w:b w:val="0"/>
        </w:rPr>
        <w:t>.</w:t>
      </w:r>
      <w:r w:rsidRPr="002A1E41">
        <w:rPr>
          <w:rStyle w:val="Emphasis"/>
          <w:b w:val="0"/>
        </w:rPr>
        <w:t xml:space="preserve"> pyogenes </w:t>
      </w:r>
      <w:r>
        <w:t>in adults, of whom all except one had severe CAP requiring ICU admission. The mean age was 48 years (range 18–77) and median 46 years; seven patients were male and 6 female. There was a striking increase in the number of cases diagnosed in 2017, with 7 of 13 cases (54%) occurring that year, which coincided with a severe influenza season (Tables 3, 4). Two of the patients presenting in 2017 lived less than 10 kilometres apart and presented to hospital one week apart. No contact tracing was conducted, and the homes of the other patients from 2017 were spread across a broad geographical area. Over half of the affected patients (7 of 13, 54%) were previously well without significant past medical history. Coexisting illnesses in the remaining patients included type 2 diabetes mellitus (3 patients, 23%), asthma (2, 15%), chronic obstructive pulmonary disease (COPD, 1), bronchiectasis (1), lung carcinoma treated with radiotherapy (1) and bipolar disorder (1). Seasonal variation was apparent in that most patients presented in winter (8 of 13, 62%) or early spring [i.e. September] (3 of 13, 23%), with the other two admitted during autumn (Table 5).</w:t>
      </w:r>
    </w:p>
    <w:p w14:paraId="3D1FDF5D" w14:textId="77777777" w:rsidR="002356A2" w:rsidRDefault="002356A2" w:rsidP="00C46FD5">
      <w:pPr>
        <w:pStyle w:val="CDIFigures"/>
        <w:sectPr w:rsidR="002356A2" w:rsidSect="00A30C37">
          <w:pgSz w:w="11906" w:h="16838"/>
          <w:pgMar w:top="720" w:right="720" w:bottom="1134" w:left="720" w:header="709" w:footer="284" w:gutter="0"/>
          <w:cols w:space="708"/>
          <w:titlePg/>
          <w:docGrid w:linePitch="360"/>
        </w:sectPr>
      </w:pPr>
    </w:p>
    <w:p w14:paraId="0AC8C356" w14:textId="77777777" w:rsidR="00F5470E" w:rsidRDefault="00F5470E" w:rsidP="00C46FD5">
      <w:pPr>
        <w:pStyle w:val="CDIFigures"/>
      </w:pPr>
      <w:r>
        <w:lastRenderedPageBreak/>
        <w:t xml:space="preserve">Table 5: </w:t>
      </w:r>
      <w:proofErr w:type="spellStart"/>
      <w:r>
        <w:t>S.</w:t>
      </w:r>
      <w:r w:rsidRPr="00DD20D7">
        <w:rPr>
          <w:i/>
        </w:rPr>
        <w:t>pyogenes</w:t>
      </w:r>
      <w:proofErr w:type="spellEnd"/>
      <w:r>
        <w:t xml:space="preserve"> pneumonia: baseline </w:t>
      </w:r>
      <w:proofErr w:type="spellStart"/>
      <w:r>
        <w:t>characteristics</w:t>
      </w:r>
      <w:r w:rsidRPr="0039183B">
        <w:rPr>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5 lists demographic details of the study patients with S. pyogenes pneumonia, and results of investigations including chest x-ray and viral multiplex respiratory PCR tests.&#10;"/>
      </w:tblPr>
      <w:tblGrid>
        <w:gridCol w:w="538"/>
        <w:gridCol w:w="857"/>
        <w:gridCol w:w="1440"/>
        <w:gridCol w:w="3887"/>
        <w:gridCol w:w="2192"/>
        <w:gridCol w:w="502"/>
        <w:gridCol w:w="1272"/>
        <w:gridCol w:w="4252"/>
      </w:tblGrid>
      <w:tr w:rsidR="00E679ED" w:rsidRPr="00E679ED" w14:paraId="133FDF01" w14:textId="77777777" w:rsidTr="0017432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52FA77D5" w14:textId="77777777" w:rsidR="00F5470E" w:rsidRPr="00E679ED" w:rsidRDefault="00F5470E">
            <w:pPr>
              <w:pStyle w:val="NormalWeb"/>
              <w:rPr>
                <w:color w:val="FFFFFF" w:themeColor="background1"/>
              </w:rPr>
            </w:pPr>
            <w:r w:rsidRPr="00E679ED">
              <w:rPr>
                <w:color w:val="FFFFFF" w:themeColor="background1"/>
              </w:rPr>
              <w:t>Case</w:t>
            </w:r>
          </w:p>
        </w:tc>
        <w:tc>
          <w:tcPr>
            <w:tcW w:w="0" w:type="auto"/>
            <w:tcBorders>
              <w:left w:val="single" w:sz="2" w:space="0" w:color="FFFFFF" w:themeColor="background1"/>
              <w:right w:val="single" w:sz="2" w:space="0" w:color="FFFFFF" w:themeColor="background1"/>
            </w:tcBorders>
            <w:hideMark/>
          </w:tcPr>
          <w:p w14:paraId="6DD40C0E" w14:textId="77777777" w:rsidR="00F5470E" w:rsidRPr="00E679ED" w:rsidRDefault="00F5470E" w:rsidP="00DD20D7">
            <w:pPr>
              <w:pStyle w:val="NormalWeb"/>
              <w:jc w:val="center"/>
              <w:rPr>
                <w:color w:val="FFFFFF" w:themeColor="background1"/>
              </w:rPr>
            </w:pPr>
            <w:r w:rsidRPr="00E679ED">
              <w:rPr>
                <w:color w:val="FFFFFF" w:themeColor="background1"/>
              </w:rPr>
              <w:t>Age/sex</w:t>
            </w:r>
          </w:p>
        </w:tc>
        <w:tc>
          <w:tcPr>
            <w:tcW w:w="0" w:type="auto"/>
            <w:tcBorders>
              <w:left w:val="single" w:sz="2" w:space="0" w:color="FFFFFF" w:themeColor="background1"/>
              <w:right w:val="single" w:sz="2" w:space="0" w:color="FFFFFF" w:themeColor="background1"/>
            </w:tcBorders>
            <w:hideMark/>
          </w:tcPr>
          <w:p w14:paraId="7ADF6194" w14:textId="77777777" w:rsidR="00F5470E" w:rsidRPr="00E679ED" w:rsidRDefault="00F5470E" w:rsidP="00DD20D7">
            <w:pPr>
              <w:pStyle w:val="NormalWeb"/>
              <w:jc w:val="center"/>
              <w:rPr>
                <w:color w:val="FFFFFF" w:themeColor="background1"/>
              </w:rPr>
            </w:pPr>
            <w:r w:rsidRPr="00E679ED">
              <w:rPr>
                <w:color w:val="FFFFFF" w:themeColor="background1"/>
              </w:rPr>
              <w:t>Date admitted</w:t>
            </w:r>
          </w:p>
        </w:tc>
        <w:tc>
          <w:tcPr>
            <w:tcW w:w="0" w:type="auto"/>
            <w:tcBorders>
              <w:left w:val="single" w:sz="2" w:space="0" w:color="FFFFFF" w:themeColor="background1"/>
              <w:right w:val="single" w:sz="2" w:space="0" w:color="FFFFFF" w:themeColor="background1"/>
            </w:tcBorders>
            <w:hideMark/>
          </w:tcPr>
          <w:p w14:paraId="66AF6B91" w14:textId="77777777" w:rsidR="00F5470E" w:rsidRPr="00E679ED" w:rsidRDefault="00F5470E" w:rsidP="00DD20D7">
            <w:pPr>
              <w:pStyle w:val="NormalWeb"/>
              <w:jc w:val="center"/>
              <w:rPr>
                <w:color w:val="FFFFFF" w:themeColor="background1"/>
              </w:rPr>
            </w:pPr>
            <w:r w:rsidRPr="00E679ED">
              <w:rPr>
                <w:color w:val="FFFFFF" w:themeColor="background1"/>
              </w:rPr>
              <w:t>Comorbidities</w:t>
            </w:r>
          </w:p>
        </w:tc>
        <w:tc>
          <w:tcPr>
            <w:tcW w:w="0" w:type="auto"/>
            <w:tcBorders>
              <w:left w:val="single" w:sz="2" w:space="0" w:color="FFFFFF" w:themeColor="background1"/>
              <w:right w:val="single" w:sz="2" w:space="0" w:color="FFFFFF" w:themeColor="background1"/>
            </w:tcBorders>
            <w:hideMark/>
          </w:tcPr>
          <w:p w14:paraId="72BE7CCE" w14:textId="77777777" w:rsidR="00F5470E" w:rsidRPr="00E679ED" w:rsidRDefault="00F5470E" w:rsidP="00DD20D7">
            <w:pPr>
              <w:pStyle w:val="NormalWeb"/>
              <w:jc w:val="center"/>
              <w:rPr>
                <w:color w:val="FFFFFF" w:themeColor="background1"/>
              </w:rPr>
            </w:pPr>
            <w:proofErr w:type="spellStart"/>
            <w:r w:rsidRPr="00E679ED">
              <w:rPr>
                <w:color w:val="FFFFFF" w:themeColor="background1"/>
              </w:rPr>
              <w:t>CXR</w:t>
            </w:r>
            <w:r w:rsidRPr="00E679ED">
              <w:rPr>
                <w:color w:val="FFFFFF" w:themeColor="background1"/>
                <w:vertAlign w:val="superscript"/>
              </w:rPr>
              <w:t>a</w:t>
            </w:r>
            <w:proofErr w:type="spellEnd"/>
            <w:r w:rsidRPr="00E679ED">
              <w:rPr>
                <w:color w:val="FFFFFF" w:themeColor="background1"/>
              </w:rPr>
              <w:t xml:space="preserve"> consolidation</w:t>
            </w:r>
          </w:p>
        </w:tc>
        <w:tc>
          <w:tcPr>
            <w:tcW w:w="0" w:type="auto"/>
            <w:tcBorders>
              <w:left w:val="single" w:sz="2" w:space="0" w:color="FFFFFF" w:themeColor="background1"/>
              <w:right w:val="single" w:sz="2" w:space="0" w:color="FFFFFF" w:themeColor="background1"/>
            </w:tcBorders>
            <w:hideMark/>
          </w:tcPr>
          <w:p w14:paraId="10C6D097" w14:textId="77777777" w:rsidR="00F5470E" w:rsidRPr="00E679ED" w:rsidRDefault="00F5470E" w:rsidP="00DD20D7">
            <w:pPr>
              <w:pStyle w:val="NormalWeb"/>
              <w:jc w:val="center"/>
              <w:rPr>
                <w:color w:val="FFFFFF" w:themeColor="background1"/>
              </w:rPr>
            </w:pPr>
            <w:proofErr w:type="spellStart"/>
            <w:r w:rsidRPr="00E679ED">
              <w:rPr>
                <w:color w:val="FFFFFF" w:themeColor="background1"/>
              </w:rPr>
              <w:t>AKI</w:t>
            </w:r>
            <w:r w:rsidRPr="00E679ED">
              <w:rPr>
                <w:color w:val="FFFFFF" w:themeColor="background1"/>
                <w:vertAlign w:val="superscript"/>
              </w:rPr>
              <w:t>b</w:t>
            </w:r>
            <w:proofErr w:type="spellEnd"/>
          </w:p>
        </w:tc>
        <w:tc>
          <w:tcPr>
            <w:tcW w:w="0" w:type="auto"/>
            <w:tcBorders>
              <w:left w:val="single" w:sz="2" w:space="0" w:color="FFFFFF" w:themeColor="background1"/>
              <w:right w:val="single" w:sz="2" w:space="0" w:color="FFFFFF" w:themeColor="background1"/>
            </w:tcBorders>
            <w:hideMark/>
          </w:tcPr>
          <w:p w14:paraId="363CFE1C" w14:textId="77777777" w:rsidR="00F5470E" w:rsidRPr="00E679ED" w:rsidRDefault="00F5470E" w:rsidP="00DD20D7">
            <w:pPr>
              <w:pStyle w:val="NormalWeb"/>
              <w:jc w:val="center"/>
              <w:rPr>
                <w:color w:val="FFFFFF" w:themeColor="background1"/>
              </w:rPr>
            </w:pPr>
            <w:proofErr w:type="spellStart"/>
            <w:r w:rsidRPr="00E679ED">
              <w:rPr>
                <w:color w:val="FFFFFF" w:themeColor="background1"/>
              </w:rPr>
              <w:t>Wb</w:t>
            </w:r>
            <w:r w:rsidRPr="00E679ED">
              <w:rPr>
                <w:color w:val="FFFFFF" w:themeColor="background1"/>
                <w:vertAlign w:val="superscript"/>
              </w:rPr>
              <w:t>c</w:t>
            </w:r>
            <w:proofErr w:type="spellEnd"/>
            <w:r w:rsidRPr="00E679ED">
              <w:rPr>
                <w:color w:val="FFFFFF" w:themeColor="background1"/>
              </w:rPr>
              <w:t xml:space="preserve"> x 109/L</w:t>
            </w:r>
            <w:r w:rsidRPr="00E679ED">
              <w:rPr>
                <w:color w:val="FFFFFF" w:themeColor="background1"/>
                <w:vertAlign w:val="superscript"/>
              </w:rPr>
              <w:t>c</w:t>
            </w:r>
          </w:p>
        </w:tc>
        <w:tc>
          <w:tcPr>
            <w:tcW w:w="4252" w:type="dxa"/>
            <w:tcBorders>
              <w:left w:val="single" w:sz="2" w:space="0" w:color="FFFFFF" w:themeColor="background1"/>
            </w:tcBorders>
            <w:hideMark/>
          </w:tcPr>
          <w:p w14:paraId="5CED3610" w14:textId="77777777" w:rsidR="00F5470E" w:rsidRPr="00E679ED" w:rsidRDefault="00F5470E" w:rsidP="00DD20D7">
            <w:pPr>
              <w:pStyle w:val="NormalWeb"/>
              <w:jc w:val="center"/>
              <w:rPr>
                <w:color w:val="FFFFFF" w:themeColor="background1"/>
              </w:rPr>
            </w:pPr>
            <w:r w:rsidRPr="00E679ED">
              <w:rPr>
                <w:color w:val="FFFFFF" w:themeColor="background1"/>
              </w:rPr>
              <w:t xml:space="preserve">Viral testing multiplex </w:t>
            </w:r>
            <w:proofErr w:type="spellStart"/>
            <w:r w:rsidRPr="00E679ED">
              <w:rPr>
                <w:color w:val="FFFFFF" w:themeColor="background1"/>
              </w:rPr>
              <w:t>PCR</w:t>
            </w:r>
            <w:r w:rsidRPr="00E679ED">
              <w:rPr>
                <w:color w:val="FFFFFF" w:themeColor="background1"/>
                <w:vertAlign w:val="superscript"/>
              </w:rPr>
              <w:t>d</w:t>
            </w:r>
            <w:proofErr w:type="spellEnd"/>
          </w:p>
        </w:tc>
      </w:tr>
      <w:tr w:rsidR="00F5470E" w14:paraId="08969D98" w14:textId="77777777" w:rsidTr="00881827">
        <w:tc>
          <w:tcPr>
            <w:tcW w:w="0" w:type="auto"/>
            <w:hideMark/>
          </w:tcPr>
          <w:p w14:paraId="145ADF04" w14:textId="77777777" w:rsidR="00F5470E" w:rsidRDefault="00F5470E">
            <w:pPr>
              <w:pStyle w:val="NormalWeb"/>
            </w:pPr>
            <w:r>
              <w:t>1</w:t>
            </w:r>
          </w:p>
        </w:tc>
        <w:tc>
          <w:tcPr>
            <w:tcW w:w="0" w:type="auto"/>
            <w:hideMark/>
          </w:tcPr>
          <w:p w14:paraId="7D2A5206" w14:textId="77777777" w:rsidR="00F5470E" w:rsidRDefault="00F5470E" w:rsidP="00DD20D7">
            <w:pPr>
              <w:pStyle w:val="NormalWeb"/>
              <w:jc w:val="center"/>
            </w:pPr>
            <w:r>
              <w:t>47/F</w:t>
            </w:r>
          </w:p>
        </w:tc>
        <w:tc>
          <w:tcPr>
            <w:tcW w:w="0" w:type="auto"/>
            <w:hideMark/>
          </w:tcPr>
          <w:p w14:paraId="5B99AB83" w14:textId="77777777" w:rsidR="00F5470E" w:rsidRDefault="00F5470E" w:rsidP="00DD20D7">
            <w:pPr>
              <w:pStyle w:val="NormalWeb"/>
              <w:jc w:val="center"/>
            </w:pPr>
            <w:r>
              <w:t>31/8/2007</w:t>
            </w:r>
          </w:p>
        </w:tc>
        <w:tc>
          <w:tcPr>
            <w:tcW w:w="0" w:type="auto"/>
            <w:hideMark/>
          </w:tcPr>
          <w:p w14:paraId="315599D5" w14:textId="77777777" w:rsidR="00F5470E" w:rsidRDefault="00F5470E" w:rsidP="00DD20D7">
            <w:pPr>
              <w:pStyle w:val="NormalWeb"/>
              <w:jc w:val="center"/>
            </w:pPr>
            <w:r>
              <w:t>Nil</w:t>
            </w:r>
          </w:p>
        </w:tc>
        <w:tc>
          <w:tcPr>
            <w:tcW w:w="0" w:type="auto"/>
            <w:hideMark/>
          </w:tcPr>
          <w:p w14:paraId="3BFB40AB" w14:textId="77777777" w:rsidR="00F5470E" w:rsidRDefault="00F5470E" w:rsidP="00DD20D7">
            <w:pPr>
              <w:pStyle w:val="NormalWeb"/>
              <w:jc w:val="center"/>
            </w:pPr>
            <w:r>
              <w:t>bilateral</w:t>
            </w:r>
          </w:p>
        </w:tc>
        <w:tc>
          <w:tcPr>
            <w:tcW w:w="0" w:type="auto"/>
            <w:hideMark/>
          </w:tcPr>
          <w:p w14:paraId="30ECB41E" w14:textId="77777777" w:rsidR="00F5470E" w:rsidRDefault="00F5470E" w:rsidP="00DD20D7">
            <w:pPr>
              <w:pStyle w:val="NormalWeb"/>
              <w:jc w:val="center"/>
            </w:pPr>
            <w:r>
              <w:t>yes</w:t>
            </w:r>
          </w:p>
        </w:tc>
        <w:tc>
          <w:tcPr>
            <w:tcW w:w="0" w:type="auto"/>
            <w:hideMark/>
          </w:tcPr>
          <w:p w14:paraId="03C6AE21" w14:textId="77777777" w:rsidR="00F5470E" w:rsidRDefault="00F5470E" w:rsidP="00DD20D7">
            <w:pPr>
              <w:pStyle w:val="NormalWeb"/>
              <w:jc w:val="center"/>
            </w:pPr>
            <w:r>
              <w:t>1.9</w:t>
            </w:r>
          </w:p>
        </w:tc>
        <w:tc>
          <w:tcPr>
            <w:tcW w:w="4252" w:type="dxa"/>
            <w:hideMark/>
          </w:tcPr>
          <w:p w14:paraId="7812E98C" w14:textId="77777777" w:rsidR="00F5470E" w:rsidRDefault="00F5470E" w:rsidP="00DD20D7">
            <w:pPr>
              <w:pStyle w:val="NormalWeb"/>
              <w:jc w:val="center"/>
            </w:pPr>
            <w:r>
              <w:t>negative</w:t>
            </w:r>
          </w:p>
        </w:tc>
      </w:tr>
      <w:tr w:rsidR="00F5470E" w14:paraId="61CDE42D" w14:textId="77777777" w:rsidTr="00881827">
        <w:trPr>
          <w:cnfStyle w:val="000000010000" w:firstRow="0" w:lastRow="0" w:firstColumn="0" w:lastColumn="0" w:oddVBand="0" w:evenVBand="0" w:oddHBand="0" w:evenHBand="1" w:firstRowFirstColumn="0" w:firstRowLastColumn="0" w:lastRowFirstColumn="0" w:lastRowLastColumn="0"/>
        </w:trPr>
        <w:tc>
          <w:tcPr>
            <w:tcW w:w="0" w:type="auto"/>
            <w:hideMark/>
          </w:tcPr>
          <w:p w14:paraId="15287BE8" w14:textId="77777777" w:rsidR="00F5470E" w:rsidRDefault="00F5470E">
            <w:pPr>
              <w:pStyle w:val="NormalWeb"/>
            </w:pPr>
            <w:r>
              <w:t>2</w:t>
            </w:r>
          </w:p>
        </w:tc>
        <w:tc>
          <w:tcPr>
            <w:tcW w:w="0" w:type="auto"/>
            <w:hideMark/>
          </w:tcPr>
          <w:p w14:paraId="4D2622C9" w14:textId="77777777" w:rsidR="00F5470E" w:rsidRDefault="00F5470E" w:rsidP="00DD20D7">
            <w:pPr>
              <w:pStyle w:val="NormalWeb"/>
              <w:jc w:val="center"/>
            </w:pPr>
            <w:r>
              <w:t>60/M</w:t>
            </w:r>
          </w:p>
        </w:tc>
        <w:tc>
          <w:tcPr>
            <w:tcW w:w="0" w:type="auto"/>
            <w:hideMark/>
          </w:tcPr>
          <w:p w14:paraId="4B115901" w14:textId="77777777" w:rsidR="00F5470E" w:rsidRDefault="00F5470E" w:rsidP="00DD20D7">
            <w:pPr>
              <w:pStyle w:val="NormalWeb"/>
              <w:jc w:val="center"/>
            </w:pPr>
            <w:r>
              <w:t>19/7/2010</w:t>
            </w:r>
          </w:p>
        </w:tc>
        <w:tc>
          <w:tcPr>
            <w:tcW w:w="0" w:type="auto"/>
            <w:hideMark/>
          </w:tcPr>
          <w:p w14:paraId="739048FC" w14:textId="77777777" w:rsidR="00F5470E" w:rsidRDefault="00F5470E" w:rsidP="00DD20D7">
            <w:pPr>
              <w:pStyle w:val="NormalWeb"/>
              <w:jc w:val="center"/>
            </w:pPr>
            <w:r>
              <w:t>type 2 diabetes, lung cancer, radiotherapy</w:t>
            </w:r>
          </w:p>
        </w:tc>
        <w:tc>
          <w:tcPr>
            <w:tcW w:w="0" w:type="auto"/>
            <w:hideMark/>
          </w:tcPr>
          <w:p w14:paraId="014CF2A6" w14:textId="77777777" w:rsidR="00F5470E" w:rsidRDefault="00F5470E" w:rsidP="00DD20D7">
            <w:pPr>
              <w:pStyle w:val="NormalWeb"/>
              <w:jc w:val="center"/>
            </w:pPr>
            <w:r>
              <w:t>lobar</w:t>
            </w:r>
          </w:p>
        </w:tc>
        <w:tc>
          <w:tcPr>
            <w:tcW w:w="0" w:type="auto"/>
            <w:hideMark/>
          </w:tcPr>
          <w:p w14:paraId="00056A9A" w14:textId="77777777" w:rsidR="00F5470E" w:rsidRDefault="00F5470E" w:rsidP="00DD20D7">
            <w:pPr>
              <w:pStyle w:val="NormalWeb"/>
              <w:jc w:val="center"/>
            </w:pPr>
            <w:r>
              <w:t>yes</w:t>
            </w:r>
          </w:p>
        </w:tc>
        <w:tc>
          <w:tcPr>
            <w:tcW w:w="0" w:type="auto"/>
            <w:hideMark/>
          </w:tcPr>
          <w:p w14:paraId="6AD7546F" w14:textId="77777777" w:rsidR="00F5470E" w:rsidRDefault="00F5470E" w:rsidP="00DD20D7">
            <w:pPr>
              <w:pStyle w:val="NormalWeb"/>
              <w:jc w:val="center"/>
            </w:pPr>
            <w:r>
              <w:t>11.8</w:t>
            </w:r>
          </w:p>
        </w:tc>
        <w:tc>
          <w:tcPr>
            <w:tcW w:w="4252" w:type="dxa"/>
            <w:hideMark/>
          </w:tcPr>
          <w:p w14:paraId="61CF1E65" w14:textId="77777777" w:rsidR="00F5470E" w:rsidRDefault="00F5470E" w:rsidP="00DD20D7">
            <w:pPr>
              <w:pStyle w:val="NormalWeb"/>
              <w:jc w:val="center"/>
            </w:pPr>
            <w:r>
              <w:t>negative</w:t>
            </w:r>
          </w:p>
        </w:tc>
      </w:tr>
      <w:tr w:rsidR="00F5470E" w14:paraId="33831AE9" w14:textId="77777777" w:rsidTr="00881827">
        <w:tc>
          <w:tcPr>
            <w:tcW w:w="0" w:type="auto"/>
            <w:hideMark/>
          </w:tcPr>
          <w:p w14:paraId="32B78A3C" w14:textId="77777777" w:rsidR="00F5470E" w:rsidRDefault="00F5470E">
            <w:pPr>
              <w:pStyle w:val="NormalWeb"/>
            </w:pPr>
            <w:r>
              <w:t>3</w:t>
            </w:r>
          </w:p>
        </w:tc>
        <w:tc>
          <w:tcPr>
            <w:tcW w:w="0" w:type="auto"/>
            <w:hideMark/>
          </w:tcPr>
          <w:p w14:paraId="463EEB40" w14:textId="77777777" w:rsidR="00F5470E" w:rsidRDefault="00F5470E" w:rsidP="00DD20D7">
            <w:pPr>
              <w:pStyle w:val="NormalWeb"/>
              <w:jc w:val="center"/>
            </w:pPr>
            <w:r>
              <w:t>26/F</w:t>
            </w:r>
          </w:p>
        </w:tc>
        <w:tc>
          <w:tcPr>
            <w:tcW w:w="0" w:type="auto"/>
            <w:hideMark/>
          </w:tcPr>
          <w:p w14:paraId="76D3CCB7" w14:textId="77777777" w:rsidR="00F5470E" w:rsidRDefault="00F5470E" w:rsidP="00DD20D7">
            <w:pPr>
              <w:pStyle w:val="NormalWeb"/>
              <w:jc w:val="center"/>
            </w:pPr>
            <w:r>
              <w:t>25/9/2010</w:t>
            </w:r>
          </w:p>
        </w:tc>
        <w:tc>
          <w:tcPr>
            <w:tcW w:w="0" w:type="auto"/>
            <w:hideMark/>
          </w:tcPr>
          <w:p w14:paraId="366179D9" w14:textId="77777777" w:rsidR="00F5470E" w:rsidRDefault="00F5470E" w:rsidP="00DD20D7">
            <w:pPr>
              <w:pStyle w:val="NormalWeb"/>
              <w:jc w:val="center"/>
            </w:pPr>
            <w:r>
              <w:t>bipolar disorder</w:t>
            </w:r>
          </w:p>
        </w:tc>
        <w:tc>
          <w:tcPr>
            <w:tcW w:w="0" w:type="auto"/>
            <w:hideMark/>
          </w:tcPr>
          <w:p w14:paraId="548C4CED" w14:textId="77777777" w:rsidR="00F5470E" w:rsidRDefault="00F5470E" w:rsidP="00DD20D7">
            <w:pPr>
              <w:pStyle w:val="NormalWeb"/>
              <w:jc w:val="center"/>
            </w:pPr>
            <w:proofErr w:type="spellStart"/>
            <w:r>
              <w:t>multilobar</w:t>
            </w:r>
            <w:proofErr w:type="spellEnd"/>
          </w:p>
        </w:tc>
        <w:tc>
          <w:tcPr>
            <w:tcW w:w="0" w:type="auto"/>
            <w:hideMark/>
          </w:tcPr>
          <w:p w14:paraId="25700ACC" w14:textId="77777777" w:rsidR="00F5470E" w:rsidRDefault="00F5470E" w:rsidP="00DD20D7">
            <w:pPr>
              <w:pStyle w:val="NormalWeb"/>
              <w:jc w:val="center"/>
            </w:pPr>
            <w:r>
              <w:t>yes</w:t>
            </w:r>
          </w:p>
        </w:tc>
        <w:tc>
          <w:tcPr>
            <w:tcW w:w="0" w:type="auto"/>
            <w:hideMark/>
          </w:tcPr>
          <w:p w14:paraId="565B00C3" w14:textId="77777777" w:rsidR="00F5470E" w:rsidRDefault="00F5470E" w:rsidP="00DD20D7">
            <w:pPr>
              <w:pStyle w:val="NormalWeb"/>
              <w:jc w:val="center"/>
            </w:pPr>
            <w:r>
              <w:t>8.5</w:t>
            </w:r>
          </w:p>
        </w:tc>
        <w:tc>
          <w:tcPr>
            <w:tcW w:w="4252" w:type="dxa"/>
            <w:hideMark/>
          </w:tcPr>
          <w:p w14:paraId="7C390BB5" w14:textId="77777777" w:rsidR="00F5470E" w:rsidRDefault="00F5470E" w:rsidP="00DD20D7">
            <w:pPr>
              <w:pStyle w:val="NormalWeb"/>
              <w:jc w:val="center"/>
            </w:pPr>
            <w:r>
              <w:t>negative</w:t>
            </w:r>
          </w:p>
        </w:tc>
      </w:tr>
      <w:tr w:rsidR="00F5470E" w14:paraId="50CCAE6E" w14:textId="77777777" w:rsidTr="00881827">
        <w:trPr>
          <w:cnfStyle w:val="000000010000" w:firstRow="0" w:lastRow="0" w:firstColumn="0" w:lastColumn="0" w:oddVBand="0" w:evenVBand="0" w:oddHBand="0" w:evenHBand="1" w:firstRowFirstColumn="0" w:firstRowLastColumn="0" w:lastRowFirstColumn="0" w:lastRowLastColumn="0"/>
        </w:trPr>
        <w:tc>
          <w:tcPr>
            <w:tcW w:w="0" w:type="auto"/>
            <w:hideMark/>
          </w:tcPr>
          <w:p w14:paraId="47AC35BC" w14:textId="77777777" w:rsidR="00F5470E" w:rsidRDefault="00F5470E">
            <w:pPr>
              <w:pStyle w:val="NormalWeb"/>
            </w:pPr>
            <w:r>
              <w:t>4</w:t>
            </w:r>
          </w:p>
        </w:tc>
        <w:tc>
          <w:tcPr>
            <w:tcW w:w="0" w:type="auto"/>
            <w:hideMark/>
          </w:tcPr>
          <w:p w14:paraId="34964603" w14:textId="77777777" w:rsidR="00F5470E" w:rsidRDefault="00F5470E" w:rsidP="00DD20D7">
            <w:pPr>
              <w:pStyle w:val="NormalWeb"/>
              <w:jc w:val="center"/>
            </w:pPr>
            <w:r>
              <w:t>72/M</w:t>
            </w:r>
          </w:p>
        </w:tc>
        <w:tc>
          <w:tcPr>
            <w:tcW w:w="0" w:type="auto"/>
            <w:hideMark/>
          </w:tcPr>
          <w:p w14:paraId="0408BD55" w14:textId="77777777" w:rsidR="00F5470E" w:rsidRDefault="00F5470E" w:rsidP="00DD20D7">
            <w:pPr>
              <w:pStyle w:val="NormalWeb"/>
              <w:jc w:val="center"/>
            </w:pPr>
            <w:r>
              <w:t>11/8/2014</w:t>
            </w:r>
          </w:p>
        </w:tc>
        <w:tc>
          <w:tcPr>
            <w:tcW w:w="0" w:type="auto"/>
            <w:hideMark/>
          </w:tcPr>
          <w:p w14:paraId="5E5409FE" w14:textId="77777777" w:rsidR="00F5470E" w:rsidRDefault="00F5470E" w:rsidP="00DD20D7">
            <w:pPr>
              <w:pStyle w:val="NormalWeb"/>
              <w:jc w:val="center"/>
            </w:pPr>
            <w:r>
              <w:t>nil</w:t>
            </w:r>
          </w:p>
        </w:tc>
        <w:tc>
          <w:tcPr>
            <w:tcW w:w="0" w:type="auto"/>
            <w:hideMark/>
          </w:tcPr>
          <w:p w14:paraId="5910443E" w14:textId="77777777" w:rsidR="00F5470E" w:rsidRDefault="00F5470E" w:rsidP="00DD20D7">
            <w:pPr>
              <w:pStyle w:val="NormalWeb"/>
              <w:jc w:val="center"/>
            </w:pPr>
            <w:r>
              <w:t>bilateral</w:t>
            </w:r>
          </w:p>
        </w:tc>
        <w:tc>
          <w:tcPr>
            <w:tcW w:w="0" w:type="auto"/>
            <w:hideMark/>
          </w:tcPr>
          <w:p w14:paraId="6016D8BC" w14:textId="77777777" w:rsidR="00F5470E" w:rsidRDefault="00F5470E" w:rsidP="00DD20D7">
            <w:pPr>
              <w:pStyle w:val="NormalWeb"/>
              <w:jc w:val="center"/>
            </w:pPr>
            <w:r>
              <w:t>yes</w:t>
            </w:r>
          </w:p>
        </w:tc>
        <w:tc>
          <w:tcPr>
            <w:tcW w:w="0" w:type="auto"/>
            <w:hideMark/>
          </w:tcPr>
          <w:p w14:paraId="678598CF" w14:textId="77777777" w:rsidR="00F5470E" w:rsidRDefault="00F5470E" w:rsidP="00DD20D7">
            <w:pPr>
              <w:pStyle w:val="NormalWeb"/>
              <w:jc w:val="center"/>
            </w:pPr>
            <w:r>
              <w:t>5.2</w:t>
            </w:r>
          </w:p>
        </w:tc>
        <w:tc>
          <w:tcPr>
            <w:tcW w:w="4252" w:type="dxa"/>
            <w:hideMark/>
          </w:tcPr>
          <w:p w14:paraId="0B44285A" w14:textId="77777777" w:rsidR="00F5470E" w:rsidRDefault="00F5470E" w:rsidP="00DD20D7">
            <w:pPr>
              <w:pStyle w:val="NormalWeb"/>
              <w:jc w:val="center"/>
            </w:pPr>
            <w:r>
              <w:t>influenza A</w:t>
            </w:r>
          </w:p>
        </w:tc>
      </w:tr>
      <w:tr w:rsidR="00F5470E" w14:paraId="50B48C5B" w14:textId="77777777" w:rsidTr="00881827">
        <w:tc>
          <w:tcPr>
            <w:tcW w:w="0" w:type="auto"/>
            <w:hideMark/>
          </w:tcPr>
          <w:p w14:paraId="574C9278" w14:textId="77777777" w:rsidR="00F5470E" w:rsidRDefault="00F5470E">
            <w:pPr>
              <w:pStyle w:val="NormalWeb"/>
            </w:pPr>
            <w:r>
              <w:t>5</w:t>
            </w:r>
          </w:p>
        </w:tc>
        <w:tc>
          <w:tcPr>
            <w:tcW w:w="0" w:type="auto"/>
            <w:hideMark/>
          </w:tcPr>
          <w:p w14:paraId="2F9BDDA3" w14:textId="77777777" w:rsidR="00F5470E" w:rsidRDefault="00F5470E" w:rsidP="00DD20D7">
            <w:pPr>
              <w:pStyle w:val="NormalWeb"/>
              <w:jc w:val="center"/>
            </w:pPr>
            <w:r>
              <w:t>38/F</w:t>
            </w:r>
          </w:p>
        </w:tc>
        <w:tc>
          <w:tcPr>
            <w:tcW w:w="0" w:type="auto"/>
            <w:hideMark/>
          </w:tcPr>
          <w:p w14:paraId="09927A1B" w14:textId="77777777" w:rsidR="00F5470E" w:rsidRDefault="00F5470E" w:rsidP="00DD20D7">
            <w:pPr>
              <w:pStyle w:val="NormalWeb"/>
              <w:jc w:val="center"/>
            </w:pPr>
            <w:r>
              <w:t>20/5/2015</w:t>
            </w:r>
          </w:p>
        </w:tc>
        <w:tc>
          <w:tcPr>
            <w:tcW w:w="0" w:type="auto"/>
            <w:hideMark/>
          </w:tcPr>
          <w:p w14:paraId="536300A6" w14:textId="77777777" w:rsidR="00F5470E" w:rsidRDefault="00F5470E" w:rsidP="00DD20D7">
            <w:pPr>
              <w:pStyle w:val="NormalWeb"/>
              <w:jc w:val="center"/>
            </w:pPr>
            <w:r>
              <w:t>nil</w:t>
            </w:r>
          </w:p>
        </w:tc>
        <w:tc>
          <w:tcPr>
            <w:tcW w:w="0" w:type="auto"/>
            <w:hideMark/>
          </w:tcPr>
          <w:p w14:paraId="181CCBE8" w14:textId="77777777" w:rsidR="00F5470E" w:rsidRDefault="00F5470E" w:rsidP="00DD20D7">
            <w:pPr>
              <w:pStyle w:val="NormalWeb"/>
              <w:jc w:val="center"/>
            </w:pPr>
            <w:r>
              <w:t>lobar</w:t>
            </w:r>
          </w:p>
        </w:tc>
        <w:tc>
          <w:tcPr>
            <w:tcW w:w="0" w:type="auto"/>
            <w:hideMark/>
          </w:tcPr>
          <w:p w14:paraId="23C73077" w14:textId="77777777" w:rsidR="00F5470E" w:rsidRDefault="00F5470E" w:rsidP="00DD20D7">
            <w:pPr>
              <w:pStyle w:val="NormalWeb"/>
              <w:jc w:val="center"/>
            </w:pPr>
            <w:r>
              <w:t>no</w:t>
            </w:r>
          </w:p>
        </w:tc>
        <w:tc>
          <w:tcPr>
            <w:tcW w:w="0" w:type="auto"/>
            <w:hideMark/>
          </w:tcPr>
          <w:p w14:paraId="2B9B0D03" w14:textId="77777777" w:rsidR="00F5470E" w:rsidRDefault="00F5470E" w:rsidP="00DD20D7">
            <w:pPr>
              <w:pStyle w:val="NormalWeb"/>
              <w:jc w:val="center"/>
            </w:pPr>
            <w:r>
              <w:t>9.7</w:t>
            </w:r>
          </w:p>
        </w:tc>
        <w:tc>
          <w:tcPr>
            <w:tcW w:w="4252" w:type="dxa"/>
            <w:hideMark/>
          </w:tcPr>
          <w:p w14:paraId="764F0660" w14:textId="77777777" w:rsidR="00F5470E" w:rsidRDefault="00F5470E" w:rsidP="00DD20D7">
            <w:pPr>
              <w:pStyle w:val="NormalWeb"/>
              <w:jc w:val="center"/>
            </w:pPr>
            <w:r>
              <w:t>negative</w:t>
            </w:r>
          </w:p>
        </w:tc>
      </w:tr>
      <w:tr w:rsidR="00F5470E" w14:paraId="71A44C90" w14:textId="77777777" w:rsidTr="00881827">
        <w:trPr>
          <w:cnfStyle w:val="000000010000" w:firstRow="0" w:lastRow="0" w:firstColumn="0" w:lastColumn="0" w:oddVBand="0" w:evenVBand="0" w:oddHBand="0" w:evenHBand="1" w:firstRowFirstColumn="0" w:firstRowLastColumn="0" w:lastRowFirstColumn="0" w:lastRowLastColumn="0"/>
        </w:trPr>
        <w:tc>
          <w:tcPr>
            <w:tcW w:w="0" w:type="auto"/>
            <w:hideMark/>
          </w:tcPr>
          <w:p w14:paraId="39796616" w14:textId="77777777" w:rsidR="00F5470E" w:rsidRDefault="00F5470E">
            <w:pPr>
              <w:pStyle w:val="NormalWeb"/>
            </w:pPr>
            <w:r>
              <w:t>6</w:t>
            </w:r>
          </w:p>
        </w:tc>
        <w:tc>
          <w:tcPr>
            <w:tcW w:w="0" w:type="auto"/>
            <w:hideMark/>
          </w:tcPr>
          <w:p w14:paraId="014E2A78" w14:textId="77777777" w:rsidR="00F5470E" w:rsidRDefault="00F5470E" w:rsidP="00DD20D7">
            <w:pPr>
              <w:pStyle w:val="NormalWeb"/>
              <w:jc w:val="center"/>
            </w:pPr>
            <w:r>
              <w:t>77/M</w:t>
            </w:r>
          </w:p>
        </w:tc>
        <w:tc>
          <w:tcPr>
            <w:tcW w:w="0" w:type="auto"/>
            <w:hideMark/>
          </w:tcPr>
          <w:p w14:paraId="2EBFF438" w14:textId="77777777" w:rsidR="00F5470E" w:rsidRDefault="00F5470E" w:rsidP="00DD20D7">
            <w:pPr>
              <w:pStyle w:val="NormalWeb"/>
              <w:jc w:val="center"/>
            </w:pPr>
            <w:r>
              <w:t>9/6/2017</w:t>
            </w:r>
          </w:p>
        </w:tc>
        <w:tc>
          <w:tcPr>
            <w:tcW w:w="0" w:type="auto"/>
            <w:hideMark/>
          </w:tcPr>
          <w:p w14:paraId="1508CBC9" w14:textId="77777777" w:rsidR="00F5470E" w:rsidRDefault="00F5470E" w:rsidP="00DD20D7">
            <w:pPr>
              <w:pStyle w:val="NormalWeb"/>
              <w:jc w:val="center"/>
            </w:pPr>
            <w:r>
              <w:t>type 2 diabetes, bronchiectasis</w:t>
            </w:r>
          </w:p>
        </w:tc>
        <w:tc>
          <w:tcPr>
            <w:tcW w:w="0" w:type="auto"/>
            <w:hideMark/>
          </w:tcPr>
          <w:p w14:paraId="0D7E88EB" w14:textId="77777777" w:rsidR="00F5470E" w:rsidRDefault="00F5470E" w:rsidP="00DD20D7">
            <w:pPr>
              <w:pStyle w:val="NormalWeb"/>
              <w:jc w:val="center"/>
            </w:pPr>
            <w:proofErr w:type="spellStart"/>
            <w:r>
              <w:t>multilobar</w:t>
            </w:r>
            <w:proofErr w:type="spellEnd"/>
          </w:p>
        </w:tc>
        <w:tc>
          <w:tcPr>
            <w:tcW w:w="0" w:type="auto"/>
            <w:hideMark/>
          </w:tcPr>
          <w:p w14:paraId="4A57659E" w14:textId="77777777" w:rsidR="00F5470E" w:rsidRDefault="00F5470E" w:rsidP="00DD20D7">
            <w:pPr>
              <w:pStyle w:val="NormalWeb"/>
              <w:jc w:val="center"/>
            </w:pPr>
            <w:r>
              <w:t>yes</w:t>
            </w:r>
          </w:p>
        </w:tc>
        <w:tc>
          <w:tcPr>
            <w:tcW w:w="0" w:type="auto"/>
            <w:hideMark/>
          </w:tcPr>
          <w:p w14:paraId="15E2301C" w14:textId="77777777" w:rsidR="00F5470E" w:rsidRDefault="00F5470E" w:rsidP="00DD20D7">
            <w:pPr>
              <w:pStyle w:val="NormalWeb"/>
              <w:jc w:val="center"/>
            </w:pPr>
            <w:r>
              <w:t>50.6</w:t>
            </w:r>
          </w:p>
        </w:tc>
        <w:tc>
          <w:tcPr>
            <w:tcW w:w="4252" w:type="dxa"/>
            <w:hideMark/>
          </w:tcPr>
          <w:p w14:paraId="215C6BE7" w14:textId="77777777" w:rsidR="00F5470E" w:rsidRDefault="00F5470E" w:rsidP="00DD20D7">
            <w:pPr>
              <w:pStyle w:val="NormalWeb"/>
              <w:jc w:val="center"/>
            </w:pPr>
            <w:proofErr w:type="spellStart"/>
            <w:r>
              <w:t>RSV</w:t>
            </w:r>
            <w:r w:rsidRPr="00881827">
              <w:rPr>
                <w:vertAlign w:val="superscript"/>
              </w:rPr>
              <w:t>e</w:t>
            </w:r>
            <w:proofErr w:type="spellEnd"/>
            <w:r>
              <w:t>, picornavirus</w:t>
            </w:r>
          </w:p>
        </w:tc>
      </w:tr>
      <w:tr w:rsidR="00F5470E" w14:paraId="46109A98" w14:textId="77777777" w:rsidTr="00881827">
        <w:tc>
          <w:tcPr>
            <w:tcW w:w="0" w:type="auto"/>
            <w:hideMark/>
          </w:tcPr>
          <w:p w14:paraId="471A33BD" w14:textId="77777777" w:rsidR="00F5470E" w:rsidRDefault="00F5470E">
            <w:pPr>
              <w:pStyle w:val="NormalWeb"/>
            </w:pPr>
            <w:r>
              <w:t>7</w:t>
            </w:r>
          </w:p>
        </w:tc>
        <w:tc>
          <w:tcPr>
            <w:tcW w:w="0" w:type="auto"/>
            <w:hideMark/>
          </w:tcPr>
          <w:p w14:paraId="533FA437" w14:textId="77777777" w:rsidR="00F5470E" w:rsidRDefault="00F5470E" w:rsidP="00DD20D7">
            <w:pPr>
              <w:pStyle w:val="NormalWeb"/>
              <w:jc w:val="center"/>
            </w:pPr>
            <w:r>
              <w:t>38/F</w:t>
            </w:r>
          </w:p>
        </w:tc>
        <w:tc>
          <w:tcPr>
            <w:tcW w:w="0" w:type="auto"/>
            <w:hideMark/>
          </w:tcPr>
          <w:p w14:paraId="4B8BA18E" w14:textId="77777777" w:rsidR="00F5470E" w:rsidRDefault="00F5470E" w:rsidP="00DD20D7">
            <w:pPr>
              <w:pStyle w:val="NormalWeb"/>
              <w:jc w:val="center"/>
            </w:pPr>
            <w:r>
              <w:t>8/7/2017</w:t>
            </w:r>
          </w:p>
        </w:tc>
        <w:tc>
          <w:tcPr>
            <w:tcW w:w="0" w:type="auto"/>
            <w:hideMark/>
          </w:tcPr>
          <w:p w14:paraId="46C19AAE" w14:textId="77777777" w:rsidR="00F5470E" w:rsidRDefault="00F5470E" w:rsidP="00DD20D7">
            <w:pPr>
              <w:pStyle w:val="NormalWeb"/>
              <w:jc w:val="center"/>
            </w:pPr>
            <w:r>
              <w:t>asthma</w:t>
            </w:r>
          </w:p>
        </w:tc>
        <w:tc>
          <w:tcPr>
            <w:tcW w:w="0" w:type="auto"/>
            <w:hideMark/>
          </w:tcPr>
          <w:p w14:paraId="0C57D3BD" w14:textId="77777777" w:rsidR="00F5470E" w:rsidRDefault="00F5470E" w:rsidP="00DD20D7">
            <w:pPr>
              <w:pStyle w:val="NormalWeb"/>
              <w:jc w:val="center"/>
            </w:pPr>
            <w:proofErr w:type="spellStart"/>
            <w:r>
              <w:t>multilobar</w:t>
            </w:r>
            <w:proofErr w:type="spellEnd"/>
            <w:r>
              <w:t>, ? empyema</w:t>
            </w:r>
          </w:p>
        </w:tc>
        <w:tc>
          <w:tcPr>
            <w:tcW w:w="0" w:type="auto"/>
            <w:hideMark/>
          </w:tcPr>
          <w:p w14:paraId="2062BAED" w14:textId="77777777" w:rsidR="00F5470E" w:rsidRDefault="00F5470E" w:rsidP="00DD20D7">
            <w:pPr>
              <w:pStyle w:val="NormalWeb"/>
              <w:jc w:val="center"/>
            </w:pPr>
            <w:r>
              <w:t>yes</w:t>
            </w:r>
          </w:p>
        </w:tc>
        <w:tc>
          <w:tcPr>
            <w:tcW w:w="0" w:type="auto"/>
            <w:hideMark/>
          </w:tcPr>
          <w:p w14:paraId="06A9D198" w14:textId="77777777" w:rsidR="00F5470E" w:rsidRDefault="00F5470E" w:rsidP="00DD20D7">
            <w:pPr>
              <w:pStyle w:val="NormalWeb"/>
              <w:jc w:val="center"/>
            </w:pPr>
            <w:r>
              <w:t>0.7</w:t>
            </w:r>
          </w:p>
        </w:tc>
        <w:tc>
          <w:tcPr>
            <w:tcW w:w="4252" w:type="dxa"/>
            <w:hideMark/>
          </w:tcPr>
          <w:p w14:paraId="3BDA703D" w14:textId="77777777" w:rsidR="00F5470E" w:rsidRDefault="00F5470E" w:rsidP="00DD20D7">
            <w:pPr>
              <w:pStyle w:val="NormalWeb"/>
              <w:jc w:val="center"/>
            </w:pPr>
            <w:r>
              <w:t>not done</w:t>
            </w:r>
          </w:p>
        </w:tc>
      </w:tr>
      <w:tr w:rsidR="00F5470E" w14:paraId="5AC31F32" w14:textId="77777777" w:rsidTr="00881827">
        <w:trPr>
          <w:cnfStyle w:val="000000010000" w:firstRow="0" w:lastRow="0" w:firstColumn="0" w:lastColumn="0" w:oddVBand="0" w:evenVBand="0" w:oddHBand="0" w:evenHBand="1" w:firstRowFirstColumn="0" w:firstRowLastColumn="0" w:lastRowFirstColumn="0" w:lastRowLastColumn="0"/>
        </w:trPr>
        <w:tc>
          <w:tcPr>
            <w:tcW w:w="0" w:type="auto"/>
            <w:hideMark/>
          </w:tcPr>
          <w:p w14:paraId="0607892C" w14:textId="77777777" w:rsidR="00F5470E" w:rsidRDefault="00F5470E">
            <w:pPr>
              <w:pStyle w:val="NormalWeb"/>
            </w:pPr>
            <w:r>
              <w:t>8</w:t>
            </w:r>
          </w:p>
        </w:tc>
        <w:tc>
          <w:tcPr>
            <w:tcW w:w="0" w:type="auto"/>
            <w:hideMark/>
          </w:tcPr>
          <w:p w14:paraId="6A260931" w14:textId="77777777" w:rsidR="00F5470E" w:rsidRDefault="00F5470E" w:rsidP="00DD20D7">
            <w:pPr>
              <w:pStyle w:val="NormalWeb"/>
              <w:jc w:val="center"/>
            </w:pPr>
            <w:r>
              <w:t>42/M</w:t>
            </w:r>
          </w:p>
        </w:tc>
        <w:tc>
          <w:tcPr>
            <w:tcW w:w="0" w:type="auto"/>
            <w:hideMark/>
          </w:tcPr>
          <w:p w14:paraId="503B7D15" w14:textId="77777777" w:rsidR="00F5470E" w:rsidRDefault="00F5470E" w:rsidP="00DD20D7">
            <w:pPr>
              <w:pStyle w:val="NormalWeb"/>
              <w:jc w:val="center"/>
            </w:pPr>
            <w:r>
              <w:t>11/8/2017</w:t>
            </w:r>
          </w:p>
        </w:tc>
        <w:tc>
          <w:tcPr>
            <w:tcW w:w="0" w:type="auto"/>
            <w:hideMark/>
          </w:tcPr>
          <w:p w14:paraId="153A7822" w14:textId="77777777" w:rsidR="00F5470E" w:rsidRDefault="00F5470E" w:rsidP="00DD20D7">
            <w:pPr>
              <w:pStyle w:val="NormalWeb"/>
              <w:jc w:val="center"/>
            </w:pPr>
            <w:r>
              <w:t>nil</w:t>
            </w:r>
          </w:p>
        </w:tc>
        <w:tc>
          <w:tcPr>
            <w:tcW w:w="0" w:type="auto"/>
            <w:hideMark/>
          </w:tcPr>
          <w:p w14:paraId="7F1F5A3C" w14:textId="77777777" w:rsidR="00F5470E" w:rsidRDefault="00F5470E" w:rsidP="00DD20D7">
            <w:pPr>
              <w:pStyle w:val="NormalWeb"/>
              <w:jc w:val="center"/>
            </w:pPr>
            <w:r>
              <w:t>lobar, cavitation</w:t>
            </w:r>
          </w:p>
        </w:tc>
        <w:tc>
          <w:tcPr>
            <w:tcW w:w="0" w:type="auto"/>
            <w:hideMark/>
          </w:tcPr>
          <w:p w14:paraId="70D59E3D" w14:textId="77777777" w:rsidR="00F5470E" w:rsidRDefault="00F5470E" w:rsidP="00DD20D7">
            <w:pPr>
              <w:pStyle w:val="NormalWeb"/>
              <w:jc w:val="center"/>
            </w:pPr>
            <w:r>
              <w:t>yes</w:t>
            </w:r>
          </w:p>
        </w:tc>
        <w:tc>
          <w:tcPr>
            <w:tcW w:w="0" w:type="auto"/>
            <w:hideMark/>
          </w:tcPr>
          <w:p w14:paraId="4E248079" w14:textId="77777777" w:rsidR="00F5470E" w:rsidRDefault="00F5470E" w:rsidP="00DD20D7">
            <w:pPr>
              <w:pStyle w:val="NormalWeb"/>
              <w:jc w:val="center"/>
            </w:pPr>
            <w:r>
              <w:t>4.0</w:t>
            </w:r>
          </w:p>
        </w:tc>
        <w:tc>
          <w:tcPr>
            <w:tcW w:w="4252" w:type="dxa"/>
            <w:hideMark/>
          </w:tcPr>
          <w:p w14:paraId="6961749A" w14:textId="77777777" w:rsidR="00F5470E" w:rsidRDefault="00F5470E" w:rsidP="00DD20D7">
            <w:pPr>
              <w:pStyle w:val="NormalWeb"/>
              <w:jc w:val="center"/>
            </w:pPr>
            <w:r>
              <w:t>influenza A</w:t>
            </w:r>
          </w:p>
        </w:tc>
      </w:tr>
      <w:tr w:rsidR="00F5470E" w14:paraId="40006349" w14:textId="77777777" w:rsidTr="00881827">
        <w:tc>
          <w:tcPr>
            <w:tcW w:w="0" w:type="auto"/>
            <w:hideMark/>
          </w:tcPr>
          <w:p w14:paraId="0A90A68C" w14:textId="77777777" w:rsidR="00F5470E" w:rsidRDefault="00F5470E">
            <w:pPr>
              <w:pStyle w:val="NormalWeb"/>
            </w:pPr>
            <w:r>
              <w:t>9</w:t>
            </w:r>
          </w:p>
        </w:tc>
        <w:tc>
          <w:tcPr>
            <w:tcW w:w="0" w:type="auto"/>
            <w:hideMark/>
          </w:tcPr>
          <w:p w14:paraId="6A51F31E" w14:textId="77777777" w:rsidR="00F5470E" w:rsidRDefault="00F5470E" w:rsidP="00DD20D7">
            <w:pPr>
              <w:pStyle w:val="NormalWeb"/>
              <w:jc w:val="center"/>
            </w:pPr>
            <w:r>
              <w:t>58/F</w:t>
            </w:r>
          </w:p>
        </w:tc>
        <w:tc>
          <w:tcPr>
            <w:tcW w:w="0" w:type="auto"/>
            <w:hideMark/>
          </w:tcPr>
          <w:p w14:paraId="64E8B0D2" w14:textId="77777777" w:rsidR="00F5470E" w:rsidRDefault="00F5470E" w:rsidP="00DD20D7">
            <w:pPr>
              <w:pStyle w:val="NormalWeb"/>
              <w:jc w:val="center"/>
            </w:pPr>
            <w:r>
              <w:t>18/8/2017</w:t>
            </w:r>
          </w:p>
        </w:tc>
        <w:tc>
          <w:tcPr>
            <w:tcW w:w="0" w:type="auto"/>
            <w:hideMark/>
          </w:tcPr>
          <w:p w14:paraId="4DD449D8" w14:textId="77777777" w:rsidR="00F5470E" w:rsidRDefault="00F5470E" w:rsidP="00DD20D7">
            <w:pPr>
              <w:pStyle w:val="NormalWeb"/>
              <w:jc w:val="center"/>
            </w:pPr>
            <w:r>
              <w:t>COPD</w:t>
            </w:r>
          </w:p>
        </w:tc>
        <w:tc>
          <w:tcPr>
            <w:tcW w:w="0" w:type="auto"/>
            <w:hideMark/>
          </w:tcPr>
          <w:p w14:paraId="6421D056" w14:textId="77777777" w:rsidR="00F5470E" w:rsidRDefault="00F5470E" w:rsidP="00DD20D7">
            <w:pPr>
              <w:pStyle w:val="NormalWeb"/>
              <w:jc w:val="center"/>
            </w:pPr>
            <w:r>
              <w:t>bilateral</w:t>
            </w:r>
          </w:p>
        </w:tc>
        <w:tc>
          <w:tcPr>
            <w:tcW w:w="0" w:type="auto"/>
            <w:hideMark/>
          </w:tcPr>
          <w:p w14:paraId="00427087" w14:textId="77777777" w:rsidR="00F5470E" w:rsidRDefault="00F5470E" w:rsidP="00DD20D7">
            <w:pPr>
              <w:pStyle w:val="NormalWeb"/>
              <w:jc w:val="center"/>
            </w:pPr>
            <w:r>
              <w:t>yes</w:t>
            </w:r>
          </w:p>
        </w:tc>
        <w:tc>
          <w:tcPr>
            <w:tcW w:w="0" w:type="auto"/>
            <w:hideMark/>
          </w:tcPr>
          <w:p w14:paraId="0FE39322" w14:textId="77777777" w:rsidR="00F5470E" w:rsidRDefault="00F5470E" w:rsidP="00DD20D7">
            <w:pPr>
              <w:pStyle w:val="NormalWeb"/>
              <w:jc w:val="center"/>
            </w:pPr>
            <w:r>
              <w:t>1.4</w:t>
            </w:r>
          </w:p>
        </w:tc>
        <w:tc>
          <w:tcPr>
            <w:tcW w:w="4252" w:type="dxa"/>
            <w:hideMark/>
          </w:tcPr>
          <w:p w14:paraId="289039A6" w14:textId="77777777" w:rsidR="00F5470E" w:rsidRDefault="00F5470E" w:rsidP="00DD20D7">
            <w:pPr>
              <w:pStyle w:val="NormalWeb"/>
              <w:jc w:val="center"/>
            </w:pPr>
            <w:r>
              <w:t>influenza B</w:t>
            </w:r>
          </w:p>
        </w:tc>
      </w:tr>
      <w:tr w:rsidR="00F5470E" w14:paraId="4B21A4F5" w14:textId="77777777" w:rsidTr="00881827">
        <w:trPr>
          <w:cnfStyle w:val="000000010000" w:firstRow="0" w:lastRow="0" w:firstColumn="0" w:lastColumn="0" w:oddVBand="0" w:evenVBand="0" w:oddHBand="0" w:evenHBand="1" w:firstRowFirstColumn="0" w:firstRowLastColumn="0" w:lastRowFirstColumn="0" w:lastRowLastColumn="0"/>
        </w:trPr>
        <w:tc>
          <w:tcPr>
            <w:tcW w:w="0" w:type="auto"/>
            <w:hideMark/>
          </w:tcPr>
          <w:p w14:paraId="69EDCC98" w14:textId="77777777" w:rsidR="00F5470E" w:rsidRDefault="00F5470E">
            <w:pPr>
              <w:pStyle w:val="NormalWeb"/>
            </w:pPr>
            <w:r>
              <w:t>10</w:t>
            </w:r>
          </w:p>
        </w:tc>
        <w:tc>
          <w:tcPr>
            <w:tcW w:w="0" w:type="auto"/>
            <w:hideMark/>
          </w:tcPr>
          <w:p w14:paraId="62CEE4B1" w14:textId="77777777" w:rsidR="00F5470E" w:rsidRDefault="00F5470E" w:rsidP="00DD20D7">
            <w:pPr>
              <w:pStyle w:val="NormalWeb"/>
              <w:jc w:val="center"/>
            </w:pPr>
            <w:r>
              <w:t>46/M</w:t>
            </w:r>
          </w:p>
        </w:tc>
        <w:tc>
          <w:tcPr>
            <w:tcW w:w="0" w:type="auto"/>
            <w:hideMark/>
          </w:tcPr>
          <w:p w14:paraId="362855B5" w14:textId="77777777" w:rsidR="00F5470E" w:rsidRDefault="00F5470E" w:rsidP="00DD20D7">
            <w:pPr>
              <w:pStyle w:val="NormalWeb"/>
              <w:jc w:val="center"/>
            </w:pPr>
            <w:r>
              <w:t>25/8/2017</w:t>
            </w:r>
          </w:p>
        </w:tc>
        <w:tc>
          <w:tcPr>
            <w:tcW w:w="0" w:type="auto"/>
            <w:hideMark/>
          </w:tcPr>
          <w:p w14:paraId="446CE0D0" w14:textId="77777777" w:rsidR="00F5470E" w:rsidRDefault="00F5470E" w:rsidP="00DD20D7">
            <w:pPr>
              <w:pStyle w:val="NormalWeb"/>
              <w:jc w:val="center"/>
            </w:pPr>
            <w:r>
              <w:t>asthma, type 2 diabetes</w:t>
            </w:r>
          </w:p>
        </w:tc>
        <w:tc>
          <w:tcPr>
            <w:tcW w:w="0" w:type="auto"/>
            <w:hideMark/>
          </w:tcPr>
          <w:p w14:paraId="1FF96029" w14:textId="77777777" w:rsidR="00F5470E" w:rsidRDefault="00F5470E" w:rsidP="00DD20D7">
            <w:pPr>
              <w:pStyle w:val="NormalWeb"/>
              <w:jc w:val="center"/>
            </w:pPr>
            <w:r>
              <w:t>lobar</w:t>
            </w:r>
          </w:p>
        </w:tc>
        <w:tc>
          <w:tcPr>
            <w:tcW w:w="0" w:type="auto"/>
            <w:hideMark/>
          </w:tcPr>
          <w:p w14:paraId="3CEABB25" w14:textId="77777777" w:rsidR="00F5470E" w:rsidRDefault="00F5470E" w:rsidP="00DD20D7">
            <w:pPr>
              <w:pStyle w:val="NormalWeb"/>
              <w:jc w:val="center"/>
            </w:pPr>
            <w:r>
              <w:t>yes</w:t>
            </w:r>
          </w:p>
        </w:tc>
        <w:tc>
          <w:tcPr>
            <w:tcW w:w="0" w:type="auto"/>
            <w:hideMark/>
          </w:tcPr>
          <w:p w14:paraId="141A4167" w14:textId="77777777" w:rsidR="00F5470E" w:rsidRDefault="00F5470E" w:rsidP="00DD20D7">
            <w:pPr>
              <w:pStyle w:val="NormalWeb"/>
              <w:jc w:val="center"/>
            </w:pPr>
            <w:r>
              <w:t>7.2</w:t>
            </w:r>
          </w:p>
        </w:tc>
        <w:tc>
          <w:tcPr>
            <w:tcW w:w="4252" w:type="dxa"/>
            <w:hideMark/>
          </w:tcPr>
          <w:p w14:paraId="4E4BC06B" w14:textId="77777777" w:rsidR="00F5470E" w:rsidRDefault="00F5470E" w:rsidP="00DD20D7">
            <w:pPr>
              <w:pStyle w:val="NormalWeb"/>
              <w:jc w:val="center"/>
            </w:pPr>
            <w:r>
              <w:t>influenza B</w:t>
            </w:r>
          </w:p>
        </w:tc>
      </w:tr>
      <w:tr w:rsidR="00F5470E" w14:paraId="163ACDCF" w14:textId="77777777" w:rsidTr="00881827">
        <w:tc>
          <w:tcPr>
            <w:tcW w:w="0" w:type="auto"/>
            <w:hideMark/>
          </w:tcPr>
          <w:p w14:paraId="64C22DE8" w14:textId="77777777" w:rsidR="00F5470E" w:rsidRDefault="00F5470E">
            <w:pPr>
              <w:pStyle w:val="NormalWeb"/>
            </w:pPr>
            <w:r>
              <w:t>11</w:t>
            </w:r>
          </w:p>
        </w:tc>
        <w:tc>
          <w:tcPr>
            <w:tcW w:w="0" w:type="auto"/>
            <w:hideMark/>
          </w:tcPr>
          <w:p w14:paraId="0868147F" w14:textId="77777777" w:rsidR="00F5470E" w:rsidRDefault="00F5470E" w:rsidP="00DD20D7">
            <w:pPr>
              <w:pStyle w:val="NormalWeb"/>
              <w:jc w:val="center"/>
            </w:pPr>
            <w:r>
              <w:t>18/F</w:t>
            </w:r>
          </w:p>
        </w:tc>
        <w:tc>
          <w:tcPr>
            <w:tcW w:w="0" w:type="auto"/>
            <w:hideMark/>
          </w:tcPr>
          <w:p w14:paraId="1BE6FF3E" w14:textId="77777777" w:rsidR="00F5470E" w:rsidRDefault="00F5470E" w:rsidP="00DD20D7">
            <w:pPr>
              <w:pStyle w:val="NormalWeb"/>
              <w:jc w:val="center"/>
            </w:pPr>
            <w:r>
              <w:t>8/9/2017</w:t>
            </w:r>
          </w:p>
        </w:tc>
        <w:tc>
          <w:tcPr>
            <w:tcW w:w="0" w:type="auto"/>
            <w:hideMark/>
          </w:tcPr>
          <w:p w14:paraId="07DA9C5B" w14:textId="77777777" w:rsidR="00F5470E" w:rsidRDefault="00F5470E" w:rsidP="00DD20D7">
            <w:pPr>
              <w:pStyle w:val="NormalWeb"/>
              <w:jc w:val="center"/>
            </w:pPr>
            <w:r>
              <w:t>nil</w:t>
            </w:r>
          </w:p>
        </w:tc>
        <w:tc>
          <w:tcPr>
            <w:tcW w:w="0" w:type="auto"/>
            <w:hideMark/>
          </w:tcPr>
          <w:p w14:paraId="68AD16B0" w14:textId="77777777" w:rsidR="00F5470E" w:rsidRDefault="00F5470E" w:rsidP="00DD20D7">
            <w:pPr>
              <w:pStyle w:val="NormalWeb"/>
              <w:jc w:val="center"/>
            </w:pPr>
            <w:r>
              <w:t>lobar, ? empyema</w:t>
            </w:r>
          </w:p>
        </w:tc>
        <w:tc>
          <w:tcPr>
            <w:tcW w:w="0" w:type="auto"/>
            <w:hideMark/>
          </w:tcPr>
          <w:p w14:paraId="534C50A7" w14:textId="77777777" w:rsidR="00F5470E" w:rsidRDefault="00F5470E" w:rsidP="00DD20D7">
            <w:pPr>
              <w:pStyle w:val="NormalWeb"/>
              <w:jc w:val="center"/>
            </w:pPr>
            <w:r>
              <w:t>no</w:t>
            </w:r>
          </w:p>
        </w:tc>
        <w:tc>
          <w:tcPr>
            <w:tcW w:w="0" w:type="auto"/>
            <w:hideMark/>
          </w:tcPr>
          <w:p w14:paraId="31BEF408" w14:textId="77777777" w:rsidR="00F5470E" w:rsidRDefault="00F5470E" w:rsidP="00DD20D7">
            <w:pPr>
              <w:pStyle w:val="NormalWeb"/>
              <w:jc w:val="center"/>
            </w:pPr>
            <w:r>
              <w:t>101.9</w:t>
            </w:r>
          </w:p>
        </w:tc>
        <w:tc>
          <w:tcPr>
            <w:tcW w:w="4252" w:type="dxa"/>
            <w:hideMark/>
          </w:tcPr>
          <w:p w14:paraId="05A496D3" w14:textId="77777777" w:rsidR="00F5470E" w:rsidRDefault="00F5470E" w:rsidP="00DD20D7">
            <w:pPr>
              <w:pStyle w:val="NormalWeb"/>
              <w:jc w:val="center"/>
            </w:pPr>
            <w:r>
              <w:t>negative</w:t>
            </w:r>
          </w:p>
        </w:tc>
      </w:tr>
      <w:tr w:rsidR="00F5470E" w14:paraId="7FF6CA0C" w14:textId="77777777" w:rsidTr="00881827">
        <w:trPr>
          <w:cnfStyle w:val="000000010000" w:firstRow="0" w:lastRow="0" w:firstColumn="0" w:lastColumn="0" w:oddVBand="0" w:evenVBand="0" w:oddHBand="0" w:evenHBand="1" w:firstRowFirstColumn="0" w:firstRowLastColumn="0" w:lastRowFirstColumn="0" w:lastRowLastColumn="0"/>
        </w:trPr>
        <w:tc>
          <w:tcPr>
            <w:tcW w:w="0" w:type="auto"/>
            <w:hideMark/>
          </w:tcPr>
          <w:p w14:paraId="68F637AB" w14:textId="77777777" w:rsidR="00F5470E" w:rsidRDefault="00F5470E">
            <w:pPr>
              <w:pStyle w:val="NormalWeb"/>
            </w:pPr>
            <w:r>
              <w:t>12</w:t>
            </w:r>
          </w:p>
        </w:tc>
        <w:tc>
          <w:tcPr>
            <w:tcW w:w="0" w:type="auto"/>
            <w:hideMark/>
          </w:tcPr>
          <w:p w14:paraId="48C2812C" w14:textId="77777777" w:rsidR="00F5470E" w:rsidRDefault="00F5470E" w:rsidP="00DD20D7">
            <w:pPr>
              <w:pStyle w:val="NormalWeb"/>
              <w:jc w:val="center"/>
            </w:pPr>
            <w:r>
              <w:t>58/M</w:t>
            </w:r>
          </w:p>
        </w:tc>
        <w:tc>
          <w:tcPr>
            <w:tcW w:w="0" w:type="auto"/>
            <w:hideMark/>
          </w:tcPr>
          <w:p w14:paraId="68E25DF5" w14:textId="77777777" w:rsidR="00F5470E" w:rsidRDefault="00F5470E" w:rsidP="00DD20D7">
            <w:pPr>
              <w:pStyle w:val="NormalWeb"/>
              <w:jc w:val="center"/>
            </w:pPr>
            <w:r>
              <w:t>22/9/2017</w:t>
            </w:r>
          </w:p>
        </w:tc>
        <w:tc>
          <w:tcPr>
            <w:tcW w:w="0" w:type="auto"/>
            <w:hideMark/>
          </w:tcPr>
          <w:p w14:paraId="4F3B6C33" w14:textId="77777777" w:rsidR="00F5470E" w:rsidRDefault="00F5470E" w:rsidP="00DD20D7">
            <w:pPr>
              <w:pStyle w:val="NormalWeb"/>
              <w:jc w:val="center"/>
            </w:pPr>
            <w:r>
              <w:t>nil</w:t>
            </w:r>
          </w:p>
        </w:tc>
        <w:tc>
          <w:tcPr>
            <w:tcW w:w="0" w:type="auto"/>
            <w:hideMark/>
          </w:tcPr>
          <w:p w14:paraId="35B2C575" w14:textId="77777777" w:rsidR="00F5470E" w:rsidRDefault="00F5470E" w:rsidP="00DD20D7">
            <w:pPr>
              <w:pStyle w:val="NormalWeb"/>
              <w:jc w:val="center"/>
            </w:pPr>
            <w:r>
              <w:t>lobar</w:t>
            </w:r>
          </w:p>
        </w:tc>
        <w:tc>
          <w:tcPr>
            <w:tcW w:w="0" w:type="auto"/>
            <w:hideMark/>
          </w:tcPr>
          <w:p w14:paraId="264DE6AF" w14:textId="77777777" w:rsidR="00F5470E" w:rsidRDefault="00F5470E" w:rsidP="00DD20D7">
            <w:pPr>
              <w:pStyle w:val="NormalWeb"/>
              <w:jc w:val="center"/>
            </w:pPr>
            <w:r>
              <w:t>no</w:t>
            </w:r>
          </w:p>
        </w:tc>
        <w:tc>
          <w:tcPr>
            <w:tcW w:w="0" w:type="auto"/>
            <w:hideMark/>
          </w:tcPr>
          <w:p w14:paraId="15977E80" w14:textId="77777777" w:rsidR="00F5470E" w:rsidRDefault="00F5470E" w:rsidP="00DD20D7">
            <w:pPr>
              <w:pStyle w:val="NormalWeb"/>
              <w:jc w:val="center"/>
            </w:pPr>
            <w:r>
              <w:t>2.3</w:t>
            </w:r>
          </w:p>
        </w:tc>
        <w:tc>
          <w:tcPr>
            <w:tcW w:w="4252" w:type="dxa"/>
            <w:hideMark/>
          </w:tcPr>
          <w:p w14:paraId="6FDCAD71" w14:textId="77777777" w:rsidR="00F5470E" w:rsidRDefault="00F5470E" w:rsidP="00DD20D7">
            <w:pPr>
              <w:pStyle w:val="NormalWeb"/>
              <w:jc w:val="center"/>
            </w:pPr>
            <w:r>
              <w:t>metapneumovirus</w:t>
            </w:r>
          </w:p>
        </w:tc>
      </w:tr>
      <w:tr w:rsidR="00F5470E" w14:paraId="3D701621" w14:textId="77777777" w:rsidTr="00881827">
        <w:tc>
          <w:tcPr>
            <w:tcW w:w="0" w:type="auto"/>
            <w:hideMark/>
          </w:tcPr>
          <w:p w14:paraId="39B23442" w14:textId="77777777" w:rsidR="00F5470E" w:rsidRDefault="00F5470E">
            <w:pPr>
              <w:pStyle w:val="NormalWeb"/>
            </w:pPr>
            <w:r>
              <w:t>13</w:t>
            </w:r>
          </w:p>
        </w:tc>
        <w:tc>
          <w:tcPr>
            <w:tcW w:w="0" w:type="auto"/>
            <w:hideMark/>
          </w:tcPr>
          <w:p w14:paraId="048B923C" w14:textId="77777777" w:rsidR="00F5470E" w:rsidRDefault="00F5470E" w:rsidP="00DD20D7">
            <w:pPr>
              <w:pStyle w:val="NormalWeb"/>
              <w:jc w:val="center"/>
            </w:pPr>
            <w:r>
              <w:t>44/M</w:t>
            </w:r>
          </w:p>
        </w:tc>
        <w:tc>
          <w:tcPr>
            <w:tcW w:w="0" w:type="auto"/>
            <w:hideMark/>
          </w:tcPr>
          <w:p w14:paraId="7975BB7F" w14:textId="77777777" w:rsidR="00F5470E" w:rsidRDefault="00F5470E" w:rsidP="00DD20D7">
            <w:pPr>
              <w:pStyle w:val="NormalWeb"/>
              <w:jc w:val="center"/>
            </w:pPr>
            <w:r>
              <w:t>24/3/2018</w:t>
            </w:r>
          </w:p>
        </w:tc>
        <w:tc>
          <w:tcPr>
            <w:tcW w:w="0" w:type="auto"/>
            <w:hideMark/>
          </w:tcPr>
          <w:p w14:paraId="34A6DDB7" w14:textId="77777777" w:rsidR="00F5470E" w:rsidRDefault="00F5470E" w:rsidP="00DD20D7">
            <w:pPr>
              <w:pStyle w:val="NormalWeb"/>
              <w:jc w:val="center"/>
            </w:pPr>
            <w:r>
              <w:t>nil</w:t>
            </w:r>
          </w:p>
        </w:tc>
        <w:tc>
          <w:tcPr>
            <w:tcW w:w="0" w:type="auto"/>
            <w:hideMark/>
          </w:tcPr>
          <w:p w14:paraId="00948296" w14:textId="77777777" w:rsidR="00F5470E" w:rsidRDefault="00F5470E" w:rsidP="00DD20D7">
            <w:pPr>
              <w:pStyle w:val="NormalWeb"/>
              <w:jc w:val="center"/>
            </w:pPr>
            <w:r>
              <w:t>lobar</w:t>
            </w:r>
          </w:p>
        </w:tc>
        <w:tc>
          <w:tcPr>
            <w:tcW w:w="0" w:type="auto"/>
            <w:hideMark/>
          </w:tcPr>
          <w:p w14:paraId="5C626472" w14:textId="77777777" w:rsidR="00F5470E" w:rsidRDefault="00F5470E" w:rsidP="00DD20D7">
            <w:pPr>
              <w:pStyle w:val="NormalWeb"/>
              <w:jc w:val="center"/>
            </w:pPr>
            <w:r>
              <w:t>no</w:t>
            </w:r>
          </w:p>
        </w:tc>
        <w:tc>
          <w:tcPr>
            <w:tcW w:w="0" w:type="auto"/>
            <w:hideMark/>
          </w:tcPr>
          <w:p w14:paraId="45B44CD8" w14:textId="77777777" w:rsidR="00F5470E" w:rsidRDefault="00F5470E" w:rsidP="00DD20D7">
            <w:pPr>
              <w:pStyle w:val="NormalWeb"/>
              <w:jc w:val="center"/>
            </w:pPr>
            <w:r>
              <w:t>16.2</w:t>
            </w:r>
          </w:p>
        </w:tc>
        <w:tc>
          <w:tcPr>
            <w:tcW w:w="4252" w:type="dxa"/>
            <w:hideMark/>
          </w:tcPr>
          <w:p w14:paraId="30F4E132" w14:textId="77777777" w:rsidR="00F5470E" w:rsidRDefault="00F5470E" w:rsidP="00DD20D7">
            <w:pPr>
              <w:pStyle w:val="NormalWeb"/>
              <w:jc w:val="center"/>
            </w:pPr>
            <w:r>
              <w:t>negative</w:t>
            </w:r>
          </w:p>
        </w:tc>
      </w:tr>
    </w:tbl>
    <w:p w14:paraId="100DB719" w14:textId="77777777" w:rsidR="00F5470E" w:rsidRDefault="00F5470E" w:rsidP="00C46FD5">
      <w:pPr>
        <w:pStyle w:val="CDIfootnotes"/>
      </w:pPr>
      <w:r>
        <w:t>a</w:t>
      </w:r>
      <w:r>
        <w:tab/>
        <w:t>Chest x-ray.</w:t>
      </w:r>
    </w:p>
    <w:p w14:paraId="7935FC04" w14:textId="77777777" w:rsidR="00F5470E" w:rsidRDefault="00F5470E" w:rsidP="00C46FD5">
      <w:pPr>
        <w:pStyle w:val="CDIfootnotes"/>
      </w:pPr>
      <w:r>
        <w:t>b</w:t>
      </w:r>
      <w:r>
        <w:tab/>
        <w:t>Acute kidney injury.</w:t>
      </w:r>
    </w:p>
    <w:p w14:paraId="27121FAA" w14:textId="77777777" w:rsidR="00F5470E" w:rsidRDefault="00F5470E" w:rsidP="00C46FD5">
      <w:pPr>
        <w:pStyle w:val="CDIfootnotes"/>
      </w:pPr>
      <w:r>
        <w:t>c</w:t>
      </w:r>
      <w:r>
        <w:tab/>
      </w:r>
      <w:proofErr w:type="spellStart"/>
      <w:r>
        <w:t>Wbc</w:t>
      </w:r>
      <w:proofErr w:type="spellEnd"/>
      <w:r>
        <w:t xml:space="preserve"> = white blood count.</w:t>
      </w:r>
    </w:p>
    <w:p w14:paraId="7D557A1F" w14:textId="77777777" w:rsidR="00F5470E" w:rsidRDefault="00F5470E" w:rsidP="00C46FD5">
      <w:pPr>
        <w:pStyle w:val="CDIfootnotes"/>
      </w:pPr>
      <w:r>
        <w:t>d</w:t>
      </w:r>
      <w:r>
        <w:tab/>
        <w:t>Polymerase chain reaction.</w:t>
      </w:r>
    </w:p>
    <w:p w14:paraId="533AEE66" w14:textId="77777777" w:rsidR="002356A2" w:rsidRDefault="00F5470E" w:rsidP="00C46FD5">
      <w:pPr>
        <w:pStyle w:val="CDIfootnotes"/>
        <w:sectPr w:rsidR="002356A2" w:rsidSect="002356A2">
          <w:pgSz w:w="16838" w:h="11906" w:orient="landscape"/>
          <w:pgMar w:top="720" w:right="720" w:bottom="720" w:left="1134" w:header="709" w:footer="284" w:gutter="0"/>
          <w:cols w:space="708"/>
          <w:titlePg/>
          <w:docGrid w:linePitch="360"/>
        </w:sectPr>
      </w:pPr>
      <w:r>
        <w:t>e</w:t>
      </w:r>
      <w:r>
        <w:tab/>
        <w:t>Respiratory syncytial virus.</w:t>
      </w:r>
    </w:p>
    <w:p w14:paraId="16D891B4" w14:textId="77777777" w:rsidR="00F5470E" w:rsidRDefault="00F5470E" w:rsidP="00C46FD5">
      <w:pPr>
        <w:pStyle w:val="CDIfootnotes"/>
      </w:pPr>
    </w:p>
    <w:p w14:paraId="0D5A6748" w14:textId="77777777" w:rsidR="00F5470E" w:rsidRPr="00C46FD5" w:rsidRDefault="00F5470E" w:rsidP="00C46FD5">
      <w:pPr>
        <w:pStyle w:val="Heading2"/>
      </w:pPr>
      <w:r w:rsidRPr="00C46FD5">
        <w:t xml:space="preserve">Clinical course </w:t>
      </w:r>
    </w:p>
    <w:p w14:paraId="6038F42B" w14:textId="77777777" w:rsidR="00F5470E" w:rsidRDefault="00F5470E" w:rsidP="00C46FD5">
      <w:r w:rsidRPr="002A1E41">
        <w:rPr>
          <w:rStyle w:val="Emphasis"/>
          <w:b w:val="0"/>
        </w:rPr>
        <w:t xml:space="preserve">S. pyogenes </w:t>
      </w:r>
      <w:r>
        <w:t xml:space="preserve">pneumonia was typically severe, with 12 of 13 (92%) patients admitted to ICU and the mortality rate 17% (2 of 12) when the outcome was known (one patient was transferred to a hospital outside the area without follow-up data). The two fatal cases died within 24 hours of presentation. Mechanical ventilation was required for 67% of patients (8 of 12), inotropic support for 67% (8 of 12) and haemodialysis for 33% (4 of 12). Surgery was undertaken in </w:t>
      </w:r>
      <w:r w:rsidR="00762FC4">
        <w:t>three</w:t>
      </w:r>
      <w:r>
        <w:t xml:space="preserve"> patients, thoracotomy and decortication of empyema in </w:t>
      </w:r>
      <w:r w:rsidR="00762FC4">
        <w:t>two</w:t>
      </w:r>
      <w:r>
        <w:t xml:space="preserve"> and below knee amputation in one. The mean length of stay for survivors was 28.2 days (range 5–116 days). </w:t>
      </w:r>
    </w:p>
    <w:p w14:paraId="03FC0C9C" w14:textId="77777777" w:rsidR="00F5470E" w:rsidRPr="00C46FD5" w:rsidRDefault="00F5470E" w:rsidP="00C46FD5">
      <w:pPr>
        <w:pStyle w:val="Heading2"/>
      </w:pPr>
      <w:r w:rsidRPr="00C46FD5">
        <w:t xml:space="preserve">Microbiology </w:t>
      </w:r>
    </w:p>
    <w:p w14:paraId="777C813A" w14:textId="77777777" w:rsidR="00F5470E" w:rsidRDefault="00F5470E" w:rsidP="00C46FD5">
      <w:r>
        <w:t xml:space="preserve">The streptococcal </w:t>
      </w:r>
      <w:proofErr w:type="spellStart"/>
      <w:r>
        <w:t>etiology</w:t>
      </w:r>
      <w:proofErr w:type="spellEnd"/>
      <w:r>
        <w:t xml:space="preserve"> for the S. </w:t>
      </w:r>
      <w:r w:rsidRPr="002A1E41">
        <w:rPr>
          <w:rStyle w:val="Emphasis"/>
          <w:b w:val="0"/>
        </w:rPr>
        <w:t>pyogenes</w:t>
      </w:r>
      <w:r>
        <w:t xml:space="preserve"> CAP was defined by positive blood cultures in 85% (11 of 13) of patients. Of the 2 patients with negative blood cultures, one had a positive pleural fluid culture for </w:t>
      </w:r>
      <w:r w:rsidRPr="002A1E41">
        <w:rPr>
          <w:rStyle w:val="Emphasis"/>
          <w:b w:val="0"/>
        </w:rPr>
        <w:t xml:space="preserve">S. pyogenes </w:t>
      </w:r>
      <w:r>
        <w:t xml:space="preserve">and the other had Gram positive cocci seen on pleural fluid Gram stain with negative culture but positive 16S rRNA for </w:t>
      </w:r>
      <w:r w:rsidRPr="002A1E41">
        <w:rPr>
          <w:rStyle w:val="Emphasis"/>
          <w:b w:val="0"/>
        </w:rPr>
        <w:t xml:space="preserve">S. pyogenes </w:t>
      </w:r>
      <w:r>
        <w:t>(Table 6).</w:t>
      </w:r>
    </w:p>
    <w:p w14:paraId="7E7695FD" w14:textId="77777777" w:rsidR="00F5470E" w:rsidRDefault="00F5470E" w:rsidP="00C46FD5">
      <w:pPr>
        <w:pStyle w:val="CDIFigures"/>
      </w:pPr>
      <w:r>
        <w:t xml:space="preserve">Table 6: S. </w:t>
      </w:r>
      <w:r w:rsidRPr="009B03F6">
        <w:rPr>
          <w:i/>
        </w:rPr>
        <w:t>pyogenes</w:t>
      </w:r>
      <w:r>
        <w:t xml:space="preserve"> pneumonia: clinical course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6 describes the clinical course of the study patients with S. pyogenes pneumonia, with key outcomes including ICU admission, the need for surgery and mortality.&#10;"/>
      </w:tblPr>
      <w:tblGrid>
        <w:gridCol w:w="851"/>
        <w:gridCol w:w="709"/>
        <w:gridCol w:w="1417"/>
        <w:gridCol w:w="1276"/>
        <w:gridCol w:w="2410"/>
        <w:gridCol w:w="2697"/>
        <w:gridCol w:w="1080"/>
      </w:tblGrid>
      <w:tr w:rsidR="00540161" w:rsidRPr="00100D4A" w14:paraId="4D8FDDA0" w14:textId="77777777" w:rsidTr="0017432F">
        <w:trPr>
          <w:cnfStyle w:val="100000000000" w:firstRow="1" w:lastRow="0" w:firstColumn="0" w:lastColumn="0" w:oddVBand="0" w:evenVBand="0" w:oddHBand="0" w:evenHBand="0" w:firstRowFirstColumn="0" w:firstRowLastColumn="0" w:lastRowFirstColumn="0" w:lastRowLastColumn="0"/>
          <w:tblHeader/>
        </w:trPr>
        <w:tc>
          <w:tcPr>
            <w:tcW w:w="851" w:type="dxa"/>
            <w:tcBorders>
              <w:right w:val="single" w:sz="2" w:space="0" w:color="FFFFFF" w:themeColor="background1"/>
            </w:tcBorders>
            <w:hideMark/>
          </w:tcPr>
          <w:p w14:paraId="2664F7EF" w14:textId="77777777" w:rsidR="00540161" w:rsidRPr="00100D4A" w:rsidRDefault="00540161">
            <w:pPr>
              <w:pStyle w:val="NormalWeb"/>
              <w:rPr>
                <w:b w:val="0"/>
                <w:color w:val="FFFFFF" w:themeColor="background1"/>
              </w:rPr>
            </w:pPr>
            <w:r w:rsidRPr="00100D4A">
              <w:rPr>
                <w:color w:val="FFFFFF" w:themeColor="background1"/>
              </w:rPr>
              <w:t>Case</w:t>
            </w:r>
          </w:p>
        </w:tc>
        <w:tc>
          <w:tcPr>
            <w:tcW w:w="709" w:type="dxa"/>
            <w:tcBorders>
              <w:right w:val="single" w:sz="2" w:space="0" w:color="FFFFFF" w:themeColor="background1"/>
            </w:tcBorders>
          </w:tcPr>
          <w:p w14:paraId="0A884A65" w14:textId="77777777" w:rsidR="00540161" w:rsidRPr="00100D4A" w:rsidRDefault="00540161" w:rsidP="00345581">
            <w:pPr>
              <w:pStyle w:val="NormalWeb"/>
              <w:jc w:val="center"/>
              <w:rPr>
                <w:color w:val="FFFFFF" w:themeColor="background1"/>
              </w:rPr>
            </w:pPr>
            <w:proofErr w:type="spellStart"/>
            <w:r w:rsidRPr="00100D4A">
              <w:rPr>
                <w:color w:val="FFFFFF" w:themeColor="background1"/>
              </w:rPr>
              <w:t>ICU</w:t>
            </w:r>
            <w:r w:rsidRPr="002828E3">
              <w:rPr>
                <w:color w:val="FFFFFF" w:themeColor="background1"/>
                <w:vertAlign w:val="superscript"/>
              </w:rPr>
              <w:t>a</w:t>
            </w:r>
            <w:proofErr w:type="spellEnd"/>
          </w:p>
        </w:tc>
        <w:tc>
          <w:tcPr>
            <w:tcW w:w="1417" w:type="dxa"/>
            <w:tcBorders>
              <w:left w:val="single" w:sz="2" w:space="0" w:color="FFFFFF" w:themeColor="background1"/>
              <w:right w:val="single" w:sz="2" w:space="0" w:color="FFFFFF" w:themeColor="background1"/>
            </w:tcBorders>
            <w:hideMark/>
          </w:tcPr>
          <w:p w14:paraId="299AAB82" w14:textId="77777777" w:rsidR="00540161" w:rsidRPr="00100D4A" w:rsidRDefault="00540161" w:rsidP="00345581">
            <w:pPr>
              <w:pStyle w:val="NormalWeb"/>
              <w:jc w:val="center"/>
              <w:rPr>
                <w:color w:val="FFFFFF" w:themeColor="background1"/>
              </w:rPr>
            </w:pPr>
            <w:r w:rsidRPr="00540161">
              <w:rPr>
                <w:color w:val="FFFFFF" w:themeColor="background1"/>
              </w:rPr>
              <w:t>Ventilation</w:t>
            </w:r>
          </w:p>
        </w:tc>
        <w:tc>
          <w:tcPr>
            <w:tcW w:w="1276" w:type="dxa"/>
            <w:tcBorders>
              <w:left w:val="single" w:sz="2" w:space="0" w:color="FFFFFF" w:themeColor="background1"/>
              <w:right w:val="single" w:sz="2" w:space="0" w:color="FFFFFF" w:themeColor="background1"/>
            </w:tcBorders>
            <w:hideMark/>
          </w:tcPr>
          <w:p w14:paraId="2DB25127" w14:textId="77777777" w:rsidR="00540161" w:rsidRPr="00100D4A" w:rsidRDefault="00540161" w:rsidP="00345581">
            <w:pPr>
              <w:pStyle w:val="NormalWeb"/>
              <w:jc w:val="center"/>
              <w:rPr>
                <w:color w:val="FFFFFF" w:themeColor="background1"/>
              </w:rPr>
            </w:pPr>
            <w:r w:rsidRPr="00100D4A">
              <w:rPr>
                <w:color w:val="FFFFFF" w:themeColor="background1"/>
              </w:rPr>
              <w:t>Inotropes</w:t>
            </w:r>
          </w:p>
        </w:tc>
        <w:tc>
          <w:tcPr>
            <w:tcW w:w="2410" w:type="dxa"/>
            <w:tcBorders>
              <w:left w:val="single" w:sz="2" w:space="0" w:color="FFFFFF" w:themeColor="background1"/>
              <w:right w:val="single" w:sz="2" w:space="0" w:color="FFFFFF" w:themeColor="background1"/>
            </w:tcBorders>
            <w:hideMark/>
          </w:tcPr>
          <w:p w14:paraId="2CDFFE1D" w14:textId="77777777" w:rsidR="00540161" w:rsidRPr="00100D4A" w:rsidRDefault="00540161" w:rsidP="00345581">
            <w:pPr>
              <w:pStyle w:val="NormalWeb"/>
              <w:jc w:val="center"/>
              <w:rPr>
                <w:color w:val="FFFFFF" w:themeColor="background1"/>
              </w:rPr>
            </w:pPr>
            <w:r w:rsidRPr="00100D4A">
              <w:rPr>
                <w:color w:val="FFFFFF" w:themeColor="background1"/>
              </w:rPr>
              <w:t>Positive cultures</w:t>
            </w:r>
          </w:p>
        </w:tc>
        <w:tc>
          <w:tcPr>
            <w:tcW w:w="2697" w:type="dxa"/>
            <w:tcBorders>
              <w:left w:val="single" w:sz="2" w:space="0" w:color="FFFFFF" w:themeColor="background1"/>
              <w:right w:val="single" w:sz="2" w:space="0" w:color="FFFFFF" w:themeColor="background1"/>
            </w:tcBorders>
            <w:hideMark/>
          </w:tcPr>
          <w:p w14:paraId="28247A2D" w14:textId="77777777" w:rsidR="00540161" w:rsidRPr="00100D4A" w:rsidRDefault="00540161" w:rsidP="00345581">
            <w:pPr>
              <w:pStyle w:val="NormalWeb"/>
              <w:jc w:val="center"/>
              <w:rPr>
                <w:color w:val="FFFFFF" w:themeColor="background1"/>
              </w:rPr>
            </w:pPr>
            <w:r w:rsidRPr="00100D4A">
              <w:rPr>
                <w:color w:val="FFFFFF" w:themeColor="background1"/>
              </w:rPr>
              <w:t>Surgery</w:t>
            </w:r>
          </w:p>
        </w:tc>
        <w:tc>
          <w:tcPr>
            <w:tcW w:w="1080" w:type="dxa"/>
            <w:tcBorders>
              <w:left w:val="single" w:sz="2" w:space="0" w:color="FFFFFF" w:themeColor="background1"/>
            </w:tcBorders>
            <w:hideMark/>
          </w:tcPr>
          <w:p w14:paraId="1A6FC972" w14:textId="77777777" w:rsidR="00540161" w:rsidRPr="00100D4A" w:rsidRDefault="00540161" w:rsidP="00345581">
            <w:pPr>
              <w:pStyle w:val="NormalWeb"/>
              <w:jc w:val="center"/>
              <w:rPr>
                <w:color w:val="FFFFFF" w:themeColor="background1"/>
              </w:rPr>
            </w:pPr>
            <w:r w:rsidRPr="00100D4A">
              <w:rPr>
                <w:color w:val="FFFFFF" w:themeColor="background1"/>
              </w:rPr>
              <w:t>Mortality</w:t>
            </w:r>
          </w:p>
        </w:tc>
      </w:tr>
      <w:tr w:rsidR="00557C81" w14:paraId="44F0B0F8" w14:textId="77777777" w:rsidTr="00086E90">
        <w:tc>
          <w:tcPr>
            <w:tcW w:w="851" w:type="dxa"/>
            <w:tcBorders>
              <w:right w:val="single" w:sz="2" w:space="0" w:color="auto"/>
            </w:tcBorders>
            <w:hideMark/>
          </w:tcPr>
          <w:p w14:paraId="23361A58" w14:textId="77777777" w:rsidR="00557C81" w:rsidRDefault="00557C81" w:rsidP="008136A3">
            <w:pPr>
              <w:pStyle w:val="NormalWeb"/>
              <w:jc w:val="center"/>
            </w:pPr>
            <w:r>
              <w:t>1</w:t>
            </w:r>
          </w:p>
        </w:tc>
        <w:tc>
          <w:tcPr>
            <w:tcW w:w="709" w:type="dxa"/>
            <w:tcBorders>
              <w:left w:val="single" w:sz="2" w:space="0" w:color="auto"/>
              <w:right w:val="single" w:sz="2" w:space="0" w:color="auto"/>
            </w:tcBorders>
            <w:hideMark/>
          </w:tcPr>
          <w:p w14:paraId="6D9D65ED"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4A5C2BA2" w14:textId="77777777" w:rsidR="00557C81" w:rsidRDefault="00557C81" w:rsidP="00345581">
            <w:pPr>
              <w:pStyle w:val="NormalWeb"/>
              <w:jc w:val="center"/>
            </w:pPr>
            <w:r>
              <w:t>unknown</w:t>
            </w:r>
          </w:p>
        </w:tc>
        <w:tc>
          <w:tcPr>
            <w:tcW w:w="1276" w:type="dxa"/>
            <w:tcBorders>
              <w:left w:val="single" w:sz="2" w:space="0" w:color="auto"/>
              <w:right w:val="single" w:sz="2" w:space="0" w:color="auto"/>
            </w:tcBorders>
            <w:hideMark/>
          </w:tcPr>
          <w:p w14:paraId="4D02CD7A" w14:textId="77777777" w:rsidR="00557C81" w:rsidRDefault="00557C81" w:rsidP="00345581">
            <w:pPr>
              <w:pStyle w:val="NormalWeb"/>
              <w:jc w:val="center"/>
            </w:pPr>
            <w:r>
              <w:t>unknown</w:t>
            </w:r>
          </w:p>
        </w:tc>
        <w:tc>
          <w:tcPr>
            <w:tcW w:w="2410" w:type="dxa"/>
            <w:tcBorders>
              <w:left w:val="single" w:sz="2" w:space="0" w:color="auto"/>
              <w:right w:val="single" w:sz="2" w:space="0" w:color="auto"/>
            </w:tcBorders>
            <w:hideMark/>
          </w:tcPr>
          <w:p w14:paraId="7F91A32C" w14:textId="77777777" w:rsidR="00557C81" w:rsidRDefault="00557C81" w:rsidP="00345581">
            <w:pPr>
              <w:jc w:val="center"/>
            </w:pPr>
            <w:r>
              <w:t>blood</w:t>
            </w:r>
          </w:p>
        </w:tc>
        <w:tc>
          <w:tcPr>
            <w:tcW w:w="2697" w:type="dxa"/>
            <w:tcBorders>
              <w:left w:val="single" w:sz="2" w:space="0" w:color="auto"/>
            </w:tcBorders>
            <w:hideMark/>
          </w:tcPr>
          <w:p w14:paraId="112DD7BB" w14:textId="77777777" w:rsidR="00557C81" w:rsidRPr="00100D4A" w:rsidRDefault="00557C81" w:rsidP="00345581">
            <w:pPr>
              <w:pStyle w:val="NormalWeb"/>
              <w:jc w:val="center"/>
              <w:rPr>
                <w:sz w:val="24"/>
                <w:szCs w:val="24"/>
              </w:rPr>
            </w:pPr>
          </w:p>
        </w:tc>
        <w:tc>
          <w:tcPr>
            <w:tcW w:w="1080" w:type="dxa"/>
            <w:tcBorders>
              <w:left w:val="single" w:sz="2" w:space="0" w:color="auto"/>
            </w:tcBorders>
          </w:tcPr>
          <w:p w14:paraId="26B9E771" w14:textId="77777777" w:rsidR="00557C81" w:rsidRPr="00100D4A" w:rsidRDefault="00557C81" w:rsidP="00345581">
            <w:pPr>
              <w:pStyle w:val="NormalWeb"/>
              <w:jc w:val="center"/>
            </w:pPr>
            <w:r w:rsidRPr="00100D4A">
              <w:t>No</w:t>
            </w:r>
          </w:p>
        </w:tc>
      </w:tr>
      <w:tr w:rsidR="00557C81" w14:paraId="515144B3" w14:textId="77777777" w:rsidTr="00086E90">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60C1E88B" w14:textId="77777777" w:rsidR="00557C81" w:rsidRDefault="00557C81" w:rsidP="008136A3">
            <w:pPr>
              <w:pStyle w:val="NormalWeb"/>
              <w:jc w:val="center"/>
            </w:pPr>
            <w:r>
              <w:t>2</w:t>
            </w:r>
          </w:p>
        </w:tc>
        <w:tc>
          <w:tcPr>
            <w:tcW w:w="709" w:type="dxa"/>
            <w:tcBorders>
              <w:left w:val="single" w:sz="2" w:space="0" w:color="auto"/>
              <w:right w:val="single" w:sz="2" w:space="0" w:color="auto"/>
            </w:tcBorders>
            <w:hideMark/>
          </w:tcPr>
          <w:p w14:paraId="0A02FD28"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2FB6A726" w14:textId="77777777" w:rsidR="00557C81" w:rsidRDefault="00557C81" w:rsidP="00345581">
            <w:pPr>
              <w:pStyle w:val="NormalWeb"/>
              <w:jc w:val="center"/>
            </w:pPr>
            <w:r>
              <w:t>yes</w:t>
            </w:r>
          </w:p>
        </w:tc>
        <w:tc>
          <w:tcPr>
            <w:tcW w:w="1276" w:type="dxa"/>
            <w:tcBorders>
              <w:left w:val="single" w:sz="2" w:space="0" w:color="auto"/>
              <w:right w:val="single" w:sz="2" w:space="0" w:color="auto"/>
            </w:tcBorders>
            <w:hideMark/>
          </w:tcPr>
          <w:p w14:paraId="0D371873" w14:textId="77777777" w:rsidR="00557C81" w:rsidRDefault="00557C81" w:rsidP="00345581">
            <w:pPr>
              <w:pStyle w:val="NormalWeb"/>
              <w:jc w:val="center"/>
            </w:pPr>
            <w:r>
              <w:t>yes</w:t>
            </w:r>
          </w:p>
        </w:tc>
        <w:tc>
          <w:tcPr>
            <w:tcW w:w="2410" w:type="dxa"/>
            <w:tcBorders>
              <w:left w:val="single" w:sz="2" w:space="0" w:color="auto"/>
              <w:right w:val="single" w:sz="2" w:space="0" w:color="auto"/>
            </w:tcBorders>
            <w:hideMark/>
          </w:tcPr>
          <w:p w14:paraId="15B1BDBC" w14:textId="77777777" w:rsidR="00557C81" w:rsidRDefault="00557C81" w:rsidP="00345581">
            <w:pPr>
              <w:jc w:val="center"/>
            </w:pPr>
            <w:r>
              <w:t>blood</w:t>
            </w:r>
          </w:p>
        </w:tc>
        <w:tc>
          <w:tcPr>
            <w:tcW w:w="2697" w:type="dxa"/>
            <w:tcBorders>
              <w:left w:val="single" w:sz="2" w:space="0" w:color="auto"/>
            </w:tcBorders>
            <w:hideMark/>
          </w:tcPr>
          <w:p w14:paraId="5EC8937C" w14:textId="77777777" w:rsidR="00557C81" w:rsidRDefault="00557C81" w:rsidP="00345581">
            <w:pPr>
              <w:pStyle w:val="NormalWeb"/>
              <w:jc w:val="center"/>
              <w:rPr>
                <w:sz w:val="24"/>
                <w:szCs w:val="24"/>
              </w:rPr>
            </w:pPr>
          </w:p>
        </w:tc>
        <w:tc>
          <w:tcPr>
            <w:tcW w:w="1080" w:type="dxa"/>
            <w:tcBorders>
              <w:left w:val="single" w:sz="2" w:space="0" w:color="auto"/>
            </w:tcBorders>
          </w:tcPr>
          <w:p w14:paraId="4FCEF31B" w14:textId="77777777" w:rsidR="00557C81" w:rsidRPr="00100D4A" w:rsidRDefault="00557C81" w:rsidP="00345581">
            <w:pPr>
              <w:pStyle w:val="NormalWeb"/>
              <w:jc w:val="center"/>
            </w:pPr>
            <w:r w:rsidRPr="00100D4A">
              <w:t>No</w:t>
            </w:r>
          </w:p>
        </w:tc>
      </w:tr>
      <w:tr w:rsidR="00557C81" w14:paraId="4296E54B" w14:textId="77777777" w:rsidTr="00086E90">
        <w:tc>
          <w:tcPr>
            <w:tcW w:w="851" w:type="dxa"/>
            <w:tcBorders>
              <w:right w:val="single" w:sz="2" w:space="0" w:color="auto"/>
            </w:tcBorders>
            <w:hideMark/>
          </w:tcPr>
          <w:p w14:paraId="35C56477" w14:textId="77777777" w:rsidR="00557C81" w:rsidRDefault="00557C81" w:rsidP="008136A3">
            <w:pPr>
              <w:pStyle w:val="NormalWeb"/>
              <w:jc w:val="center"/>
            </w:pPr>
            <w:r>
              <w:t>3</w:t>
            </w:r>
          </w:p>
        </w:tc>
        <w:tc>
          <w:tcPr>
            <w:tcW w:w="709" w:type="dxa"/>
            <w:tcBorders>
              <w:left w:val="single" w:sz="2" w:space="0" w:color="auto"/>
              <w:right w:val="single" w:sz="2" w:space="0" w:color="auto"/>
            </w:tcBorders>
            <w:hideMark/>
          </w:tcPr>
          <w:p w14:paraId="70ABF01C"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0F275BEF" w14:textId="77777777" w:rsidR="00557C81" w:rsidRDefault="00557C81" w:rsidP="00345581">
            <w:pPr>
              <w:pStyle w:val="NormalWeb"/>
              <w:jc w:val="center"/>
            </w:pPr>
            <w:r>
              <w:t>yes</w:t>
            </w:r>
          </w:p>
        </w:tc>
        <w:tc>
          <w:tcPr>
            <w:tcW w:w="1276" w:type="dxa"/>
            <w:tcBorders>
              <w:left w:val="single" w:sz="2" w:space="0" w:color="auto"/>
              <w:right w:val="single" w:sz="2" w:space="0" w:color="auto"/>
            </w:tcBorders>
            <w:hideMark/>
          </w:tcPr>
          <w:p w14:paraId="73FE99BE" w14:textId="77777777" w:rsidR="00557C81" w:rsidRDefault="00557C81" w:rsidP="00345581">
            <w:pPr>
              <w:pStyle w:val="NormalWeb"/>
              <w:jc w:val="center"/>
            </w:pPr>
            <w:r>
              <w:t>yes</w:t>
            </w:r>
          </w:p>
        </w:tc>
        <w:tc>
          <w:tcPr>
            <w:tcW w:w="2410" w:type="dxa"/>
            <w:tcBorders>
              <w:left w:val="single" w:sz="2" w:space="0" w:color="auto"/>
              <w:right w:val="single" w:sz="2" w:space="0" w:color="auto"/>
            </w:tcBorders>
          </w:tcPr>
          <w:p w14:paraId="095CF787" w14:textId="77777777" w:rsidR="00557C81" w:rsidRDefault="00557C81" w:rsidP="00345581">
            <w:pPr>
              <w:pStyle w:val="NormalWeb"/>
              <w:jc w:val="center"/>
            </w:pPr>
            <w:r>
              <w:t>blood</w:t>
            </w:r>
          </w:p>
        </w:tc>
        <w:tc>
          <w:tcPr>
            <w:tcW w:w="2697" w:type="dxa"/>
            <w:tcBorders>
              <w:left w:val="single" w:sz="2" w:space="0" w:color="auto"/>
            </w:tcBorders>
            <w:hideMark/>
          </w:tcPr>
          <w:p w14:paraId="4E909FED" w14:textId="77777777" w:rsidR="00557C81" w:rsidRDefault="00557C81" w:rsidP="00345581">
            <w:pPr>
              <w:pStyle w:val="NormalWeb"/>
              <w:jc w:val="center"/>
            </w:pPr>
            <w:proofErr w:type="spellStart"/>
            <w:r>
              <w:t>R.BKA</w:t>
            </w:r>
            <w:r w:rsidRPr="009700E6">
              <w:rPr>
                <w:vertAlign w:val="superscript"/>
              </w:rPr>
              <w:t>b</w:t>
            </w:r>
            <w:proofErr w:type="spellEnd"/>
          </w:p>
        </w:tc>
        <w:tc>
          <w:tcPr>
            <w:tcW w:w="1080" w:type="dxa"/>
            <w:tcBorders>
              <w:left w:val="single" w:sz="2" w:space="0" w:color="auto"/>
            </w:tcBorders>
          </w:tcPr>
          <w:p w14:paraId="1D54358B" w14:textId="77777777" w:rsidR="00557C81" w:rsidRPr="00100D4A" w:rsidRDefault="00557C81" w:rsidP="00345581">
            <w:pPr>
              <w:pStyle w:val="NormalWeb"/>
              <w:jc w:val="center"/>
            </w:pPr>
            <w:r w:rsidRPr="00100D4A">
              <w:t>No</w:t>
            </w:r>
          </w:p>
        </w:tc>
      </w:tr>
      <w:tr w:rsidR="00557C81" w14:paraId="0730707A" w14:textId="77777777" w:rsidTr="00086E90">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31E7593F" w14:textId="77777777" w:rsidR="00557C81" w:rsidRDefault="00557C81" w:rsidP="008136A3">
            <w:pPr>
              <w:pStyle w:val="NormalWeb"/>
              <w:jc w:val="center"/>
            </w:pPr>
            <w:r>
              <w:t>4</w:t>
            </w:r>
          </w:p>
        </w:tc>
        <w:tc>
          <w:tcPr>
            <w:tcW w:w="709" w:type="dxa"/>
            <w:tcBorders>
              <w:left w:val="single" w:sz="2" w:space="0" w:color="auto"/>
              <w:right w:val="single" w:sz="2" w:space="0" w:color="auto"/>
            </w:tcBorders>
            <w:hideMark/>
          </w:tcPr>
          <w:p w14:paraId="1357880D"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200B1D1D" w14:textId="77777777" w:rsidR="00557C81" w:rsidRDefault="00557C81" w:rsidP="00345581">
            <w:pPr>
              <w:pStyle w:val="NormalWeb"/>
              <w:jc w:val="center"/>
            </w:pPr>
            <w:r>
              <w:t>yes</w:t>
            </w:r>
          </w:p>
        </w:tc>
        <w:tc>
          <w:tcPr>
            <w:tcW w:w="1276" w:type="dxa"/>
            <w:tcBorders>
              <w:left w:val="single" w:sz="2" w:space="0" w:color="auto"/>
              <w:right w:val="single" w:sz="2" w:space="0" w:color="auto"/>
            </w:tcBorders>
            <w:hideMark/>
          </w:tcPr>
          <w:p w14:paraId="65689276" w14:textId="77777777" w:rsidR="00557C81" w:rsidRDefault="00557C81" w:rsidP="00345581">
            <w:pPr>
              <w:pStyle w:val="NormalWeb"/>
              <w:jc w:val="center"/>
            </w:pPr>
            <w:r>
              <w:t>yes</w:t>
            </w:r>
          </w:p>
        </w:tc>
        <w:tc>
          <w:tcPr>
            <w:tcW w:w="2410" w:type="dxa"/>
            <w:tcBorders>
              <w:left w:val="single" w:sz="2" w:space="0" w:color="auto"/>
              <w:right w:val="single" w:sz="2" w:space="0" w:color="auto"/>
            </w:tcBorders>
            <w:hideMark/>
          </w:tcPr>
          <w:p w14:paraId="77C7AA28" w14:textId="77777777" w:rsidR="00557C81" w:rsidRDefault="00557C81" w:rsidP="00345581">
            <w:pPr>
              <w:jc w:val="center"/>
            </w:pPr>
            <w:r>
              <w:t>blood</w:t>
            </w:r>
          </w:p>
        </w:tc>
        <w:tc>
          <w:tcPr>
            <w:tcW w:w="2697" w:type="dxa"/>
            <w:tcBorders>
              <w:left w:val="single" w:sz="2" w:space="0" w:color="auto"/>
            </w:tcBorders>
            <w:hideMark/>
          </w:tcPr>
          <w:p w14:paraId="41D7B2F2" w14:textId="77777777" w:rsidR="00557C81" w:rsidRDefault="00557C81" w:rsidP="00345581">
            <w:pPr>
              <w:pStyle w:val="NormalWeb"/>
              <w:jc w:val="center"/>
              <w:rPr>
                <w:sz w:val="24"/>
                <w:szCs w:val="24"/>
              </w:rPr>
            </w:pPr>
          </w:p>
        </w:tc>
        <w:tc>
          <w:tcPr>
            <w:tcW w:w="1080" w:type="dxa"/>
            <w:tcBorders>
              <w:left w:val="single" w:sz="2" w:space="0" w:color="auto"/>
            </w:tcBorders>
          </w:tcPr>
          <w:p w14:paraId="0AF8D5D8" w14:textId="77777777" w:rsidR="00557C81" w:rsidRPr="00100D4A" w:rsidRDefault="00557C81" w:rsidP="00345581">
            <w:pPr>
              <w:pStyle w:val="NormalWeb"/>
              <w:jc w:val="center"/>
            </w:pPr>
            <w:r w:rsidRPr="00100D4A">
              <w:t>Yes</w:t>
            </w:r>
          </w:p>
        </w:tc>
      </w:tr>
      <w:tr w:rsidR="00557C81" w14:paraId="7B403FC5" w14:textId="77777777" w:rsidTr="00086E90">
        <w:tc>
          <w:tcPr>
            <w:tcW w:w="851" w:type="dxa"/>
            <w:tcBorders>
              <w:right w:val="single" w:sz="2" w:space="0" w:color="auto"/>
            </w:tcBorders>
            <w:hideMark/>
          </w:tcPr>
          <w:p w14:paraId="6857A3DA" w14:textId="77777777" w:rsidR="00557C81" w:rsidRDefault="00557C81" w:rsidP="008136A3">
            <w:pPr>
              <w:pStyle w:val="NormalWeb"/>
              <w:jc w:val="center"/>
            </w:pPr>
            <w:r>
              <w:t>5</w:t>
            </w:r>
          </w:p>
        </w:tc>
        <w:tc>
          <w:tcPr>
            <w:tcW w:w="709" w:type="dxa"/>
            <w:tcBorders>
              <w:left w:val="single" w:sz="2" w:space="0" w:color="auto"/>
              <w:right w:val="single" w:sz="2" w:space="0" w:color="auto"/>
            </w:tcBorders>
            <w:hideMark/>
          </w:tcPr>
          <w:p w14:paraId="0535D07E"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7C8C33A2" w14:textId="77777777" w:rsidR="00557C81" w:rsidRDefault="00557C81" w:rsidP="00345581">
            <w:pPr>
              <w:pStyle w:val="NormalWeb"/>
              <w:jc w:val="center"/>
            </w:pPr>
            <w:r>
              <w:t>no</w:t>
            </w:r>
          </w:p>
        </w:tc>
        <w:tc>
          <w:tcPr>
            <w:tcW w:w="1276" w:type="dxa"/>
            <w:tcBorders>
              <w:left w:val="single" w:sz="2" w:space="0" w:color="auto"/>
              <w:right w:val="single" w:sz="2" w:space="0" w:color="auto"/>
            </w:tcBorders>
            <w:hideMark/>
          </w:tcPr>
          <w:p w14:paraId="29A5C118" w14:textId="77777777" w:rsidR="00557C81" w:rsidRDefault="00557C81" w:rsidP="00345581">
            <w:pPr>
              <w:pStyle w:val="NormalWeb"/>
              <w:jc w:val="center"/>
            </w:pPr>
            <w:r>
              <w:t>no</w:t>
            </w:r>
          </w:p>
        </w:tc>
        <w:tc>
          <w:tcPr>
            <w:tcW w:w="2410" w:type="dxa"/>
            <w:tcBorders>
              <w:left w:val="single" w:sz="2" w:space="0" w:color="auto"/>
              <w:right w:val="single" w:sz="2" w:space="0" w:color="auto"/>
            </w:tcBorders>
            <w:hideMark/>
          </w:tcPr>
          <w:p w14:paraId="56ED7748" w14:textId="77777777" w:rsidR="00557C81" w:rsidRDefault="00557C81" w:rsidP="00345581">
            <w:pPr>
              <w:jc w:val="center"/>
            </w:pPr>
            <w:r>
              <w:t>blood</w:t>
            </w:r>
          </w:p>
        </w:tc>
        <w:tc>
          <w:tcPr>
            <w:tcW w:w="2697" w:type="dxa"/>
            <w:tcBorders>
              <w:left w:val="single" w:sz="2" w:space="0" w:color="auto"/>
            </w:tcBorders>
            <w:hideMark/>
          </w:tcPr>
          <w:p w14:paraId="6F05DC85" w14:textId="77777777" w:rsidR="00557C81" w:rsidRDefault="00557C81" w:rsidP="00345581">
            <w:pPr>
              <w:pStyle w:val="NormalWeb"/>
              <w:jc w:val="center"/>
              <w:rPr>
                <w:sz w:val="24"/>
                <w:szCs w:val="24"/>
              </w:rPr>
            </w:pPr>
          </w:p>
        </w:tc>
        <w:tc>
          <w:tcPr>
            <w:tcW w:w="1080" w:type="dxa"/>
            <w:tcBorders>
              <w:left w:val="single" w:sz="2" w:space="0" w:color="auto"/>
            </w:tcBorders>
          </w:tcPr>
          <w:p w14:paraId="4EE9D293" w14:textId="77777777" w:rsidR="00557C81" w:rsidRPr="00100D4A" w:rsidRDefault="00557C81" w:rsidP="00345581">
            <w:pPr>
              <w:pStyle w:val="NormalWeb"/>
              <w:jc w:val="center"/>
            </w:pPr>
            <w:r w:rsidRPr="00100D4A">
              <w:t>No</w:t>
            </w:r>
          </w:p>
        </w:tc>
      </w:tr>
      <w:tr w:rsidR="00557C81" w14:paraId="083CCDF7" w14:textId="77777777" w:rsidTr="00086E90">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6ADB57C2" w14:textId="77777777" w:rsidR="00557C81" w:rsidRDefault="00557C81" w:rsidP="008136A3">
            <w:pPr>
              <w:pStyle w:val="NormalWeb"/>
              <w:jc w:val="center"/>
            </w:pPr>
            <w:r>
              <w:t>6</w:t>
            </w:r>
          </w:p>
        </w:tc>
        <w:tc>
          <w:tcPr>
            <w:tcW w:w="709" w:type="dxa"/>
            <w:tcBorders>
              <w:left w:val="single" w:sz="2" w:space="0" w:color="auto"/>
              <w:right w:val="single" w:sz="2" w:space="0" w:color="auto"/>
            </w:tcBorders>
            <w:hideMark/>
          </w:tcPr>
          <w:p w14:paraId="7BC29C98"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73FE5B71" w14:textId="77777777" w:rsidR="00557C81" w:rsidRDefault="00557C81" w:rsidP="00345581">
            <w:pPr>
              <w:pStyle w:val="NormalWeb"/>
              <w:jc w:val="center"/>
            </w:pPr>
            <w:r>
              <w:t>yes</w:t>
            </w:r>
          </w:p>
        </w:tc>
        <w:tc>
          <w:tcPr>
            <w:tcW w:w="1276" w:type="dxa"/>
            <w:tcBorders>
              <w:left w:val="single" w:sz="2" w:space="0" w:color="auto"/>
              <w:right w:val="single" w:sz="2" w:space="0" w:color="auto"/>
            </w:tcBorders>
            <w:hideMark/>
          </w:tcPr>
          <w:p w14:paraId="0006F15F" w14:textId="77777777" w:rsidR="00557C81" w:rsidRDefault="00557C81" w:rsidP="00345581">
            <w:pPr>
              <w:pStyle w:val="NormalWeb"/>
              <w:jc w:val="center"/>
            </w:pPr>
            <w:r>
              <w:t>yes</w:t>
            </w:r>
          </w:p>
        </w:tc>
        <w:tc>
          <w:tcPr>
            <w:tcW w:w="2410" w:type="dxa"/>
            <w:tcBorders>
              <w:left w:val="single" w:sz="2" w:space="0" w:color="auto"/>
              <w:right w:val="single" w:sz="2" w:space="0" w:color="auto"/>
            </w:tcBorders>
            <w:hideMark/>
          </w:tcPr>
          <w:p w14:paraId="25666B9B" w14:textId="77777777" w:rsidR="00557C81" w:rsidRDefault="00557C81" w:rsidP="00345581">
            <w:pPr>
              <w:pStyle w:val="NormalWeb"/>
              <w:jc w:val="center"/>
            </w:pPr>
            <w:r>
              <w:t xml:space="preserve">pleural fluid 16S </w:t>
            </w:r>
            <w:proofErr w:type="spellStart"/>
            <w:r>
              <w:t>rRNA</w:t>
            </w:r>
            <w:r w:rsidRPr="00D40534">
              <w:rPr>
                <w:vertAlign w:val="superscript"/>
              </w:rPr>
              <w:t>c</w:t>
            </w:r>
            <w:proofErr w:type="spellEnd"/>
          </w:p>
        </w:tc>
        <w:tc>
          <w:tcPr>
            <w:tcW w:w="2697" w:type="dxa"/>
            <w:tcBorders>
              <w:left w:val="single" w:sz="2" w:space="0" w:color="auto"/>
            </w:tcBorders>
          </w:tcPr>
          <w:p w14:paraId="653AE596" w14:textId="77777777" w:rsidR="00557C81" w:rsidRPr="009700E6" w:rsidRDefault="00557C81" w:rsidP="00345581">
            <w:pPr>
              <w:pStyle w:val="NormalWeb"/>
              <w:jc w:val="center"/>
            </w:pPr>
          </w:p>
        </w:tc>
        <w:tc>
          <w:tcPr>
            <w:tcW w:w="1080" w:type="dxa"/>
            <w:tcBorders>
              <w:left w:val="single" w:sz="2" w:space="0" w:color="auto"/>
            </w:tcBorders>
          </w:tcPr>
          <w:p w14:paraId="1F868F86" w14:textId="77777777" w:rsidR="00557C81" w:rsidRPr="00100D4A" w:rsidRDefault="00557C81" w:rsidP="00345581">
            <w:pPr>
              <w:pStyle w:val="NormalWeb"/>
              <w:jc w:val="center"/>
            </w:pPr>
            <w:r w:rsidRPr="00100D4A">
              <w:t>No</w:t>
            </w:r>
          </w:p>
        </w:tc>
      </w:tr>
      <w:tr w:rsidR="00557C81" w14:paraId="2998E001" w14:textId="77777777" w:rsidTr="00086E90">
        <w:tc>
          <w:tcPr>
            <w:tcW w:w="851" w:type="dxa"/>
            <w:tcBorders>
              <w:right w:val="single" w:sz="2" w:space="0" w:color="auto"/>
            </w:tcBorders>
            <w:hideMark/>
          </w:tcPr>
          <w:p w14:paraId="1FB63EBF" w14:textId="77777777" w:rsidR="00557C81" w:rsidRDefault="00557C81" w:rsidP="008136A3">
            <w:pPr>
              <w:pStyle w:val="NormalWeb"/>
              <w:jc w:val="center"/>
            </w:pPr>
            <w:r>
              <w:t>7</w:t>
            </w:r>
          </w:p>
        </w:tc>
        <w:tc>
          <w:tcPr>
            <w:tcW w:w="709" w:type="dxa"/>
            <w:tcBorders>
              <w:left w:val="single" w:sz="2" w:space="0" w:color="auto"/>
              <w:right w:val="single" w:sz="2" w:space="0" w:color="auto"/>
            </w:tcBorders>
            <w:hideMark/>
          </w:tcPr>
          <w:p w14:paraId="2D91D9D7"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4F5EC646" w14:textId="77777777" w:rsidR="00557C81" w:rsidRDefault="00557C81" w:rsidP="00345581">
            <w:pPr>
              <w:pStyle w:val="NormalWeb"/>
              <w:jc w:val="center"/>
            </w:pPr>
            <w:r>
              <w:t>yes</w:t>
            </w:r>
          </w:p>
        </w:tc>
        <w:tc>
          <w:tcPr>
            <w:tcW w:w="1276" w:type="dxa"/>
            <w:tcBorders>
              <w:left w:val="single" w:sz="2" w:space="0" w:color="auto"/>
              <w:right w:val="single" w:sz="2" w:space="0" w:color="auto"/>
            </w:tcBorders>
            <w:hideMark/>
          </w:tcPr>
          <w:p w14:paraId="01E95BFA" w14:textId="77777777" w:rsidR="00557C81" w:rsidRDefault="00557C81" w:rsidP="00345581">
            <w:pPr>
              <w:pStyle w:val="NormalWeb"/>
              <w:jc w:val="center"/>
            </w:pPr>
            <w:r>
              <w:t>yes</w:t>
            </w:r>
          </w:p>
        </w:tc>
        <w:tc>
          <w:tcPr>
            <w:tcW w:w="2410" w:type="dxa"/>
            <w:tcBorders>
              <w:left w:val="single" w:sz="2" w:space="0" w:color="auto"/>
              <w:right w:val="single" w:sz="2" w:space="0" w:color="auto"/>
            </w:tcBorders>
            <w:hideMark/>
          </w:tcPr>
          <w:p w14:paraId="707A328D" w14:textId="77777777" w:rsidR="00557C81" w:rsidRDefault="00557C81" w:rsidP="00345581">
            <w:pPr>
              <w:pStyle w:val="NormalWeb"/>
              <w:jc w:val="center"/>
            </w:pPr>
            <w:r>
              <w:t>blood</w:t>
            </w:r>
          </w:p>
        </w:tc>
        <w:tc>
          <w:tcPr>
            <w:tcW w:w="2697" w:type="dxa"/>
            <w:tcBorders>
              <w:left w:val="single" w:sz="2" w:space="0" w:color="auto"/>
            </w:tcBorders>
            <w:hideMark/>
          </w:tcPr>
          <w:p w14:paraId="1AF235ED" w14:textId="77777777" w:rsidR="00557C81" w:rsidRPr="009700E6" w:rsidRDefault="00557C81" w:rsidP="00345581">
            <w:pPr>
              <w:pStyle w:val="NormalWeb"/>
              <w:jc w:val="center"/>
            </w:pPr>
            <w:r>
              <w:t>thoracotomy, decortication</w:t>
            </w:r>
          </w:p>
        </w:tc>
        <w:tc>
          <w:tcPr>
            <w:tcW w:w="1080" w:type="dxa"/>
            <w:tcBorders>
              <w:left w:val="single" w:sz="2" w:space="0" w:color="auto"/>
            </w:tcBorders>
          </w:tcPr>
          <w:p w14:paraId="590B8276" w14:textId="77777777" w:rsidR="00557C81" w:rsidRPr="00100D4A" w:rsidRDefault="00557C81" w:rsidP="00345581">
            <w:pPr>
              <w:pStyle w:val="NormalWeb"/>
              <w:jc w:val="center"/>
            </w:pPr>
            <w:r w:rsidRPr="00100D4A">
              <w:t>No</w:t>
            </w:r>
          </w:p>
        </w:tc>
      </w:tr>
      <w:tr w:rsidR="00557C81" w14:paraId="450669A9" w14:textId="77777777" w:rsidTr="00086E90">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68D658DB" w14:textId="77777777" w:rsidR="00557C81" w:rsidRDefault="00557C81" w:rsidP="008136A3">
            <w:pPr>
              <w:pStyle w:val="NormalWeb"/>
              <w:jc w:val="center"/>
            </w:pPr>
            <w:r>
              <w:t>8</w:t>
            </w:r>
          </w:p>
        </w:tc>
        <w:tc>
          <w:tcPr>
            <w:tcW w:w="709" w:type="dxa"/>
            <w:tcBorders>
              <w:left w:val="single" w:sz="2" w:space="0" w:color="auto"/>
              <w:right w:val="single" w:sz="2" w:space="0" w:color="auto"/>
            </w:tcBorders>
            <w:hideMark/>
          </w:tcPr>
          <w:p w14:paraId="021BC93E"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7F03F06A" w14:textId="77777777" w:rsidR="00557C81" w:rsidRDefault="00557C81" w:rsidP="00345581">
            <w:pPr>
              <w:pStyle w:val="NormalWeb"/>
              <w:jc w:val="center"/>
            </w:pPr>
            <w:r>
              <w:t>yes</w:t>
            </w:r>
          </w:p>
        </w:tc>
        <w:tc>
          <w:tcPr>
            <w:tcW w:w="1276" w:type="dxa"/>
            <w:tcBorders>
              <w:left w:val="single" w:sz="2" w:space="0" w:color="auto"/>
              <w:right w:val="single" w:sz="2" w:space="0" w:color="auto"/>
            </w:tcBorders>
            <w:hideMark/>
          </w:tcPr>
          <w:p w14:paraId="552B08BF" w14:textId="77777777" w:rsidR="00557C81" w:rsidRDefault="00557C81" w:rsidP="00345581">
            <w:pPr>
              <w:pStyle w:val="NormalWeb"/>
              <w:jc w:val="center"/>
            </w:pPr>
            <w:r>
              <w:t>yes</w:t>
            </w:r>
          </w:p>
        </w:tc>
        <w:tc>
          <w:tcPr>
            <w:tcW w:w="2410" w:type="dxa"/>
            <w:tcBorders>
              <w:left w:val="single" w:sz="2" w:space="0" w:color="auto"/>
              <w:right w:val="single" w:sz="2" w:space="0" w:color="auto"/>
            </w:tcBorders>
            <w:hideMark/>
          </w:tcPr>
          <w:p w14:paraId="6EFB6A11" w14:textId="77777777" w:rsidR="00557C81" w:rsidRDefault="00557C81" w:rsidP="00345581">
            <w:pPr>
              <w:pStyle w:val="NormalWeb"/>
              <w:jc w:val="center"/>
            </w:pPr>
            <w:r>
              <w:t>blood</w:t>
            </w:r>
          </w:p>
        </w:tc>
        <w:tc>
          <w:tcPr>
            <w:tcW w:w="2697" w:type="dxa"/>
            <w:tcBorders>
              <w:left w:val="single" w:sz="2" w:space="0" w:color="auto"/>
            </w:tcBorders>
            <w:hideMark/>
          </w:tcPr>
          <w:p w14:paraId="3E20F07B" w14:textId="77777777" w:rsidR="00557C81" w:rsidRDefault="00557C81" w:rsidP="00345581">
            <w:pPr>
              <w:pStyle w:val="NormalWeb"/>
              <w:jc w:val="center"/>
              <w:rPr>
                <w:sz w:val="24"/>
                <w:szCs w:val="24"/>
              </w:rPr>
            </w:pPr>
          </w:p>
        </w:tc>
        <w:tc>
          <w:tcPr>
            <w:tcW w:w="1080" w:type="dxa"/>
            <w:tcBorders>
              <w:left w:val="single" w:sz="2" w:space="0" w:color="auto"/>
            </w:tcBorders>
          </w:tcPr>
          <w:p w14:paraId="10B68484" w14:textId="77777777" w:rsidR="00557C81" w:rsidRPr="00100D4A" w:rsidRDefault="00557C81" w:rsidP="00345581">
            <w:pPr>
              <w:pStyle w:val="NormalWeb"/>
              <w:jc w:val="center"/>
            </w:pPr>
            <w:r w:rsidRPr="00100D4A">
              <w:t>No</w:t>
            </w:r>
          </w:p>
        </w:tc>
      </w:tr>
      <w:tr w:rsidR="00557C81" w14:paraId="00688A2D" w14:textId="77777777" w:rsidTr="00086E90">
        <w:tc>
          <w:tcPr>
            <w:tcW w:w="851" w:type="dxa"/>
            <w:tcBorders>
              <w:right w:val="single" w:sz="2" w:space="0" w:color="auto"/>
            </w:tcBorders>
            <w:hideMark/>
          </w:tcPr>
          <w:p w14:paraId="22104A98" w14:textId="77777777" w:rsidR="00557C81" w:rsidRDefault="00557C81" w:rsidP="008136A3">
            <w:pPr>
              <w:pStyle w:val="NormalWeb"/>
              <w:jc w:val="center"/>
            </w:pPr>
            <w:r>
              <w:t>9</w:t>
            </w:r>
          </w:p>
        </w:tc>
        <w:tc>
          <w:tcPr>
            <w:tcW w:w="709" w:type="dxa"/>
            <w:tcBorders>
              <w:left w:val="single" w:sz="2" w:space="0" w:color="auto"/>
              <w:right w:val="single" w:sz="2" w:space="0" w:color="auto"/>
            </w:tcBorders>
            <w:hideMark/>
          </w:tcPr>
          <w:p w14:paraId="660A66A8"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38113923" w14:textId="77777777" w:rsidR="00557C81" w:rsidRDefault="00557C81" w:rsidP="00345581">
            <w:pPr>
              <w:pStyle w:val="NormalWeb"/>
              <w:jc w:val="center"/>
            </w:pPr>
            <w:r>
              <w:t>yes</w:t>
            </w:r>
          </w:p>
        </w:tc>
        <w:tc>
          <w:tcPr>
            <w:tcW w:w="1276" w:type="dxa"/>
            <w:tcBorders>
              <w:left w:val="single" w:sz="2" w:space="0" w:color="auto"/>
              <w:right w:val="single" w:sz="2" w:space="0" w:color="auto"/>
            </w:tcBorders>
            <w:hideMark/>
          </w:tcPr>
          <w:p w14:paraId="07C9C218" w14:textId="77777777" w:rsidR="00557C81" w:rsidRDefault="00557C81" w:rsidP="00345581">
            <w:pPr>
              <w:pStyle w:val="NormalWeb"/>
              <w:jc w:val="center"/>
            </w:pPr>
            <w:r>
              <w:t>yes</w:t>
            </w:r>
          </w:p>
        </w:tc>
        <w:tc>
          <w:tcPr>
            <w:tcW w:w="2410" w:type="dxa"/>
            <w:tcBorders>
              <w:left w:val="single" w:sz="2" w:space="0" w:color="auto"/>
              <w:right w:val="single" w:sz="2" w:space="0" w:color="auto"/>
            </w:tcBorders>
            <w:hideMark/>
          </w:tcPr>
          <w:p w14:paraId="6227C60B" w14:textId="77777777" w:rsidR="00557C81" w:rsidRDefault="00557C81" w:rsidP="00345581">
            <w:pPr>
              <w:pStyle w:val="NormalWeb"/>
              <w:jc w:val="center"/>
            </w:pPr>
            <w:r>
              <w:t>blood</w:t>
            </w:r>
          </w:p>
        </w:tc>
        <w:tc>
          <w:tcPr>
            <w:tcW w:w="2697" w:type="dxa"/>
            <w:tcBorders>
              <w:left w:val="single" w:sz="2" w:space="0" w:color="auto"/>
            </w:tcBorders>
            <w:hideMark/>
          </w:tcPr>
          <w:p w14:paraId="2AE57E19" w14:textId="77777777" w:rsidR="00557C81" w:rsidRDefault="00557C81" w:rsidP="00345581">
            <w:pPr>
              <w:pStyle w:val="NormalWeb"/>
              <w:jc w:val="center"/>
              <w:rPr>
                <w:sz w:val="24"/>
                <w:szCs w:val="24"/>
              </w:rPr>
            </w:pPr>
          </w:p>
        </w:tc>
        <w:tc>
          <w:tcPr>
            <w:tcW w:w="1080" w:type="dxa"/>
            <w:tcBorders>
              <w:left w:val="single" w:sz="2" w:space="0" w:color="auto"/>
            </w:tcBorders>
          </w:tcPr>
          <w:p w14:paraId="4123405A" w14:textId="77777777" w:rsidR="00557C81" w:rsidRPr="00100D4A" w:rsidRDefault="00557C81" w:rsidP="00345581">
            <w:pPr>
              <w:pStyle w:val="NormalWeb"/>
              <w:jc w:val="center"/>
            </w:pPr>
            <w:r w:rsidRPr="00100D4A">
              <w:t>Yes</w:t>
            </w:r>
          </w:p>
        </w:tc>
      </w:tr>
      <w:tr w:rsidR="00557C81" w14:paraId="7AE0BA62" w14:textId="77777777" w:rsidTr="00086E90">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45898CC8" w14:textId="77777777" w:rsidR="00557C81" w:rsidRDefault="00557C81" w:rsidP="008136A3">
            <w:pPr>
              <w:pStyle w:val="NormalWeb"/>
              <w:jc w:val="center"/>
            </w:pPr>
            <w:r>
              <w:t>10</w:t>
            </w:r>
          </w:p>
        </w:tc>
        <w:tc>
          <w:tcPr>
            <w:tcW w:w="709" w:type="dxa"/>
            <w:tcBorders>
              <w:left w:val="single" w:sz="2" w:space="0" w:color="auto"/>
              <w:right w:val="single" w:sz="2" w:space="0" w:color="auto"/>
            </w:tcBorders>
            <w:hideMark/>
          </w:tcPr>
          <w:p w14:paraId="48EAA37B"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6C8E9134" w14:textId="77777777" w:rsidR="00557C81" w:rsidRDefault="00557C81" w:rsidP="00345581">
            <w:pPr>
              <w:pStyle w:val="NormalWeb"/>
              <w:jc w:val="center"/>
            </w:pPr>
            <w:r>
              <w:t>yes</w:t>
            </w:r>
          </w:p>
        </w:tc>
        <w:tc>
          <w:tcPr>
            <w:tcW w:w="1276" w:type="dxa"/>
            <w:tcBorders>
              <w:left w:val="single" w:sz="2" w:space="0" w:color="auto"/>
              <w:right w:val="single" w:sz="2" w:space="0" w:color="auto"/>
            </w:tcBorders>
            <w:hideMark/>
          </w:tcPr>
          <w:p w14:paraId="34656AD5" w14:textId="77777777" w:rsidR="00557C81" w:rsidRDefault="00557C81" w:rsidP="00345581">
            <w:pPr>
              <w:pStyle w:val="NormalWeb"/>
              <w:jc w:val="center"/>
            </w:pPr>
            <w:r>
              <w:t>yes</w:t>
            </w:r>
          </w:p>
        </w:tc>
        <w:tc>
          <w:tcPr>
            <w:tcW w:w="2410" w:type="dxa"/>
            <w:tcBorders>
              <w:left w:val="single" w:sz="2" w:space="0" w:color="auto"/>
              <w:right w:val="single" w:sz="2" w:space="0" w:color="auto"/>
            </w:tcBorders>
            <w:hideMark/>
          </w:tcPr>
          <w:p w14:paraId="31C0396F" w14:textId="77777777" w:rsidR="00557C81" w:rsidRDefault="00557C81" w:rsidP="00345581">
            <w:pPr>
              <w:jc w:val="center"/>
            </w:pPr>
            <w:r>
              <w:t>blood</w:t>
            </w:r>
          </w:p>
        </w:tc>
        <w:tc>
          <w:tcPr>
            <w:tcW w:w="2697" w:type="dxa"/>
            <w:tcBorders>
              <w:left w:val="single" w:sz="2" w:space="0" w:color="auto"/>
            </w:tcBorders>
            <w:hideMark/>
          </w:tcPr>
          <w:p w14:paraId="366818D0" w14:textId="77777777" w:rsidR="00557C81" w:rsidRDefault="00557C81" w:rsidP="00345581">
            <w:pPr>
              <w:pStyle w:val="NormalWeb"/>
              <w:jc w:val="center"/>
              <w:rPr>
                <w:sz w:val="24"/>
                <w:szCs w:val="24"/>
              </w:rPr>
            </w:pPr>
          </w:p>
        </w:tc>
        <w:tc>
          <w:tcPr>
            <w:tcW w:w="1080" w:type="dxa"/>
            <w:tcBorders>
              <w:left w:val="single" w:sz="2" w:space="0" w:color="auto"/>
            </w:tcBorders>
          </w:tcPr>
          <w:p w14:paraId="528CB3F6" w14:textId="77777777" w:rsidR="00557C81" w:rsidRPr="00100D4A" w:rsidRDefault="00557C81" w:rsidP="00345581">
            <w:pPr>
              <w:pStyle w:val="NormalWeb"/>
              <w:jc w:val="center"/>
            </w:pPr>
            <w:r w:rsidRPr="00100D4A">
              <w:t>No</w:t>
            </w:r>
          </w:p>
        </w:tc>
      </w:tr>
      <w:tr w:rsidR="00557C81" w14:paraId="01E1F419" w14:textId="77777777" w:rsidTr="00086E90">
        <w:tc>
          <w:tcPr>
            <w:tcW w:w="851" w:type="dxa"/>
            <w:tcBorders>
              <w:right w:val="single" w:sz="2" w:space="0" w:color="auto"/>
            </w:tcBorders>
            <w:hideMark/>
          </w:tcPr>
          <w:p w14:paraId="1A5B2F86" w14:textId="77777777" w:rsidR="00557C81" w:rsidRDefault="00557C81" w:rsidP="008136A3">
            <w:pPr>
              <w:pStyle w:val="NormalWeb"/>
              <w:jc w:val="center"/>
            </w:pPr>
            <w:r>
              <w:t>11</w:t>
            </w:r>
          </w:p>
        </w:tc>
        <w:tc>
          <w:tcPr>
            <w:tcW w:w="709" w:type="dxa"/>
            <w:tcBorders>
              <w:left w:val="single" w:sz="2" w:space="0" w:color="auto"/>
              <w:right w:val="single" w:sz="2" w:space="0" w:color="auto"/>
            </w:tcBorders>
            <w:hideMark/>
          </w:tcPr>
          <w:p w14:paraId="373AED24"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6AA8402A" w14:textId="77777777" w:rsidR="00557C81" w:rsidRDefault="00557C81" w:rsidP="00345581">
            <w:pPr>
              <w:pStyle w:val="NormalWeb"/>
              <w:jc w:val="center"/>
            </w:pPr>
            <w:r>
              <w:t>no</w:t>
            </w:r>
          </w:p>
        </w:tc>
        <w:tc>
          <w:tcPr>
            <w:tcW w:w="1276" w:type="dxa"/>
            <w:tcBorders>
              <w:left w:val="single" w:sz="2" w:space="0" w:color="auto"/>
              <w:right w:val="single" w:sz="2" w:space="0" w:color="auto"/>
            </w:tcBorders>
            <w:hideMark/>
          </w:tcPr>
          <w:p w14:paraId="53B26D0A" w14:textId="77777777" w:rsidR="00557C81" w:rsidRDefault="00557C81" w:rsidP="00345581">
            <w:pPr>
              <w:pStyle w:val="NormalWeb"/>
              <w:jc w:val="center"/>
            </w:pPr>
            <w:r>
              <w:t>no</w:t>
            </w:r>
          </w:p>
        </w:tc>
        <w:tc>
          <w:tcPr>
            <w:tcW w:w="2410" w:type="dxa"/>
            <w:tcBorders>
              <w:left w:val="single" w:sz="2" w:space="0" w:color="auto"/>
              <w:right w:val="single" w:sz="2" w:space="0" w:color="auto"/>
            </w:tcBorders>
            <w:hideMark/>
          </w:tcPr>
          <w:p w14:paraId="7F0DF40B" w14:textId="77777777" w:rsidR="00557C81" w:rsidRDefault="00557C81" w:rsidP="00345581">
            <w:pPr>
              <w:pStyle w:val="NormalWeb"/>
              <w:jc w:val="center"/>
            </w:pPr>
            <w:r>
              <w:t>pleural fluid</w:t>
            </w:r>
          </w:p>
        </w:tc>
        <w:tc>
          <w:tcPr>
            <w:tcW w:w="2697" w:type="dxa"/>
            <w:tcBorders>
              <w:left w:val="single" w:sz="2" w:space="0" w:color="auto"/>
            </w:tcBorders>
            <w:hideMark/>
          </w:tcPr>
          <w:p w14:paraId="55583AE9" w14:textId="77777777" w:rsidR="00557C81" w:rsidRDefault="00557C81" w:rsidP="00345581">
            <w:pPr>
              <w:pStyle w:val="NormalWeb"/>
              <w:jc w:val="center"/>
            </w:pPr>
            <w:proofErr w:type="spellStart"/>
            <w:r>
              <w:t>VAT,</w:t>
            </w:r>
            <w:r w:rsidRPr="009700E6">
              <w:rPr>
                <w:vertAlign w:val="superscript"/>
              </w:rPr>
              <w:t>d</w:t>
            </w:r>
            <w:proofErr w:type="spellEnd"/>
            <w:r>
              <w:t xml:space="preserve"> decortication</w:t>
            </w:r>
          </w:p>
        </w:tc>
        <w:tc>
          <w:tcPr>
            <w:tcW w:w="1080" w:type="dxa"/>
            <w:tcBorders>
              <w:left w:val="single" w:sz="2" w:space="0" w:color="auto"/>
            </w:tcBorders>
          </w:tcPr>
          <w:p w14:paraId="34D8F2A8" w14:textId="77777777" w:rsidR="00557C81" w:rsidRPr="00100D4A" w:rsidRDefault="00557C81" w:rsidP="00345581">
            <w:pPr>
              <w:pStyle w:val="NormalWeb"/>
              <w:jc w:val="center"/>
            </w:pPr>
            <w:r w:rsidRPr="00100D4A">
              <w:t>No</w:t>
            </w:r>
          </w:p>
        </w:tc>
      </w:tr>
      <w:tr w:rsidR="00557C81" w14:paraId="6C6F8E74" w14:textId="77777777" w:rsidTr="00086E90">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545E071F" w14:textId="77777777" w:rsidR="00557C81" w:rsidRDefault="00557C81" w:rsidP="008136A3">
            <w:pPr>
              <w:pStyle w:val="NormalWeb"/>
              <w:jc w:val="center"/>
            </w:pPr>
            <w:r>
              <w:t>12</w:t>
            </w:r>
          </w:p>
        </w:tc>
        <w:tc>
          <w:tcPr>
            <w:tcW w:w="709" w:type="dxa"/>
            <w:tcBorders>
              <w:left w:val="single" w:sz="2" w:space="0" w:color="auto"/>
              <w:right w:val="single" w:sz="2" w:space="0" w:color="auto"/>
            </w:tcBorders>
            <w:hideMark/>
          </w:tcPr>
          <w:p w14:paraId="36441844" w14:textId="77777777" w:rsidR="00557C81" w:rsidRDefault="00557C81" w:rsidP="00345581">
            <w:pPr>
              <w:pStyle w:val="NormalWeb"/>
              <w:jc w:val="center"/>
            </w:pPr>
            <w:r>
              <w:t>yes</w:t>
            </w:r>
          </w:p>
        </w:tc>
        <w:tc>
          <w:tcPr>
            <w:tcW w:w="1417" w:type="dxa"/>
            <w:tcBorders>
              <w:left w:val="single" w:sz="2" w:space="0" w:color="auto"/>
              <w:right w:val="single" w:sz="2" w:space="0" w:color="auto"/>
            </w:tcBorders>
            <w:hideMark/>
          </w:tcPr>
          <w:p w14:paraId="6D63B7AD" w14:textId="77777777" w:rsidR="00557C81" w:rsidRDefault="00557C81" w:rsidP="00345581">
            <w:pPr>
              <w:pStyle w:val="NormalWeb"/>
              <w:jc w:val="center"/>
            </w:pPr>
            <w:r>
              <w:t>no</w:t>
            </w:r>
          </w:p>
        </w:tc>
        <w:tc>
          <w:tcPr>
            <w:tcW w:w="1276" w:type="dxa"/>
            <w:tcBorders>
              <w:left w:val="single" w:sz="2" w:space="0" w:color="auto"/>
              <w:right w:val="single" w:sz="2" w:space="0" w:color="auto"/>
            </w:tcBorders>
            <w:hideMark/>
          </w:tcPr>
          <w:p w14:paraId="258A52EC" w14:textId="77777777" w:rsidR="00557C81" w:rsidRDefault="00557C81" w:rsidP="00345581">
            <w:pPr>
              <w:pStyle w:val="NormalWeb"/>
              <w:jc w:val="center"/>
            </w:pPr>
            <w:r>
              <w:t>no</w:t>
            </w:r>
          </w:p>
        </w:tc>
        <w:tc>
          <w:tcPr>
            <w:tcW w:w="2410" w:type="dxa"/>
            <w:tcBorders>
              <w:left w:val="single" w:sz="2" w:space="0" w:color="auto"/>
              <w:right w:val="single" w:sz="2" w:space="0" w:color="auto"/>
            </w:tcBorders>
            <w:hideMark/>
          </w:tcPr>
          <w:p w14:paraId="469BF0F0" w14:textId="77777777" w:rsidR="00557C81" w:rsidRDefault="00557C81" w:rsidP="00345581">
            <w:pPr>
              <w:pStyle w:val="NormalWeb"/>
              <w:jc w:val="center"/>
            </w:pPr>
            <w:r>
              <w:t>blood</w:t>
            </w:r>
          </w:p>
        </w:tc>
        <w:tc>
          <w:tcPr>
            <w:tcW w:w="2697" w:type="dxa"/>
            <w:tcBorders>
              <w:left w:val="single" w:sz="2" w:space="0" w:color="auto"/>
            </w:tcBorders>
            <w:hideMark/>
          </w:tcPr>
          <w:p w14:paraId="677712C8" w14:textId="77777777" w:rsidR="00557C81" w:rsidRDefault="00557C81" w:rsidP="00345581">
            <w:pPr>
              <w:pStyle w:val="NormalWeb"/>
              <w:jc w:val="center"/>
              <w:rPr>
                <w:sz w:val="24"/>
                <w:szCs w:val="24"/>
              </w:rPr>
            </w:pPr>
          </w:p>
        </w:tc>
        <w:tc>
          <w:tcPr>
            <w:tcW w:w="1080" w:type="dxa"/>
            <w:tcBorders>
              <w:left w:val="single" w:sz="2" w:space="0" w:color="auto"/>
            </w:tcBorders>
          </w:tcPr>
          <w:p w14:paraId="5E187C90" w14:textId="77777777" w:rsidR="00557C81" w:rsidRPr="00100D4A" w:rsidRDefault="00557C81" w:rsidP="00345581">
            <w:pPr>
              <w:pStyle w:val="NormalWeb"/>
              <w:jc w:val="center"/>
            </w:pPr>
            <w:r w:rsidRPr="00100D4A">
              <w:t>No</w:t>
            </w:r>
          </w:p>
        </w:tc>
      </w:tr>
      <w:tr w:rsidR="00557C81" w14:paraId="01BF561A" w14:textId="77777777" w:rsidTr="00086E90">
        <w:tc>
          <w:tcPr>
            <w:tcW w:w="851" w:type="dxa"/>
            <w:tcBorders>
              <w:right w:val="single" w:sz="2" w:space="0" w:color="auto"/>
            </w:tcBorders>
            <w:hideMark/>
          </w:tcPr>
          <w:p w14:paraId="0EB8F8CC" w14:textId="77777777" w:rsidR="00557C81" w:rsidRDefault="00557C81" w:rsidP="008136A3">
            <w:pPr>
              <w:pStyle w:val="NormalWeb"/>
              <w:jc w:val="center"/>
            </w:pPr>
            <w:r>
              <w:t>13</w:t>
            </w:r>
          </w:p>
        </w:tc>
        <w:tc>
          <w:tcPr>
            <w:tcW w:w="709" w:type="dxa"/>
            <w:tcBorders>
              <w:left w:val="single" w:sz="2" w:space="0" w:color="auto"/>
              <w:right w:val="single" w:sz="2" w:space="0" w:color="auto"/>
            </w:tcBorders>
            <w:hideMark/>
          </w:tcPr>
          <w:p w14:paraId="692D58F0" w14:textId="77777777" w:rsidR="00557C81" w:rsidRDefault="00557C81" w:rsidP="00345581">
            <w:pPr>
              <w:pStyle w:val="NormalWeb"/>
              <w:jc w:val="center"/>
            </w:pPr>
            <w:r>
              <w:t>no</w:t>
            </w:r>
          </w:p>
        </w:tc>
        <w:tc>
          <w:tcPr>
            <w:tcW w:w="1417" w:type="dxa"/>
            <w:tcBorders>
              <w:left w:val="single" w:sz="2" w:space="0" w:color="auto"/>
              <w:right w:val="single" w:sz="2" w:space="0" w:color="auto"/>
            </w:tcBorders>
            <w:hideMark/>
          </w:tcPr>
          <w:p w14:paraId="0BB9DD30" w14:textId="77777777" w:rsidR="00557C81" w:rsidRDefault="00557C81" w:rsidP="00345581">
            <w:pPr>
              <w:pStyle w:val="NormalWeb"/>
              <w:jc w:val="center"/>
            </w:pPr>
            <w:r>
              <w:t>no</w:t>
            </w:r>
          </w:p>
        </w:tc>
        <w:tc>
          <w:tcPr>
            <w:tcW w:w="1276" w:type="dxa"/>
            <w:tcBorders>
              <w:left w:val="single" w:sz="2" w:space="0" w:color="auto"/>
              <w:right w:val="single" w:sz="2" w:space="0" w:color="auto"/>
            </w:tcBorders>
            <w:hideMark/>
          </w:tcPr>
          <w:p w14:paraId="7467206C" w14:textId="77777777" w:rsidR="00557C81" w:rsidRDefault="00557C81" w:rsidP="00345581">
            <w:pPr>
              <w:pStyle w:val="NormalWeb"/>
              <w:jc w:val="center"/>
            </w:pPr>
            <w:r>
              <w:t>no</w:t>
            </w:r>
          </w:p>
        </w:tc>
        <w:tc>
          <w:tcPr>
            <w:tcW w:w="2410" w:type="dxa"/>
            <w:tcBorders>
              <w:left w:val="single" w:sz="2" w:space="0" w:color="auto"/>
              <w:right w:val="single" w:sz="2" w:space="0" w:color="auto"/>
            </w:tcBorders>
            <w:hideMark/>
          </w:tcPr>
          <w:p w14:paraId="3353D2F6" w14:textId="77777777" w:rsidR="00557C81" w:rsidRDefault="00557C81" w:rsidP="00345581">
            <w:pPr>
              <w:pStyle w:val="NormalWeb"/>
              <w:jc w:val="center"/>
            </w:pPr>
            <w:r>
              <w:t>blood</w:t>
            </w:r>
          </w:p>
        </w:tc>
        <w:tc>
          <w:tcPr>
            <w:tcW w:w="2697" w:type="dxa"/>
            <w:tcBorders>
              <w:left w:val="single" w:sz="2" w:space="0" w:color="auto"/>
            </w:tcBorders>
            <w:hideMark/>
          </w:tcPr>
          <w:p w14:paraId="31D0E76F" w14:textId="77777777" w:rsidR="00557C81" w:rsidRDefault="00557C81" w:rsidP="00345581">
            <w:pPr>
              <w:pStyle w:val="NormalWeb"/>
              <w:jc w:val="center"/>
              <w:rPr>
                <w:sz w:val="24"/>
                <w:szCs w:val="24"/>
              </w:rPr>
            </w:pPr>
          </w:p>
        </w:tc>
        <w:tc>
          <w:tcPr>
            <w:tcW w:w="1080" w:type="dxa"/>
            <w:tcBorders>
              <w:left w:val="single" w:sz="2" w:space="0" w:color="auto"/>
            </w:tcBorders>
          </w:tcPr>
          <w:p w14:paraId="364B4C6A" w14:textId="77777777" w:rsidR="00557C81" w:rsidRPr="00100D4A" w:rsidRDefault="00557C81" w:rsidP="00345581">
            <w:pPr>
              <w:pStyle w:val="NormalWeb"/>
              <w:jc w:val="center"/>
            </w:pPr>
            <w:r w:rsidRPr="00100D4A">
              <w:t>No</w:t>
            </w:r>
          </w:p>
        </w:tc>
      </w:tr>
    </w:tbl>
    <w:p w14:paraId="2456E3E3" w14:textId="77777777" w:rsidR="00F5470E" w:rsidRDefault="00F5470E" w:rsidP="00C46FD5">
      <w:pPr>
        <w:pStyle w:val="CDIfootnotes"/>
      </w:pPr>
      <w:proofErr w:type="spellStart"/>
      <w:proofErr w:type="gramStart"/>
      <w:r>
        <w:t>a</w:t>
      </w:r>
      <w:proofErr w:type="spellEnd"/>
      <w:proofErr w:type="gramEnd"/>
      <w:r>
        <w:tab/>
        <w:t>Intensive care unit.</w:t>
      </w:r>
    </w:p>
    <w:p w14:paraId="34713709" w14:textId="77777777" w:rsidR="00F5470E" w:rsidRDefault="00F5470E" w:rsidP="00C46FD5">
      <w:pPr>
        <w:pStyle w:val="CDIfootnotes"/>
      </w:pPr>
      <w:r>
        <w:t>b</w:t>
      </w:r>
      <w:r>
        <w:tab/>
        <w:t>BKA = below knee amputation.</w:t>
      </w:r>
    </w:p>
    <w:p w14:paraId="76592E41" w14:textId="77777777" w:rsidR="00F5470E" w:rsidRDefault="00F5470E" w:rsidP="00C46FD5">
      <w:pPr>
        <w:pStyle w:val="CDIfootnotes"/>
      </w:pPr>
      <w:r>
        <w:t>c</w:t>
      </w:r>
      <w:r>
        <w:tab/>
        <w:t>Ribosomal deoxyribonucleic acid.</w:t>
      </w:r>
    </w:p>
    <w:p w14:paraId="56507996" w14:textId="77777777" w:rsidR="00F5470E" w:rsidRDefault="00F5470E" w:rsidP="00C46FD5">
      <w:pPr>
        <w:pStyle w:val="CDIfootnotes"/>
      </w:pPr>
      <w:r>
        <w:t>d</w:t>
      </w:r>
      <w:r>
        <w:tab/>
        <w:t>Video assisted thoracoscopy.</w:t>
      </w:r>
    </w:p>
    <w:p w14:paraId="685540A3" w14:textId="77777777" w:rsidR="00F5470E" w:rsidRPr="00C46FD5" w:rsidRDefault="00F5470E" w:rsidP="00C46FD5">
      <w:pPr>
        <w:pStyle w:val="Heading2"/>
      </w:pPr>
      <w:r w:rsidRPr="00C46FD5">
        <w:t xml:space="preserve">Other laboratory features </w:t>
      </w:r>
    </w:p>
    <w:p w14:paraId="299DA28E" w14:textId="77777777" w:rsidR="00F5470E" w:rsidRDefault="00F5470E" w:rsidP="00C46FD5">
      <w:r>
        <w:t xml:space="preserve">A respiratory viral infection was identified in 50% of patients tested (6 of 12). The viruses identified were influenza A (2), influenza B (2), metapneumovirus (1) and respiratory syncytial virus (RSV) / picornavirus co-infection (1). Four of 13 patients (31%) had </w:t>
      </w:r>
      <w:proofErr w:type="spellStart"/>
      <w:r>
        <w:t>leucopenia</w:t>
      </w:r>
      <w:proofErr w:type="spellEnd"/>
      <w:r>
        <w:t xml:space="preserve"> on presentation (white cell count 0.7–2.3 × 10</w:t>
      </w:r>
      <w:r>
        <w:rPr>
          <w:vertAlign w:val="superscript"/>
        </w:rPr>
        <w:t>9</w:t>
      </w:r>
      <w:r>
        <w:t>/L; normal range [NR] 4–11 × 10</w:t>
      </w:r>
      <w:r>
        <w:rPr>
          <w:vertAlign w:val="superscript"/>
        </w:rPr>
        <w:t>9</w:t>
      </w:r>
      <w:r>
        <w:t>/L); 2 had marked leucocytosis (50.6, 101.9 × 10</w:t>
      </w:r>
      <w:r>
        <w:rPr>
          <w:vertAlign w:val="superscript"/>
        </w:rPr>
        <w:t>9</w:t>
      </w:r>
      <w:r>
        <w:t xml:space="preserve">/L). A majority of patients (9 of 13, 69%) developed acute kidney injury with serum creatinine at least doubled from baseline. </w:t>
      </w:r>
    </w:p>
    <w:p w14:paraId="1F71E64C" w14:textId="77777777" w:rsidR="00A4790C" w:rsidRDefault="00A4790C">
      <w:pPr>
        <w:rPr>
          <w:rFonts w:asciiTheme="majorHAnsi" w:eastAsiaTheme="majorEastAsia" w:hAnsiTheme="majorHAnsi" w:cstheme="majorBidi"/>
          <w:b/>
          <w:bCs/>
          <w:sz w:val="26"/>
          <w:szCs w:val="26"/>
        </w:rPr>
      </w:pPr>
      <w:r>
        <w:br w:type="page"/>
      </w:r>
    </w:p>
    <w:p w14:paraId="6F9CBABD" w14:textId="77777777" w:rsidR="00F5470E" w:rsidRPr="00C46FD5" w:rsidRDefault="00F5470E" w:rsidP="00C46FD5">
      <w:pPr>
        <w:pStyle w:val="Heading2"/>
      </w:pPr>
      <w:r w:rsidRPr="00C46FD5">
        <w:lastRenderedPageBreak/>
        <w:t xml:space="preserve">Radiology </w:t>
      </w:r>
    </w:p>
    <w:p w14:paraId="6AB4C949" w14:textId="77777777" w:rsidR="00F5470E" w:rsidRDefault="00F5470E" w:rsidP="00C46FD5">
      <w:r>
        <w:t xml:space="preserve">The chest x-ray for most patients showed extensive consolidation which was </w:t>
      </w:r>
      <w:proofErr w:type="spellStart"/>
      <w:r>
        <w:t>multilobar</w:t>
      </w:r>
      <w:proofErr w:type="spellEnd"/>
      <w:r>
        <w:t xml:space="preserve"> in 3 of 13 (23%) and bilateral in 3 of 13 (23%); rapid progression of consolidation was frequent. </w:t>
      </w:r>
    </w:p>
    <w:p w14:paraId="349AF3A0" w14:textId="77777777" w:rsidR="00F5470E" w:rsidRPr="00C46FD5" w:rsidRDefault="00F5470E" w:rsidP="00C46FD5">
      <w:pPr>
        <w:pStyle w:val="Heading2"/>
      </w:pPr>
      <w:r w:rsidRPr="00C46FD5">
        <w:t xml:space="preserve">Non-severe </w:t>
      </w:r>
      <w:r w:rsidRPr="00C46FD5">
        <w:rPr>
          <w:rStyle w:val="Emphasis"/>
          <w:b/>
          <w:bCs/>
          <w:iCs w:val="0"/>
          <w:spacing w:val="0"/>
        </w:rPr>
        <w:t>S. pyogenes</w:t>
      </w:r>
      <w:r w:rsidRPr="00C46FD5">
        <w:rPr>
          <w:rStyle w:val="Emphasis"/>
          <w:b/>
          <w:bCs/>
          <w:i w:val="0"/>
          <w:iCs w:val="0"/>
          <w:spacing w:val="0"/>
        </w:rPr>
        <w:t xml:space="preserve"> </w:t>
      </w:r>
      <w:r w:rsidRPr="00C46FD5">
        <w:t xml:space="preserve">CAP </w:t>
      </w:r>
    </w:p>
    <w:p w14:paraId="37810F80" w14:textId="77777777" w:rsidR="00F5470E" w:rsidRDefault="00F5470E" w:rsidP="00C46FD5">
      <w:r>
        <w:t xml:space="preserve">In addition to the 12 patients with severe </w:t>
      </w:r>
      <w:r w:rsidRPr="002A1E41">
        <w:rPr>
          <w:rStyle w:val="Emphasis"/>
          <w:b w:val="0"/>
        </w:rPr>
        <w:t xml:space="preserve">S. pyogenes </w:t>
      </w:r>
      <w:r>
        <w:t xml:space="preserve">pneumonia requiring ICU admission, only one other patient was identified over the study period of 2007–2018 who was admitted to hospital with </w:t>
      </w:r>
      <w:r w:rsidRPr="002A1E41">
        <w:rPr>
          <w:rStyle w:val="Emphasis"/>
          <w:b w:val="0"/>
        </w:rPr>
        <w:t xml:space="preserve">S. pyogenes </w:t>
      </w:r>
      <w:r>
        <w:t xml:space="preserve">pneumonia of lesser severity (i.e. not requiring ICU admission). </w:t>
      </w:r>
    </w:p>
    <w:p w14:paraId="6D3C7B30" w14:textId="77777777" w:rsidR="00F5470E" w:rsidRPr="00C46FD5" w:rsidRDefault="00F5470E" w:rsidP="00C46FD5">
      <w:pPr>
        <w:pStyle w:val="Heading2"/>
      </w:pPr>
      <w:r w:rsidRPr="00C46FD5">
        <w:rPr>
          <w:i/>
        </w:rPr>
        <w:t>S. pyogenes</w:t>
      </w:r>
      <w:r w:rsidRPr="00C46FD5">
        <w:t xml:space="preserve"> and severe CAP frequency </w:t>
      </w:r>
    </w:p>
    <w:p w14:paraId="444ECA89" w14:textId="77777777" w:rsidR="00F5470E" w:rsidRDefault="00F5470E" w:rsidP="00C46FD5">
      <w:r>
        <w:t xml:space="preserve">There was an increase in the total number of invasive GAS episodes during 2017, with 49 episodes in that year compared to 29 episodes in 2016 and 12 to 25 cases per year in the other years of the study. </w:t>
      </w:r>
    </w:p>
    <w:p w14:paraId="1DBCCB67" w14:textId="77777777" w:rsidR="00F5470E" w:rsidRDefault="00F5470E" w:rsidP="00C46FD5">
      <w:r>
        <w:t xml:space="preserve">The yearly number of cases of severe CAP (defined by ICU admission) ranged from 42 to 77 during the study period. In 2017 there were 73 episodes, which was the third-highest yearly total recorded during 2007–2018. </w:t>
      </w:r>
    </w:p>
    <w:p w14:paraId="6ED3FBE4" w14:textId="77777777" w:rsidR="00F5470E" w:rsidRDefault="00F5470E" w:rsidP="00C46FD5">
      <w:r w:rsidRPr="002A1E41">
        <w:rPr>
          <w:rStyle w:val="Emphasis"/>
          <w:b w:val="0"/>
        </w:rPr>
        <w:t>S. pyogenes</w:t>
      </w:r>
      <w:r>
        <w:t xml:space="preserve"> accounted for 1.6% (12/728) cases of severe CAP over the course of the study. In 2017, 9.6% (7/73) of the patients with severe CAP had </w:t>
      </w:r>
      <w:r w:rsidRPr="002A1E41">
        <w:rPr>
          <w:rStyle w:val="Emphasis"/>
          <w:b w:val="0"/>
        </w:rPr>
        <w:t>S. pyogenes</w:t>
      </w:r>
      <w:r>
        <w:t xml:space="preserve"> infection; rates for other years studied were between zero and 2% with the exception of 2010 (3.5%, 2/57). </w:t>
      </w:r>
    </w:p>
    <w:p w14:paraId="557352FC" w14:textId="77777777" w:rsidR="00F5470E" w:rsidRPr="00C46FD5" w:rsidRDefault="00F5470E" w:rsidP="00C46FD5">
      <w:pPr>
        <w:pStyle w:val="Heading1"/>
      </w:pPr>
      <w:r w:rsidRPr="00C46FD5">
        <w:t xml:space="preserve">Discussion </w:t>
      </w:r>
    </w:p>
    <w:p w14:paraId="444382CF" w14:textId="77777777" w:rsidR="00F5470E" w:rsidRDefault="00F5470E" w:rsidP="00C46FD5">
      <w:r>
        <w:t xml:space="preserve">There have been a number of publications describing rates of invasive </w:t>
      </w:r>
      <w:r w:rsidRPr="002A1E41">
        <w:rPr>
          <w:rStyle w:val="Emphasis"/>
          <w:b w:val="0"/>
        </w:rPr>
        <w:t xml:space="preserve">S. pyogenes </w:t>
      </w:r>
      <w:r>
        <w:t>infection (iGAS) in different geographical areas, including data on the proportion of cases due to pneumonia as well as other types of infection (Table 1). The Australian studies were mostly performed in tropical regions with large Aboriginal and Torres Strait Islander populations. A study of iGAS epidemiology was reported from western Sydney although the patient numbers were relatively small.</w:t>
      </w:r>
      <w:r>
        <w:rPr>
          <w:vertAlign w:val="superscript"/>
        </w:rPr>
        <w:t>7</w:t>
      </w:r>
      <w:r>
        <w:t xml:space="preserve"> Pneumonia has accounted for between 6.6%</w:t>
      </w:r>
      <w:r>
        <w:rPr>
          <w:vertAlign w:val="superscript"/>
        </w:rPr>
        <w:t>4</w:t>
      </w:r>
      <w:r>
        <w:t xml:space="preserve"> and 10.8%</w:t>
      </w:r>
      <w:r>
        <w:rPr>
          <w:vertAlign w:val="superscript"/>
        </w:rPr>
        <w:t>3</w:t>
      </w:r>
      <w:r>
        <w:t xml:space="preserve"> of iGAS infections in published studies from different areas of Australia. The overall mortality from </w:t>
      </w:r>
      <w:r w:rsidR="00663A4C">
        <w:t>i</w:t>
      </w:r>
      <w:r>
        <w:t>GAS infection has ranged from 7%</w:t>
      </w:r>
      <w:r>
        <w:rPr>
          <w:vertAlign w:val="superscript"/>
        </w:rPr>
        <w:t>2</w:t>
      </w:r>
      <w:r>
        <w:t xml:space="preserve"> to 13.8%</w:t>
      </w:r>
      <w:r>
        <w:rPr>
          <w:vertAlign w:val="superscript"/>
        </w:rPr>
        <w:t>4</w:t>
      </w:r>
      <w:r>
        <w:t xml:space="preserve"> in Australian series, with the incidence between 2.1 per 100,000 per year in Victoria</w:t>
      </w:r>
      <w:r>
        <w:rPr>
          <w:vertAlign w:val="superscript"/>
        </w:rPr>
        <w:t xml:space="preserve">6 </w:t>
      </w:r>
      <w:r>
        <w:t>and 82.5 per 100,000 per year in Aboriginal and Torres Strait Islander people in North Queensland.</w:t>
      </w:r>
      <w:r>
        <w:rPr>
          <w:vertAlign w:val="superscript"/>
        </w:rPr>
        <w:t>2</w:t>
      </w:r>
      <w:r>
        <w:t xml:space="preserve"> Large series from western Europe and North America have reported the incidence of iGAS infections to range between 1.5 per 100,000 per year</w:t>
      </w:r>
      <w:r>
        <w:rPr>
          <w:vertAlign w:val="superscript"/>
        </w:rPr>
        <w:t>8</w:t>
      </w:r>
      <w:r>
        <w:t xml:space="preserve"> and 6.3 per 100,000 per year,</w:t>
      </w:r>
      <w:r>
        <w:rPr>
          <w:vertAlign w:val="superscript"/>
        </w:rPr>
        <w:t>9</w:t>
      </w:r>
      <w:r>
        <w:t xml:space="preserve"> comparable to that reported from Victoria. A consistent finding in larger surveys is that the mortality in GAS pneumonia is about twice that of </w:t>
      </w:r>
      <w:r w:rsidR="00F707A4">
        <w:t>i</w:t>
      </w:r>
      <w:r>
        <w:t>GAS infection as a whole.</w:t>
      </w:r>
      <w:r>
        <w:rPr>
          <w:vertAlign w:val="superscript"/>
        </w:rPr>
        <w:t xml:space="preserve">9 </w:t>
      </w:r>
    </w:p>
    <w:p w14:paraId="6CFE234D" w14:textId="77777777" w:rsidR="00F5470E" w:rsidRDefault="00F5470E" w:rsidP="00C46FD5">
      <w:r>
        <w:t xml:space="preserve">There have been several case series of </w:t>
      </w:r>
      <w:r w:rsidRPr="002A1E41">
        <w:rPr>
          <w:rStyle w:val="Emphasis"/>
          <w:b w:val="0"/>
        </w:rPr>
        <w:t xml:space="preserve">S. pyogenes </w:t>
      </w:r>
      <w:r>
        <w:t xml:space="preserve">pneumonia reported in the literature, as well as a literature review which included 16 cases from the past 3 decades. In the current study, the key features (Table 6) include high mortality and about half of the infections occurring in patients without pre-existing medical problems. A further 4 patients with severe </w:t>
      </w:r>
      <w:r w:rsidRPr="002A1E41">
        <w:rPr>
          <w:rStyle w:val="Emphasis"/>
          <w:b w:val="0"/>
        </w:rPr>
        <w:t xml:space="preserve">S. pyogenes </w:t>
      </w:r>
      <w:r>
        <w:t>pneumonia have been reported in detail since the above literature review.</w:t>
      </w:r>
      <w:r>
        <w:rPr>
          <w:vertAlign w:val="superscript"/>
        </w:rPr>
        <w:t>10–12</w:t>
      </w:r>
      <w:r>
        <w:t xml:space="preserve"> Other recent case series described 6 patients requiring ICU treatment for severe </w:t>
      </w:r>
      <w:r w:rsidRPr="002A1E41">
        <w:rPr>
          <w:rStyle w:val="Emphasis"/>
          <w:b w:val="0"/>
        </w:rPr>
        <w:t xml:space="preserve">S. pyogenes </w:t>
      </w:r>
      <w:r>
        <w:t>pneumonia over the period 1999–2016</w:t>
      </w:r>
      <w:r>
        <w:rPr>
          <w:vertAlign w:val="superscript"/>
        </w:rPr>
        <w:t>13</w:t>
      </w:r>
      <w:r>
        <w:t xml:space="preserve"> and 3 patients who rapidly died from severe </w:t>
      </w:r>
      <w:r w:rsidRPr="002A1E41">
        <w:rPr>
          <w:rStyle w:val="Emphasis"/>
          <w:b w:val="0"/>
        </w:rPr>
        <w:t xml:space="preserve">S. pyogenes </w:t>
      </w:r>
      <w:r>
        <w:t>pneumonia with pulmonary haemorrhage.</w:t>
      </w:r>
      <w:r>
        <w:rPr>
          <w:vertAlign w:val="superscript"/>
        </w:rPr>
        <w:t xml:space="preserve">14 </w:t>
      </w:r>
    </w:p>
    <w:p w14:paraId="6C9D3496" w14:textId="77777777" w:rsidR="00F5470E" w:rsidRDefault="00F5470E" w:rsidP="00C46FD5">
      <w:r>
        <w:t xml:space="preserve">The current study found a lower mortality rate (15%) than did the literature review for </w:t>
      </w:r>
      <w:r w:rsidRPr="002A1E41">
        <w:rPr>
          <w:rStyle w:val="Emphasis"/>
          <w:b w:val="0"/>
        </w:rPr>
        <w:t xml:space="preserve">S. pyogenes </w:t>
      </w:r>
      <w:r>
        <w:t>pneumonia (38%)</w:t>
      </w:r>
      <w:r>
        <w:rPr>
          <w:vertAlign w:val="superscript"/>
        </w:rPr>
        <w:t>15</w:t>
      </w:r>
      <w:r>
        <w:t xml:space="preserve"> or the two largest case series of GAS pneumonia (20%, 47%).</w:t>
      </w:r>
      <w:r>
        <w:rPr>
          <w:vertAlign w:val="superscript"/>
        </w:rPr>
        <w:t>16,17</w:t>
      </w:r>
      <w:r>
        <w:t xml:space="preserve"> Previous studies showed relatively high proportions of otherwise healthy patients (32 to 63%),</w:t>
      </w:r>
      <w:r>
        <w:rPr>
          <w:vertAlign w:val="superscript"/>
        </w:rPr>
        <w:t>15,16</w:t>
      </w:r>
      <w:r>
        <w:t xml:space="preserve"> similar to our findings that 6 of 12 (50%) patients with severe </w:t>
      </w:r>
      <w:r w:rsidRPr="002A1E41">
        <w:rPr>
          <w:rStyle w:val="Emphasis"/>
          <w:b w:val="0"/>
        </w:rPr>
        <w:t xml:space="preserve">S. pyogenes </w:t>
      </w:r>
      <w:r>
        <w:t xml:space="preserve">pneumonia lacked significant comorbidities. We found that 50% of patients (6/12) had viral coinfection, which was particularly common during the 2017 upsurge in incidence of </w:t>
      </w:r>
      <w:r w:rsidRPr="002A1E41">
        <w:rPr>
          <w:rStyle w:val="Emphasis"/>
          <w:b w:val="0"/>
        </w:rPr>
        <w:t xml:space="preserve">S. pyogenes </w:t>
      </w:r>
      <w:r>
        <w:t xml:space="preserve">pneumonia (5 of 7 </w:t>
      </w:r>
      <w:r>
        <w:lastRenderedPageBreak/>
        <w:t xml:space="preserve">patients tested) and included human metapneumovirus and RSV as well as influenza; the former two viruses have not been described before in association with </w:t>
      </w:r>
      <w:r w:rsidRPr="002A1E41">
        <w:rPr>
          <w:rStyle w:val="Emphasis"/>
          <w:b w:val="0"/>
        </w:rPr>
        <w:t xml:space="preserve">S. pyogenes </w:t>
      </w:r>
      <w:r>
        <w:t>pneumonia to our knowledge. The 2017 influenza season reported unprecedented high incidences in New South Wales (Table 3).</w:t>
      </w:r>
    </w:p>
    <w:p w14:paraId="65F742D2" w14:textId="77777777" w:rsidR="00F5470E" w:rsidRDefault="00F5470E" w:rsidP="00C46FD5">
      <w:r>
        <w:t xml:space="preserve">We found that </w:t>
      </w:r>
      <w:r w:rsidRPr="002A1E41">
        <w:rPr>
          <w:rStyle w:val="Emphasis"/>
          <w:b w:val="0"/>
        </w:rPr>
        <w:t xml:space="preserve">S. pyogenes </w:t>
      </w:r>
      <w:r>
        <w:t xml:space="preserve">was an uncommon cause of severe CAP, accounting for just 1.6% of 728 episodes over the period 2007–2018, but 9.6% of 73 episodes occurring in 2017. </w:t>
      </w:r>
      <w:r w:rsidRPr="002A1E41">
        <w:rPr>
          <w:rStyle w:val="Emphasis"/>
          <w:b w:val="0"/>
        </w:rPr>
        <w:t xml:space="preserve">S. pyogenes </w:t>
      </w:r>
      <w:r>
        <w:t xml:space="preserve">pneumonia was usually severe, as shown by the requirement for ICU admission in 12 of 13 patients (92%) admitted to hospital. The rate of preceding influenza infection (4/13; 31%) in this study is noteworthy and warrants further investigation from other locations in Australia. The exact pathogenesis of influenza virus predisposing to </w:t>
      </w:r>
      <w:r w:rsidRPr="002A1E41">
        <w:rPr>
          <w:rStyle w:val="Emphasis"/>
          <w:b w:val="0"/>
        </w:rPr>
        <w:t xml:space="preserve">S. pyogenes </w:t>
      </w:r>
      <w:r>
        <w:t xml:space="preserve">pneumonia is not clear but believed to be due to several factors including increased production of fibronectin during influenza infection; increased accessibility of </w:t>
      </w:r>
      <w:r w:rsidRPr="002A1E41">
        <w:rPr>
          <w:rStyle w:val="Emphasis"/>
          <w:b w:val="0"/>
        </w:rPr>
        <w:t xml:space="preserve">S. pyogenes </w:t>
      </w:r>
      <w:r>
        <w:t>to bind to fibronectin, facilitated by removal of sialic acid residues from the surfaces of host cells;, and activation of TGF-β by the neuraminidase enzyme. The latter process results in a signalling cascade causing increased fibronectin expression and hence bacterial adherence.</w:t>
      </w:r>
      <w:r>
        <w:rPr>
          <w:vertAlign w:val="superscript"/>
        </w:rPr>
        <w:t>18</w:t>
      </w:r>
      <w:r>
        <w:t xml:space="preserve"> The protective effect of influenza vaccine on bacterial superinfection and severe bacterial pneumonia is uncertain. Another study showed that influenza vaccine led to enhanced clearance of microorganisms in the superinfected mice and hence suppressed mortality.</w:t>
      </w:r>
      <w:r>
        <w:rPr>
          <w:vertAlign w:val="superscript"/>
        </w:rPr>
        <w:t xml:space="preserve">19 </w:t>
      </w:r>
    </w:p>
    <w:p w14:paraId="59CB5485" w14:textId="77777777" w:rsidR="00F5470E" w:rsidRDefault="00F5470E" w:rsidP="00C46FD5">
      <w:r>
        <w:t xml:space="preserve">This study is one of the largest case series of adult </w:t>
      </w:r>
      <w:r w:rsidRPr="002A1E41">
        <w:rPr>
          <w:rStyle w:val="Emphasis"/>
          <w:b w:val="0"/>
        </w:rPr>
        <w:t xml:space="preserve">S. pyogenes </w:t>
      </w:r>
      <w:r>
        <w:t xml:space="preserve">pneumonia reported in the literature. We employed a search strategy that maximised the identification of cases of </w:t>
      </w:r>
      <w:r w:rsidRPr="002A1E41">
        <w:rPr>
          <w:rStyle w:val="Emphasis"/>
          <w:b w:val="0"/>
        </w:rPr>
        <w:t xml:space="preserve">S. pyogenes </w:t>
      </w:r>
      <w:r>
        <w:t xml:space="preserve">pneumonia by using multiple sources of data (ICU database for patient identification, pathology database for blood or pleural fluid cultures) and cross-checking with chest x-ray reports and electronic medical records. The ICU database search terms were intentionally broad (e.g. pneumonia, sepsis, respiratory infection) to avoid missing cases. It is possible that some cases of </w:t>
      </w:r>
      <w:r w:rsidRPr="002A1E41">
        <w:rPr>
          <w:rStyle w:val="Emphasis"/>
          <w:b w:val="0"/>
        </w:rPr>
        <w:t xml:space="preserve">S. pyogenes </w:t>
      </w:r>
      <w:r>
        <w:t xml:space="preserve">pneumonia were missed if positive cultures were performed by other pathology services, although the number was expected to be very small. Patients treated in a private hospital may also have been missed. Potential weaknesses of the study included a subjective definition of severe CAP (though used in numerous past studies), the geographically limited study population, not having detailed local data on overall iGAS incidence and the lack of </w:t>
      </w:r>
      <w:r w:rsidRPr="002A1E41">
        <w:rPr>
          <w:rStyle w:val="Emphasis"/>
          <w:b w:val="0"/>
        </w:rPr>
        <w:t>emm</w:t>
      </w:r>
      <w:r>
        <w:t xml:space="preserve">-typing of the </w:t>
      </w:r>
      <w:r w:rsidRPr="002A1E41">
        <w:rPr>
          <w:rStyle w:val="Emphasis"/>
          <w:b w:val="0"/>
        </w:rPr>
        <w:t xml:space="preserve">S. pyogenes </w:t>
      </w:r>
      <w:r>
        <w:t xml:space="preserve">isolates. </w:t>
      </w:r>
    </w:p>
    <w:p w14:paraId="6876512C" w14:textId="77777777" w:rsidR="00F5470E" w:rsidRDefault="00F5470E" w:rsidP="00C46FD5">
      <w:r>
        <w:t xml:space="preserve">Likely reasons for the increased incidence of </w:t>
      </w:r>
      <w:r w:rsidRPr="002A1E41">
        <w:rPr>
          <w:rStyle w:val="Emphasis"/>
          <w:b w:val="0"/>
        </w:rPr>
        <w:t xml:space="preserve">S. pyogenes </w:t>
      </w:r>
      <w:r>
        <w:t xml:space="preserve">pneumonia during 2017 may include the increased circulation and infection rates for influenza (Table 3) and other respiratory viruses, changes in circulating strains of </w:t>
      </w:r>
      <w:r w:rsidRPr="002A1E41">
        <w:rPr>
          <w:rStyle w:val="Emphasis"/>
          <w:b w:val="0"/>
        </w:rPr>
        <w:t xml:space="preserve">S. pyogenes </w:t>
      </w:r>
      <w:r>
        <w:t xml:space="preserve">with more virulent strains predominating, and declining community and individual patient antibody titres against the prevalent strains of </w:t>
      </w:r>
      <w:r w:rsidRPr="002A1E41">
        <w:rPr>
          <w:rStyle w:val="Emphasis"/>
          <w:b w:val="0"/>
        </w:rPr>
        <w:t>S. pyogenes</w:t>
      </w:r>
      <w:r>
        <w:t xml:space="preserve">. Further molecular analysis of the </w:t>
      </w:r>
      <w:r w:rsidRPr="002A1E41">
        <w:rPr>
          <w:rStyle w:val="Emphasis"/>
          <w:b w:val="0"/>
        </w:rPr>
        <w:t xml:space="preserve">S. pyogenes </w:t>
      </w:r>
      <w:r>
        <w:t xml:space="preserve">isolates was not possible for reasons of funding, but </w:t>
      </w:r>
      <w:r w:rsidRPr="002A1E41">
        <w:rPr>
          <w:rStyle w:val="Emphasis"/>
          <w:b w:val="0"/>
        </w:rPr>
        <w:t>emm</w:t>
      </w:r>
      <w:r>
        <w:t xml:space="preserve">-typing may have been helpful to further characterise the local epidemiology of invasive </w:t>
      </w:r>
      <w:r w:rsidRPr="002A1E41">
        <w:rPr>
          <w:rStyle w:val="Emphasis"/>
          <w:b w:val="0"/>
        </w:rPr>
        <w:t xml:space="preserve">S. pyogenes </w:t>
      </w:r>
      <w:r>
        <w:t xml:space="preserve">infection. Specifically, the emergence of a new </w:t>
      </w:r>
      <w:r w:rsidRPr="002A1E41">
        <w:rPr>
          <w:rStyle w:val="Emphasis"/>
          <w:b w:val="0"/>
        </w:rPr>
        <w:t>emm</w:t>
      </w:r>
      <w:r>
        <w:t xml:space="preserve"> type or increased circulation of an existing </w:t>
      </w:r>
      <w:r w:rsidRPr="002A1E41">
        <w:rPr>
          <w:rStyle w:val="Emphasis"/>
          <w:b w:val="0"/>
        </w:rPr>
        <w:t>emm</w:t>
      </w:r>
      <w:r>
        <w:t xml:space="preserve"> type with particular tropism for causing pneumonia would have relevance to the community. Results of molecular analysis may also strengthen the case for mandatory public health notification of iGAS episodes, and may contribute toward the potential development of a GAS polyvalent vaccine in the future. To this end, a study which aims to study the local epidemiology of </w:t>
      </w:r>
      <w:r w:rsidR="004206DC">
        <w:t>i</w:t>
      </w:r>
      <w:r>
        <w:t xml:space="preserve">GAS infection in more detail, with the addition of typing, is underway. </w:t>
      </w:r>
    </w:p>
    <w:p w14:paraId="1E15038A" w14:textId="77777777" w:rsidR="00F5470E" w:rsidRPr="00C46FD5" w:rsidRDefault="00F5470E" w:rsidP="00C46FD5">
      <w:pPr>
        <w:pStyle w:val="Heading1"/>
      </w:pPr>
      <w:r w:rsidRPr="00C46FD5">
        <w:t xml:space="preserve">Conclusion </w:t>
      </w:r>
    </w:p>
    <w:p w14:paraId="273596F5" w14:textId="77777777" w:rsidR="00F5470E" w:rsidRDefault="00F5470E" w:rsidP="00C46FD5">
      <w:r>
        <w:t xml:space="preserve">In the Newcastle area, </w:t>
      </w:r>
      <w:r w:rsidRPr="002A1E41">
        <w:rPr>
          <w:rStyle w:val="Emphasis"/>
          <w:b w:val="0"/>
        </w:rPr>
        <w:t xml:space="preserve">Streptococcus pyogenes </w:t>
      </w:r>
      <w:r>
        <w:t xml:space="preserve">was an uncommon cause of severe community-acquired pneumonia during 2007 to 2018, but a dramatic increase in cases occurred during the severe influenza season in 2017. Viral coinfection occurred in half of the patients with severe </w:t>
      </w:r>
      <w:r w:rsidRPr="002A1E41">
        <w:rPr>
          <w:rStyle w:val="Emphasis"/>
          <w:b w:val="0"/>
        </w:rPr>
        <w:t xml:space="preserve">S. pyogenes </w:t>
      </w:r>
      <w:r>
        <w:t xml:space="preserve">pneumonia, including RSV and human metapneumovirus as well as influenza A and B. </w:t>
      </w:r>
      <w:r w:rsidRPr="002A1E41">
        <w:rPr>
          <w:rStyle w:val="Emphasis"/>
          <w:b w:val="0"/>
        </w:rPr>
        <w:t xml:space="preserve">Streptococcus pyogenes </w:t>
      </w:r>
      <w:r>
        <w:t xml:space="preserve">pneumonia was typically a severe bacteraemic illness with most patients requiring ICU admission and prolonged hospital admission, despite a </w:t>
      </w:r>
      <w:r>
        <w:lastRenderedPageBreak/>
        <w:t xml:space="preserve">relatively low age range with many being previously healthy. Further study of the </w:t>
      </w:r>
      <w:r w:rsidRPr="002A1E41">
        <w:rPr>
          <w:rStyle w:val="Emphasis"/>
          <w:b w:val="0"/>
        </w:rPr>
        <w:t xml:space="preserve">S. pyogenes </w:t>
      </w:r>
      <w:r>
        <w:t xml:space="preserve">isolates, including </w:t>
      </w:r>
      <w:r w:rsidRPr="002A1E41">
        <w:rPr>
          <w:rStyle w:val="Emphasis"/>
          <w:b w:val="0"/>
        </w:rPr>
        <w:t xml:space="preserve">emm </w:t>
      </w:r>
      <w:r>
        <w:t xml:space="preserve">typing and more data on </w:t>
      </w:r>
      <w:r w:rsidRPr="002A1E41">
        <w:rPr>
          <w:rStyle w:val="Emphasis"/>
          <w:b w:val="0"/>
        </w:rPr>
        <w:t xml:space="preserve">S. pyogenes </w:t>
      </w:r>
      <w:r>
        <w:t xml:space="preserve">CAP and overall iGAS incidence in NSW, may help our understanding of the local epidemiology of this severe infection. </w:t>
      </w:r>
    </w:p>
    <w:p w14:paraId="4DECF5F7" w14:textId="77777777" w:rsidR="00F5470E" w:rsidRPr="00C46FD5" w:rsidRDefault="00F5470E" w:rsidP="00C46FD5">
      <w:pPr>
        <w:pStyle w:val="Heading1"/>
      </w:pPr>
      <w:r w:rsidRPr="00C46FD5">
        <w:t xml:space="preserve">Author details </w:t>
      </w:r>
    </w:p>
    <w:p w14:paraId="16A4F114" w14:textId="77777777" w:rsidR="00F5470E" w:rsidRDefault="00F5470E" w:rsidP="00C46FD5">
      <w:r>
        <w:t>Paul A.Wilson</w:t>
      </w:r>
      <w:r>
        <w:rPr>
          <w:vertAlign w:val="superscript"/>
        </w:rPr>
        <w:t>1</w:t>
      </w:r>
      <w:r>
        <w:t xml:space="preserve"> </w:t>
      </w:r>
    </w:p>
    <w:p w14:paraId="50C158C4" w14:textId="77777777" w:rsidR="00F5470E" w:rsidRDefault="00F5470E" w:rsidP="00C46FD5">
      <w:proofErr w:type="spellStart"/>
      <w:r>
        <w:t>Hemalatha</w:t>
      </w:r>
      <w:proofErr w:type="spellEnd"/>
      <w:r>
        <w:t xml:space="preserve"> Varadhan</w:t>
      </w:r>
      <w:r>
        <w:rPr>
          <w:vertAlign w:val="superscript"/>
        </w:rPr>
        <w:t xml:space="preserve">2 </w:t>
      </w:r>
    </w:p>
    <w:p w14:paraId="24774281" w14:textId="77777777" w:rsidR="00F5470E" w:rsidRPr="00C46FD5" w:rsidRDefault="00F5470E" w:rsidP="00C46FD5">
      <w:pPr>
        <w:pStyle w:val="ListParagraph"/>
        <w:numPr>
          <w:ilvl w:val="0"/>
          <w:numId w:val="9"/>
        </w:numPr>
        <w:rPr>
          <w:rFonts w:eastAsia="Times New Roman"/>
        </w:rPr>
      </w:pPr>
      <w:r w:rsidRPr="00C46FD5">
        <w:rPr>
          <w:rFonts w:eastAsia="Times New Roman"/>
        </w:rPr>
        <w:t xml:space="preserve">Staff specialist physician, Calvary Mater Newcastle, Waratah, New South Wales, Australia </w:t>
      </w:r>
    </w:p>
    <w:p w14:paraId="0E3F068A" w14:textId="77777777" w:rsidR="00F5470E" w:rsidRPr="00C46FD5" w:rsidRDefault="00F5470E" w:rsidP="00C46FD5">
      <w:pPr>
        <w:pStyle w:val="ListParagraph"/>
        <w:numPr>
          <w:ilvl w:val="0"/>
          <w:numId w:val="9"/>
        </w:numPr>
        <w:rPr>
          <w:rFonts w:eastAsia="Times New Roman"/>
        </w:rPr>
      </w:pPr>
      <w:r w:rsidRPr="00C46FD5">
        <w:rPr>
          <w:rFonts w:eastAsia="Times New Roman"/>
        </w:rPr>
        <w:t xml:space="preserve">Clinical microbiologist, Pathology North – Hunter, NSW Pathology, New South Wales, Australia </w:t>
      </w:r>
    </w:p>
    <w:p w14:paraId="22EA8E0A" w14:textId="77777777" w:rsidR="00F5470E" w:rsidRPr="00C46FD5" w:rsidRDefault="00F5470E" w:rsidP="00C46FD5">
      <w:pPr>
        <w:pStyle w:val="Heading1"/>
      </w:pPr>
      <w:r w:rsidRPr="00C46FD5">
        <w:t xml:space="preserve">Corresponding author </w:t>
      </w:r>
    </w:p>
    <w:p w14:paraId="1B57C810" w14:textId="77777777" w:rsidR="00F5470E" w:rsidRDefault="00F5470E" w:rsidP="00C46FD5">
      <w:r>
        <w:t xml:space="preserve">Dr Paul </w:t>
      </w:r>
      <w:proofErr w:type="spellStart"/>
      <w:r>
        <w:t>A.Wilson</w:t>
      </w:r>
      <w:proofErr w:type="spellEnd"/>
      <w:r>
        <w:t xml:space="preserve"> </w:t>
      </w:r>
    </w:p>
    <w:p w14:paraId="11A2CAA8" w14:textId="77777777" w:rsidR="00F5470E" w:rsidRDefault="00F5470E" w:rsidP="00C46FD5">
      <w:r>
        <w:t xml:space="preserve">Calvary Mater Newcastle, Department of Medicine, Edith St, Waratah NSW 2298, Australia. </w:t>
      </w:r>
    </w:p>
    <w:p w14:paraId="2D455564" w14:textId="77777777" w:rsidR="00F5470E" w:rsidRDefault="00F5470E" w:rsidP="00C46FD5">
      <w:r>
        <w:t xml:space="preserve">Phone: 0413 243358 </w:t>
      </w:r>
    </w:p>
    <w:p w14:paraId="57E9A64F" w14:textId="77777777" w:rsidR="00F5470E" w:rsidRDefault="00F5470E" w:rsidP="00C46FD5">
      <w:r>
        <w:t xml:space="preserve">E-mail: paul.wilson@calvarymater.org.au </w:t>
      </w:r>
    </w:p>
    <w:p w14:paraId="399DFB64" w14:textId="77777777" w:rsidR="00F5470E" w:rsidRPr="00C46FD5" w:rsidRDefault="00F5470E" w:rsidP="00C46FD5">
      <w:pPr>
        <w:pStyle w:val="Heading1"/>
      </w:pPr>
      <w:r w:rsidRPr="00C46FD5">
        <w:t xml:space="preserve">References </w:t>
      </w:r>
    </w:p>
    <w:p w14:paraId="7CC20B3C" w14:textId="77777777" w:rsidR="00F5470E" w:rsidRPr="00C46FD5" w:rsidRDefault="00F5470E" w:rsidP="00C46FD5">
      <w:pPr>
        <w:pStyle w:val="ListParagraph"/>
        <w:numPr>
          <w:ilvl w:val="0"/>
          <w:numId w:val="10"/>
        </w:numPr>
        <w:rPr>
          <w:rFonts w:eastAsia="Times New Roman"/>
        </w:rPr>
      </w:pPr>
      <w:proofErr w:type="spellStart"/>
      <w:r w:rsidRPr="00C46FD5">
        <w:rPr>
          <w:rFonts w:eastAsia="Times New Roman"/>
        </w:rPr>
        <w:t>Morens</w:t>
      </w:r>
      <w:proofErr w:type="spellEnd"/>
      <w:r w:rsidRPr="00C46FD5">
        <w:rPr>
          <w:rFonts w:eastAsia="Times New Roman"/>
        </w:rPr>
        <w:t xml:space="preserve"> DM, Taubenberger JK. A forgotten epidemic that changed medicine: measles in the US Army, 1917-18. </w:t>
      </w:r>
      <w:r w:rsidRPr="00C46FD5">
        <w:rPr>
          <w:rStyle w:val="Emphasis"/>
          <w:rFonts w:eastAsia="Times New Roman"/>
          <w:b w:val="0"/>
        </w:rPr>
        <w:t>Lancet Infect Dis</w:t>
      </w:r>
      <w:r w:rsidRPr="00C46FD5">
        <w:rPr>
          <w:rFonts w:eastAsia="Times New Roman"/>
        </w:rPr>
        <w:t xml:space="preserve">. 2015;15(7):852–61. </w:t>
      </w:r>
    </w:p>
    <w:p w14:paraId="3B35E9D1"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Norton R, Smith HV, Wood N, </w:t>
      </w:r>
      <w:proofErr w:type="spellStart"/>
      <w:r w:rsidRPr="00C46FD5">
        <w:rPr>
          <w:rFonts w:eastAsia="Times New Roman"/>
        </w:rPr>
        <w:t>Siegbrecht</w:t>
      </w:r>
      <w:proofErr w:type="spellEnd"/>
      <w:r w:rsidRPr="00C46FD5">
        <w:rPr>
          <w:rFonts w:eastAsia="Times New Roman"/>
        </w:rPr>
        <w:t xml:space="preserve"> E, Ross A, </w:t>
      </w:r>
      <w:proofErr w:type="spellStart"/>
      <w:r w:rsidRPr="00C46FD5">
        <w:rPr>
          <w:rFonts w:eastAsia="Times New Roman"/>
        </w:rPr>
        <w:t>Ketheesan</w:t>
      </w:r>
      <w:proofErr w:type="spellEnd"/>
      <w:r w:rsidRPr="00C46FD5">
        <w:rPr>
          <w:rFonts w:eastAsia="Times New Roman"/>
        </w:rPr>
        <w:t xml:space="preserve"> N. Invasive group A streptococcal disease in North Queensland (1996–2001). </w:t>
      </w:r>
      <w:r w:rsidRPr="00C46FD5">
        <w:rPr>
          <w:rStyle w:val="Emphasis"/>
          <w:rFonts w:eastAsia="Times New Roman"/>
          <w:b w:val="0"/>
        </w:rPr>
        <w:t>Indian J Med Res</w:t>
      </w:r>
      <w:r w:rsidRPr="00C46FD5">
        <w:rPr>
          <w:rFonts w:eastAsia="Times New Roman"/>
        </w:rPr>
        <w:t xml:space="preserve">. 2004;119(Suppl):148–51. </w:t>
      </w:r>
    </w:p>
    <w:p w14:paraId="1E57DBDB"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O’Grady K, Kelpie L, Andrews RM. The epidemiology of invasive group A streptococcal disease in Victoria, Australia. </w:t>
      </w:r>
      <w:r w:rsidRPr="00C46FD5">
        <w:rPr>
          <w:rStyle w:val="Emphasis"/>
          <w:rFonts w:eastAsia="Times New Roman"/>
          <w:b w:val="0"/>
        </w:rPr>
        <w:t>Med J Aust</w:t>
      </w:r>
      <w:r w:rsidRPr="00C46FD5">
        <w:rPr>
          <w:rFonts w:eastAsia="Times New Roman"/>
        </w:rPr>
        <w:t xml:space="preserve">. 2007;186(11): 565–9. </w:t>
      </w:r>
    </w:p>
    <w:p w14:paraId="2B9A2DBC"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Gear RJ, Carter JC, </w:t>
      </w:r>
      <w:proofErr w:type="spellStart"/>
      <w:r w:rsidRPr="00C46FD5">
        <w:rPr>
          <w:rFonts w:eastAsia="Times New Roman"/>
        </w:rPr>
        <w:t>Carapetis</w:t>
      </w:r>
      <w:proofErr w:type="spellEnd"/>
      <w:r w:rsidRPr="00C46FD5">
        <w:rPr>
          <w:rFonts w:eastAsia="Times New Roman"/>
        </w:rPr>
        <w:t xml:space="preserve"> JR, Baird R, Davis JS. Changes in the clinical and epidemiological features of group A streptococcal bacteraemia in Australia’s Northern Territory. </w:t>
      </w:r>
      <w:r w:rsidRPr="00C46FD5">
        <w:rPr>
          <w:rStyle w:val="Emphasis"/>
          <w:rFonts w:eastAsia="Times New Roman"/>
          <w:b w:val="0"/>
        </w:rPr>
        <w:t>Trop Med Int Health</w:t>
      </w:r>
      <w:r w:rsidRPr="00C46FD5">
        <w:rPr>
          <w:rFonts w:eastAsia="Times New Roman"/>
        </w:rPr>
        <w:t xml:space="preserve">. 2015;20(1):40–7. </w:t>
      </w:r>
    </w:p>
    <w:p w14:paraId="54D96295"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Boyd R, Patel M, Currie BJ, Holt DC, Harris T, Krause V. High burden of invasive group A streptococcal disease in the Northern Territory of Australia. </w:t>
      </w:r>
      <w:r w:rsidRPr="00C46FD5">
        <w:rPr>
          <w:rStyle w:val="Emphasis"/>
          <w:rFonts w:eastAsia="Times New Roman"/>
          <w:b w:val="0"/>
        </w:rPr>
        <w:t>Epidemiol Infect</w:t>
      </w:r>
      <w:r w:rsidRPr="00C46FD5">
        <w:rPr>
          <w:rFonts w:eastAsia="Times New Roman"/>
        </w:rPr>
        <w:t xml:space="preserve">. 2016;144(5):1018–27. </w:t>
      </w:r>
    </w:p>
    <w:p w14:paraId="32A7CD70"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Oliver J, Wilmot M, Strachan J, St George S, Lane CR, Ballard SA et al. Recent trends in invasive group A </w:t>
      </w:r>
      <w:r w:rsidRPr="00C46FD5">
        <w:rPr>
          <w:rStyle w:val="Emphasis"/>
          <w:rFonts w:eastAsia="Times New Roman"/>
          <w:b w:val="0"/>
        </w:rPr>
        <w:t>Streptococcus</w:t>
      </w:r>
      <w:r w:rsidRPr="00C46FD5">
        <w:rPr>
          <w:rFonts w:eastAsia="Times New Roman"/>
        </w:rPr>
        <w:t xml:space="preserve"> disease in Victoria. </w:t>
      </w:r>
      <w:r w:rsidRPr="00C46FD5">
        <w:rPr>
          <w:rStyle w:val="Emphasis"/>
          <w:rFonts w:eastAsia="Times New Roman"/>
          <w:b w:val="0"/>
        </w:rPr>
        <w:t>Commun Dis Intell (2018)</w:t>
      </w:r>
      <w:r w:rsidRPr="00C46FD5">
        <w:rPr>
          <w:rFonts w:eastAsia="Times New Roman"/>
        </w:rPr>
        <w:t xml:space="preserve">. 2019;43. doi: ttps://doi.org/10.33321/cdi.2019.43.8. </w:t>
      </w:r>
    </w:p>
    <w:p w14:paraId="6A811D53" w14:textId="77777777" w:rsidR="00F5470E" w:rsidRPr="00C46FD5" w:rsidRDefault="00F5470E" w:rsidP="00C46FD5">
      <w:pPr>
        <w:pStyle w:val="ListParagraph"/>
        <w:numPr>
          <w:ilvl w:val="0"/>
          <w:numId w:val="10"/>
        </w:numPr>
        <w:rPr>
          <w:rFonts w:eastAsia="Times New Roman"/>
        </w:rPr>
      </w:pPr>
      <w:proofErr w:type="spellStart"/>
      <w:r w:rsidRPr="00C46FD5">
        <w:rPr>
          <w:rFonts w:eastAsia="Times New Roman"/>
        </w:rPr>
        <w:t>Sivagnanam</w:t>
      </w:r>
      <w:proofErr w:type="spellEnd"/>
      <w:r w:rsidRPr="00C46FD5">
        <w:rPr>
          <w:rFonts w:eastAsia="Times New Roman"/>
        </w:rPr>
        <w:t xml:space="preserve"> S, Zhou F, Lee AS, O’Sullivan MVN. Epidemiology of invasive group A Streptococcus infections in Sydney, Australia. </w:t>
      </w:r>
      <w:r w:rsidRPr="00C46FD5">
        <w:rPr>
          <w:rStyle w:val="Emphasis"/>
          <w:rFonts w:eastAsia="Times New Roman"/>
          <w:b w:val="0"/>
        </w:rPr>
        <w:t>Pathology</w:t>
      </w:r>
      <w:r w:rsidRPr="00C46FD5">
        <w:rPr>
          <w:rFonts w:eastAsia="Times New Roman"/>
        </w:rPr>
        <w:t xml:space="preserve">. 2015;47(4):365–71. </w:t>
      </w:r>
    </w:p>
    <w:p w14:paraId="764ED89C"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Davies HD, </w:t>
      </w:r>
      <w:proofErr w:type="spellStart"/>
      <w:r w:rsidRPr="00C46FD5">
        <w:rPr>
          <w:rFonts w:eastAsia="Times New Roman"/>
        </w:rPr>
        <w:t>McGeer</w:t>
      </w:r>
      <w:proofErr w:type="spellEnd"/>
      <w:r w:rsidRPr="00C46FD5">
        <w:rPr>
          <w:rFonts w:eastAsia="Times New Roman"/>
        </w:rPr>
        <w:t xml:space="preserve"> A, Schwartz B, Green K, </w:t>
      </w:r>
      <w:proofErr w:type="spellStart"/>
      <w:r w:rsidRPr="00C46FD5">
        <w:rPr>
          <w:rFonts w:eastAsia="Times New Roman"/>
        </w:rPr>
        <w:t>Cann</w:t>
      </w:r>
      <w:proofErr w:type="spellEnd"/>
      <w:r w:rsidRPr="00C46FD5">
        <w:rPr>
          <w:rFonts w:eastAsia="Times New Roman"/>
        </w:rPr>
        <w:t xml:space="preserve"> D, </w:t>
      </w:r>
      <w:proofErr w:type="spellStart"/>
      <w:r w:rsidRPr="00C46FD5">
        <w:rPr>
          <w:rFonts w:eastAsia="Times New Roman"/>
        </w:rPr>
        <w:t>Simor</w:t>
      </w:r>
      <w:proofErr w:type="spellEnd"/>
      <w:r w:rsidRPr="00C46FD5">
        <w:rPr>
          <w:rFonts w:eastAsia="Times New Roman"/>
        </w:rPr>
        <w:t xml:space="preserve"> AE et al. Invasive group A streptococcal infections in Ontario, Canada. </w:t>
      </w:r>
      <w:r w:rsidRPr="00C46FD5">
        <w:rPr>
          <w:rStyle w:val="Emphasis"/>
          <w:rFonts w:eastAsia="Times New Roman"/>
          <w:b w:val="0"/>
        </w:rPr>
        <w:t>N Engl J Med</w:t>
      </w:r>
      <w:r w:rsidRPr="00C46FD5">
        <w:rPr>
          <w:rFonts w:eastAsia="Times New Roman"/>
        </w:rPr>
        <w:t xml:space="preserve">. 1996; 335(8):547–54. </w:t>
      </w:r>
    </w:p>
    <w:p w14:paraId="49D8C23F"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Tyrrell GJ, </w:t>
      </w:r>
      <w:proofErr w:type="spellStart"/>
      <w:r w:rsidRPr="00C46FD5">
        <w:rPr>
          <w:rFonts w:eastAsia="Times New Roman"/>
        </w:rPr>
        <w:t>Lovgren</w:t>
      </w:r>
      <w:proofErr w:type="spellEnd"/>
      <w:r w:rsidRPr="00C46FD5">
        <w:rPr>
          <w:rFonts w:eastAsia="Times New Roman"/>
        </w:rPr>
        <w:t xml:space="preserve"> M, St Jean T, Hoang L, Patrick DM, Horsman G et al. Epidemic of group A </w:t>
      </w:r>
      <w:r w:rsidRPr="00C46FD5">
        <w:rPr>
          <w:rStyle w:val="Emphasis"/>
          <w:rFonts w:eastAsia="Times New Roman"/>
          <w:b w:val="0"/>
        </w:rPr>
        <w:t>Streptococcus</w:t>
      </w:r>
      <w:r w:rsidRPr="00C46FD5">
        <w:rPr>
          <w:rFonts w:eastAsia="Times New Roman"/>
        </w:rPr>
        <w:t xml:space="preserve"> M/</w:t>
      </w:r>
      <w:r w:rsidRPr="00C46FD5">
        <w:rPr>
          <w:rStyle w:val="Emphasis"/>
          <w:rFonts w:eastAsia="Times New Roman"/>
          <w:b w:val="0"/>
        </w:rPr>
        <w:t>emm</w:t>
      </w:r>
      <w:r w:rsidRPr="00C46FD5">
        <w:rPr>
          <w:rFonts w:eastAsia="Times New Roman"/>
        </w:rPr>
        <w:t xml:space="preserve">59 causing invasive disease in Canada. </w:t>
      </w:r>
      <w:r w:rsidRPr="00C46FD5">
        <w:rPr>
          <w:rStyle w:val="Emphasis"/>
          <w:rFonts w:eastAsia="Times New Roman"/>
          <w:b w:val="0"/>
        </w:rPr>
        <w:t>Clin Infect Dis</w:t>
      </w:r>
      <w:r w:rsidRPr="00C46FD5">
        <w:rPr>
          <w:rFonts w:eastAsia="Times New Roman"/>
        </w:rPr>
        <w:t xml:space="preserve">. 2010;51(11):1290–7. </w:t>
      </w:r>
    </w:p>
    <w:p w14:paraId="1BA0C22E" w14:textId="77777777" w:rsidR="00F5470E" w:rsidRPr="00C46FD5" w:rsidRDefault="00F5470E" w:rsidP="00C46FD5">
      <w:pPr>
        <w:pStyle w:val="ListParagraph"/>
        <w:numPr>
          <w:ilvl w:val="0"/>
          <w:numId w:val="10"/>
        </w:numPr>
        <w:rPr>
          <w:rFonts w:eastAsia="Times New Roman"/>
        </w:rPr>
      </w:pPr>
      <w:r w:rsidRPr="00C46FD5">
        <w:rPr>
          <w:rFonts w:eastAsia="Times New Roman"/>
        </w:rPr>
        <w:lastRenderedPageBreak/>
        <w:t xml:space="preserve">Mori N, </w:t>
      </w:r>
      <w:proofErr w:type="spellStart"/>
      <w:r w:rsidRPr="00C46FD5">
        <w:rPr>
          <w:rFonts w:eastAsia="Times New Roman"/>
        </w:rPr>
        <w:t>Hosoo</w:t>
      </w:r>
      <w:proofErr w:type="spellEnd"/>
      <w:r w:rsidRPr="00C46FD5">
        <w:rPr>
          <w:rFonts w:eastAsia="Times New Roman"/>
        </w:rPr>
        <w:t xml:space="preserve"> S, </w:t>
      </w:r>
      <w:proofErr w:type="spellStart"/>
      <w:r w:rsidRPr="00C46FD5">
        <w:rPr>
          <w:rFonts w:eastAsia="Times New Roman"/>
        </w:rPr>
        <w:t>Oyamada</w:t>
      </w:r>
      <w:proofErr w:type="spellEnd"/>
      <w:r w:rsidRPr="00C46FD5">
        <w:rPr>
          <w:rFonts w:eastAsia="Times New Roman"/>
        </w:rPr>
        <w:t xml:space="preserve"> Y, Sera Y, Yamada Y, Sugawara M et al. Characteristics of mucoid </w:t>
      </w:r>
      <w:r w:rsidRPr="00C46FD5">
        <w:rPr>
          <w:rStyle w:val="Emphasis"/>
          <w:rFonts w:eastAsia="Times New Roman"/>
          <w:b w:val="0"/>
        </w:rPr>
        <w:t>Streptococcus pyogenes</w:t>
      </w:r>
      <w:r w:rsidRPr="00C46FD5">
        <w:rPr>
          <w:rFonts w:eastAsia="Times New Roman"/>
        </w:rPr>
        <w:t xml:space="preserve"> isolated from two patients with pneumonia in a local community. </w:t>
      </w:r>
      <w:proofErr w:type="spellStart"/>
      <w:r w:rsidRPr="00C46FD5">
        <w:rPr>
          <w:rStyle w:val="Emphasis"/>
          <w:rFonts w:eastAsia="Times New Roman"/>
          <w:b w:val="0"/>
        </w:rPr>
        <w:t>IDCases</w:t>
      </w:r>
      <w:proofErr w:type="spellEnd"/>
      <w:r w:rsidRPr="00C46FD5">
        <w:rPr>
          <w:rFonts w:eastAsia="Times New Roman"/>
        </w:rPr>
        <w:t xml:space="preserve">. 2016;6:43–6. </w:t>
      </w:r>
    </w:p>
    <w:p w14:paraId="014629A5"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Sakai T, </w:t>
      </w:r>
      <w:proofErr w:type="spellStart"/>
      <w:r w:rsidRPr="00C46FD5">
        <w:rPr>
          <w:rFonts w:eastAsia="Times New Roman"/>
        </w:rPr>
        <w:t>Taniyama</w:t>
      </w:r>
      <w:proofErr w:type="spellEnd"/>
      <w:r w:rsidRPr="00C46FD5">
        <w:rPr>
          <w:rFonts w:eastAsia="Times New Roman"/>
        </w:rPr>
        <w:t xml:space="preserve"> D, Takahashi S, Nakamura M, Takahashi T. Pleural empyema and streptococcal toxic shock syndrome due to </w:t>
      </w:r>
      <w:r w:rsidRPr="00C46FD5">
        <w:rPr>
          <w:rStyle w:val="Emphasis"/>
          <w:rFonts w:eastAsia="Times New Roman"/>
          <w:b w:val="0"/>
        </w:rPr>
        <w:t>Streptococcus pyogenes</w:t>
      </w:r>
      <w:r w:rsidRPr="00C46FD5">
        <w:rPr>
          <w:rFonts w:eastAsia="Times New Roman"/>
        </w:rPr>
        <w:t xml:space="preserve"> in a healthy Spanish </w:t>
      </w:r>
      <w:proofErr w:type="spellStart"/>
      <w:r w:rsidRPr="00C46FD5">
        <w:rPr>
          <w:rFonts w:eastAsia="Times New Roman"/>
        </w:rPr>
        <w:t>traveler</w:t>
      </w:r>
      <w:proofErr w:type="spellEnd"/>
      <w:r w:rsidRPr="00C46FD5">
        <w:rPr>
          <w:rFonts w:eastAsia="Times New Roman"/>
        </w:rPr>
        <w:t xml:space="preserve"> in Japan. </w:t>
      </w:r>
      <w:proofErr w:type="spellStart"/>
      <w:r w:rsidRPr="00C46FD5">
        <w:rPr>
          <w:rStyle w:val="Emphasis"/>
          <w:rFonts w:eastAsia="Times New Roman"/>
          <w:b w:val="0"/>
        </w:rPr>
        <w:t>IDCases</w:t>
      </w:r>
      <w:proofErr w:type="spellEnd"/>
      <w:r w:rsidRPr="00C46FD5">
        <w:rPr>
          <w:rFonts w:eastAsia="Times New Roman"/>
        </w:rPr>
        <w:t xml:space="preserve">. 2017;9:85–8. </w:t>
      </w:r>
    </w:p>
    <w:p w14:paraId="7BB844A1" w14:textId="77777777" w:rsidR="00F5470E" w:rsidRPr="00C46FD5" w:rsidRDefault="00F5470E" w:rsidP="00C46FD5">
      <w:pPr>
        <w:pStyle w:val="ListParagraph"/>
        <w:numPr>
          <w:ilvl w:val="0"/>
          <w:numId w:val="10"/>
        </w:numPr>
        <w:rPr>
          <w:rFonts w:eastAsia="Times New Roman"/>
        </w:rPr>
      </w:pPr>
      <w:r w:rsidRPr="00C46FD5">
        <w:rPr>
          <w:rFonts w:eastAsia="Times New Roman"/>
        </w:rPr>
        <w:t>Chen M, Wang W, Tu L, Zheng Y, Pan H, Wang G et al. An</w:t>
      </w:r>
      <w:r w:rsidRPr="00C46FD5">
        <w:rPr>
          <w:rStyle w:val="Emphasis"/>
          <w:rFonts w:eastAsia="Times New Roman"/>
          <w:b w:val="0"/>
        </w:rPr>
        <w:t xml:space="preserve"> emm</w:t>
      </w:r>
      <w:r w:rsidRPr="00C46FD5">
        <w:rPr>
          <w:rFonts w:eastAsia="Times New Roman"/>
        </w:rPr>
        <w:t xml:space="preserve">5 group A streptococcal outbreak among workers in a factory manufacturing telephone </w:t>
      </w:r>
      <w:proofErr w:type="gramStart"/>
      <w:r w:rsidRPr="00C46FD5">
        <w:rPr>
          <w:rFonts w:eastAsia="Times New Roman"/>
        </w:rPr>
        <w:t>accessories</w:t>
      </w:r>
      <w:proofErr w:type="gramEnd"/>
      <w:r w:rsidRPr="00C46FD5">
        <w:rPr>
          <w:rFonts w:eastAsia="Times New Roman"/>
        </w:rPr>
        <w:t xml:space="preserve">. </w:t>
      </w:r>
      <w:r w:rsidRPr="00C46FD5">
        <w:rPr>
          <w:rStyle w:val="Emphasis"/>
          <w:rFonts w:eastAsia="Times New Roman"/>
          <w:b w:val="0"/>
        </w:rPr>
        <w:t>Front Microbiol</w:t>
      </w:r>
      <w:r w:rsidRPr="00C46FD5">
        <w:rPr>
          <w:rFonts w:eastAsia="Times New Roman"/>
        </w:rPr>
        <w:t xml:space="preserve">. 2017;8:1156. doi: http://doi.org/10.3389/fmicb.2017.01156. </w:t>
      </w:r>
    </w:p>
    <w:p w14:paraId="672DBC57" w14:textId="77777777" w:rsidR="00F5470E" w:rsidRPr="00C46FD5" w:rsidRDefault="00F5470E" w:rsidP="00C46FD5">
      <w:pPr>
        <w:pStyle w:val="ListParagraph"/>
        <w:numPr>
          <w:ilvl w:val="0"/>
          <w:numId w:val="10"/>
        </w:numPr>
        <w:rPr>
          <w:rFonts w:eastAsia="Times New Roman"/>
        </w:rPr>
      </w:pPr>
      <w:proofErr w:type="spellStart"/>
      <w:r w:rsidRPr="00C46FD5">
        <w:rPr>
          <w:rFonts w:eastAsia="Times New Roman"/>
        </w:rPr>
        <w:t>Lecronier</w:t>
      </w:r>
      <w:proofErr w:type="spellEnd"/>
      <w:r w:rsidRPr="00C46FD5">
        <w:rPr>
          <w:rFonts w:eastAsia="Times New Roman"/>
        </w:rPr>
        <w:t xml:space="preserve"> M, </w:t>
      </w:r>
      <w:proofErr w:type="spellStart"/>
      <w:r w:rsidRPr="00C46FD5">
        <w:rPr>
          <w:rFonts w:eastAsia="Times New Roman"/>
        </w:rPr>
        <w:t>Elabbadi</w:t>
      </w:r>
      <w:proofErr w:type="spellEnd"/>
      <w:r w:rsidRPr="00C46FD5">
        <w:rPr>
          <w:rFonts w:eastAsia="Times New Roman"/>
        </w:rPr>
        <w:t xml:space="preserve"> A, </w:t>
      </w:r>
      <w:proofErr w:type="spellStart"/>
      <w:r w:rsidRPr="00C46FD5">
        <w:rPr>
          <w:rFonts w:eastAsia="Times New Roman"/>
        </w:rPr>
        <w:t>Mekontso</w:t>
      </w:r>
      <w:proofErr w:type="spellEnd"/>
      <w:r w:rsidRPr="00C46FD5">
        <w:rPr>
          <w:rFonts w:eastAsia="Times New Roman"/>
        </w:rPr>
        <w:t xml:space="preserve"> </w:t>
      </w:r>
      <w:proofErr w:type="spellStart"/>
      <w:r w:rsidRPr="00C46FD5">
        <w:rPr>
          <w:rFonts w:eastAsia="Times New Roman"/>
        </w:rPr>
        <w:t>Dessap</w:t>
      </w:r>
      <w:proofErr w:type="spellEnd"/>
      <w:r w:rsidRPr="00C46FD5">
        <w:rPr>
          <w:rFonts w:eastAsia="Times New Roman"/>
        </w:rPr>
        <w:t xml:space="preserve"> A, de Prost N. Short and long-term outcomes of </w:t>
      </w:r>
      <w:r w:rsidRPr="00C46FD5">
        <w:rPr>
          <w:rStyle w:val="Emphasis"/>
          <w:rFonts w:eastAsia="Times New Roman"/>
          <w:b w:val="0"/>
        </w:rPr>
        <w:t>Streptococcus pyogenes</w:t>
      </w:r>
      <w:r w:rsidRPr="00C46FD5">
        <w:rPr>
          <w:rFonts w:eastAsia="Times New Roman"/>
        </w:rPr>
        <w:t xml:space="preserve"> pneumonia managed in the intensive care unit. </w:t>
      </w:r>
      <w:r w:rsidRPr="00C46FD5">
        <w:rPr>
          <w:rStyle w:val="Emphasis"/>
          <w:rFonts w:eastAsia="Times New Roman"/>
          <w:b w:val="0"/>
        </w:rPr>
        <w:t>Infect Dis (Lond)</w:t>
      </w:r>
      <w:r w:rsidRPr="00C46FD5">
        <w:rPr>
          <w:rFonts w:eastAsia="Times New Roman"/>
        </w:rPr>
        <w:t xml:space="preserve">. 2017;49(10):775–7. </w:t>
      </w:r>
    </w:p>
    <w:p w14:paraId="609F318A"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Santagati N, </w:t>
      </w:r>
      <w:proofErr w:type="spellStart"/>
      <w:r w:rsidRPr="00C46FD5">
        <w:rPr>
          <w:rFonts w:eastAsia="Times New Roman"/>
        </w:rPr>
        <w:t>Spanu</w:t>
      </w:r>
      <w:proofErr w:type="spellEnd"/>
      <w:r w:rsidRPr="00C46FD5">
        <w:rPr>
          <w:rFonts w:eastAsia="Times New Roman"/>
        </w:rPr>
        <w:t xml:space="preserve"> T, </w:t>
      </w:r>
      <w:proofErr w:type="spellStart"/>
      <w:r w:rsidRPr="00C46FD5">
        <w:rPr>
          <w:rFonts w:eastAsia="Times New Roman"/>
        </w:rPr>
        <w:t>Scillato</w:t>
      </w:r>
      <w:proofErr w:type="spellEnd"/>
      <w:r w:rsidRPr="00C46FD5">
        <w:rPr>
          <w:rFonts w:eastAsia="Times New Roman"/>
        </w:rPr>
        <w:t xml:space="preserve"> M, Santangelo R, Cavallaro F, Arena V et al. Rapidly fatal </w:t>
      </w:r>
      <w:proofErr w:type="spellStart"/>
      <w:r w:rsidRPr="00C46FD5">
        <w:rPr>
          <w:rFonts w:eastAsia="Times New Roman"/>
        </w:rPr>
        <w:t>hemorrhagic</w:t>
      </w:r>
      <w:proofErr w:type="spellEnd"/>
      <w:r w:rsidRPr="00C46FD5">
        <w:rPr>
          <w:rFonts w:eastAsia="Times New Roman"/>
        </w:rPr>
        <w:t xml:space="preserve"> pneumonia and group A Streptococcus serotype M1. </w:t>
      </w:r>
      <w:proofErr w:type="spellStart"/>
      <w:r w:rsidRPr="00C46FD5">
        <w:rPr>
          <w:rStyle w:val="Emphasis"/>
          <w:rFonts w:eastAsia="Times New Roman"/>
          <w:b w:val="0"/>
        </w:rPr>
        <w:t>Emerg</w:t>
      </w:r>
      <w:proofErr w:type="spellEnd"/>
      <w:r w:rsidRPr="00C46FD5">
        <w:rPr>
          <w:rStyle w:val="Emphasis"/>
          <w:rFonts w:eastAsia="Times New Roman"/>
          <w:b w:val="0"/>
        </w:rPr>
        <w:t xml:space="preserve"> Infect Dis</w:t>
      </w:r>
      <w:r w:rsidRPr="00C46FD5">
        <w:rPr>
          <w:rFonts w:eastAsia="Times New Roman"/>
        </w:rPr>
        <w:t xml:space="preserve">. 2014;20(1):98–101. </w:t>
      </w:r>
    </w:p>
    <w:p w14:paraId="563C7677" w14:textId="77777777" w:rsidR="00F5470E" w:rsidRPr="00C46FD5" w:rsidRDefault="00F5470E" w:rsidP="00C46FD5">
      <w:pPr>
        <w:pStyle w:val="ListParagraph"/>
        <w:numPr>
          <w:ilvl w:val="0"/>
          <w:numId w:val="10"/>
        </w:numPr>
        <w:rPr>
          <w:rFonts w:eastAsia="Times New Roman"/>
        </w:rPr>
      </w:pPr>
      <w:proofErr w:type="spellStart"/>
      <w:r w:rsidRPr="00C46FD5">
        <w:rPr>
          <w:rFonts w:eastAsia="Times New Roman"/>
        </w:rPr>
        <w:t>Akuzawa</w:t>
      </w:r>
      <w:proofErr w:type="spellEnd"/>
      <w:r w:rsidRPr="00C46FD5">
        <w:rPr>
          <w:rFonts w:eastAsia="Times New Roman"/>
        </w:rPr>
        <w:t xml:space="preserve"> N, </w:t>
      </w:r>
      <w:proofErr w:type="spellStart"/>
      <w:r w:rsidRPr="00C46FD5">
        <w:rPr>
          <w:rFonts w:eastAsia="Times New Roman"/>
        </w:rPr>
        <w:t>Kurabayashi</w:t>
      </w:r>
      <w:proofErr w:type="spellEnd"/>
      <w:r w:rsidRPr="00C46FD5">
        <w:rPr>
          <w:rFonts w:eastAsia="Times New Roman"/>
        </w:rPr>
        <w:t xml:space="preserve"> M. Bacterial pneumonia caused by </w:t>
      </w:r>
      <w:r w:rsidRPr="00C46FD5">
        <w:rPr>
          <w:rStyle w:val="Emphasis"/>
          <w:rFonts w:eastAsia="Times New Roman"/>
          <w:b w:val="0"/>
        </w:rPr>
        <w:t>Streptococcus pyogenes</w:t>
      </w:r>
      <w:r w:rsidRPr="00C46FD5">
        <w:rPr>
          <w:rFonts w:eastAsia="Times New Roman"/>
        </w:rPr>
        <w:t xml:space="preserve"> infection: a case report and review of the literature. </w:t>
      </w:r>
      <w:r w:rsidRPr="00C46FD5">
        <w:rPr>
          <w:rStyle w:val="Emphasis"/>
          <w:rFonts w:eastAsia="Times New Roman"/>
          <w:b w:val="0"/>
        </w:rPr>
        <w:t>J Clin Med Res</w:t>
      </w:r>
      <w:r w:rsidRPr="00C46FD5">
        <w:rPr>
          <w:rFonts w:eastAsia="Times New Roman"/>
        </w:rPr>
        <w:t xml:space="preserve">. 2016;8(11):831–5. </w:t>
      </w:r>
    </w:p>
    <w:p w14:paraId="68998C51"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Barnham M, </w:t>
      </w:r>
      <w:proofErr w:type="spellStart"/>
      <w:r w:rsidRPr="00C46FD5">
        <w:rPr>
          <w:rFonts w:eastAsia="Times New Roman"/>
        </w:rPr>
        <w:t>Weightman</w:t>
      </w:r>
      <w:proofErr w:type="spellEnd"/>
      <w:r w:rsidRPr="00C46FD5">
        <w:rPr>
          <w:rFonts w:eastAsia="Times New Roman"/>
        </w:rPr>
        <w:t xml:space="preserve"> N, Anderson A, Pagan F, Chapman S. Review of 17 cases of pneumonia caused by </w:t>
      </w:r>
      <w:r w:rsidRPr="00C46FD5">
        <w:rPr>
          <w:rStyle w:val="Emphasis"/>
          <w:rFonts w:eastAsia="Times New Roman"/>
          <w:b w:val="0"/>
        </w:rPr>
        <w:t>Streptococcus pyogenes</w:t>
      </w:r>
      <w:r w:rsidRPr="00C46FD5">
        <w:rPr>
          <w:rFonts w:eastAsia="Times New Roman"/>
        </w:rPr>
        <w:t xml:space="preserve">. </w:t>
      </w:r>
      <w:proofErr w:type="spellStart"/>
      <w:r w:rsidRPr="00C46FD5">
        <w:rPr>
          <w:rStyle w:val="Emphasis"/>
          <w:rFonts w:eastAsia="Times New Roman"/>
          <w:b w:val="0"/>
        </w:rPr>
        <w:t>Eur</w:t>
      </w:r>
      <w:proofErr w:type="spellEnd"/>
      <w:r w:rsidRPr="00C46FD5">
        <w:rPr>
          <w:rStyle w:val="Emphasis"/>
          <w:rFonts w:eastAsia="Times New Roman"/>
          <w:b w:val="0"/>
        </w:rPr>
        <w:t xml:space="preserve"> J Clin Microbiol Infect Dis</w:t>
      </w:r>
      <w:r w:rsidRPr="00C46FD5">
        <w:rPr>
          <w:rFonts w:eastAsia="Times New Roman"/>
        </w:rPr>
        <w:t xml:space="preserve">. 1999;18(7):506–9. </w:t>
      </w:r>
    </w:p>
    <w:p w14:paraId="65A8FE81" w14:textId="77777777" w:rsidR="00F5470E" w:rsidRPr="00C46FD5" w:rsidRDefault="00F5470E" w:rsidP="00C46FD5">
      <w:pPr>
        <w:pStyle w:val="ListParagraph"/>
        <w:numPr>
          <w:ilvl w:val="0"/>
          <w:numId w:val="10"/>
        </w:numPr>
        <w:rPr>
          <w:rFonts w:eastAsia="Times New Roman"/>
        </w:rPr>
      </w:pPr>
      <w:r w:rsidRPr="00C46FD5">
        <w:rPr>
          <w:rFonts w:eastAsia="Times New Roman"/>
        </w:rPr>
        <w:t>Tamayo E, Montes, Vicente D, Pérez-</w:t>
      </w:r>
      <w:proofErr w:type="spellStart"/>
      <w:r w:rsidRPr="00C46FD5">
        <w:rPr>
          <w:rFonts w:eastAsia="Times New Roman"/>
        </w:rPr>
        <w:t>Trallero</w:t>
      </w:r>
      <w:proofErr w:type="spellEnd"/>
      <w:r w:rsidRPr="00C46FD5">
        <w:rPr>
          <w:rFonts w:eastAsia="Times New Roman"/>
        </w:rPr>
        <w:t xml:space="preserve"> E. </w:t>
      </w:r>
      <w:r w:rsidRPr="00C46FD5">
        <w:rPr>
          <w:rStyle w:val="Emphasis"/>
          <w:rFonts w:eastAsia="Times New Roman"/>
          <w:b w:val="0"/>
        </w:rPr>
        <w:t>Streptococcus pyogenes</w:t>
      </w:r>
      <w:r w:rsidRPr="00C46FD5">
        <w:rPr>
          <w:rFonts w:eastAsia="Times New Roman"/>
        </w:rPr>
        <w:t xml:space="preserve"> pneumonia in adults: clinical presentation and molecular characterization of isolates 2006–2015. </w:t>
      </w:r>
      <w:proofErr w:type="spellStart"/>
      <w:r w:rsidRPr="00C46FD5">
        <w:rPr>
          <w:rStyle w:val="Emphasis"/>
          <w:rFonts w:eastAsia="Times New Roman"/>
          <w:b w:val="0"/>
        </w:rPr>
        <w:t>PLoS</w:t>
      </w:r>
      <w:proofErr w:type="spellEnd"/>
      <w:r w:rsidRPr="00C46FD5">
        <w:rPr>
          <w:rStyle w:val="Emphasis"/>
          <w:rFonts w:eastAsia="Times New Roman"/>
          <w:b w:val="0"/>
        </w:rPr>
        <w:t xml:space="preserve"> One</w:t>
      </w:r>
      <w:r w:rsidRPr="00C46FD5">
        <w:rPr>
          <w:rFonts w:eastAsia="Times New Roman"/>
        </w:rPr>
        <w:t xml:space="preserve">. 2016;11(3):e0152640. doi: https://doi.org/10.1371/journal.pone.0152640. </w:t>
      </w:r>
    </w:p>
    <w:p w14:paraId="1F38771A"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Herrera AL, Faal H, Moss D, </w:t>
      </w:r>
      <w:proofErr w:type="spellStart"/>
      <w:r w:rsidRPr="00C46FD5">
        <w:rPr>
          <w:rFonts w:eastAsia="Times New Roman"/>
        </w:rPr>
        <w:t>Addengast</w:t>
      </w:r>
      <w:proofErr w:type="spellEnd"/>
      <w:r w:rsidRPr="00C46FD5">
        <w:rPr>
          <w:rFonts w:eastAsia="Times New Roman"/>
        </w:rPr>
        <w:t xml:space="preserve"> L, Fanta L, </w:t>
      </w:r>
      <w:proofErr w:type="spellStart"/>
      <w:r w:rsidRPr="00C46FD5">
        <w:rPr>
          <w:rFonts w:eastAsia="Times New Roman"/>
        </w:rPr>
        <w:t>Eyster</w:t>
      </w:r>
      <w:proofErr w:type="spellEnd"/>
      <w:r w:rsidRPr="00C46FD5">
        <w:rPr>
          <w:rFonts w:eastAsia="Times New Roman"/>
        </w:rPr>
        <w:t xml:space="preserve"> K et al. The </w:t>
      </w:r>
      <w:r w:rsidRPr="00C46FD5">
        <w:rPr>
          <w:rStyle w:val="Emphasis"/>
          <w:rFonts w:eastAsia="Times New Roman"/>
          <w:b w:val="0"/>
        </w:rPr>
        <w:t>Streptococcus pyogenes</w:t>
      </w:r>
      <w:r w:rsidRPr="00C46FD5">
        <w:rPr>
          <w:rFonts w:eastAsia="Times New Roman"/>
        </w:rPr>
        <w:t xml:space="preserve"> fibronectin/tenascin-binding protein PrtF.2 contributes to virulence in an influenza superinfection. </w:t>
      </w:r>
      <w:r w:rsidRPr="00C46FD5">
        <w:rPr>
          <w:rStyle w:val="Emphasis"/>
          <w:rFonts w:eastAsia="Times New Roman"/>
          <w:b w:val="0"/>
        </w:rPr>
        <w:t>Sci Rep</w:t>
      </w:r>
      <w:r w:rsidRPr="00C46FD5">
        <w:rPr>
          <w:rFonts w:eastAsia="Times New Roman"/>
        </w:rPr>
        <w:t xml:space="preserve">. 2018;8(1);12126. doi: https://doi.org/10.1038/s41598-018-29714-x. </w:t>
      </w:r>
    </w:p>
    <w:p w14:paraId="543DEAEC"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Okamoto S, Kawabata S, </w:t>
      </w:r>
      <w:proofErr w:type="spellStart"/>
      <w:r w:rsidRPr="00C46FD5">
        <w:rPr>
          <w:rFonts w:eastAsia="Times New Roman"/>
        </w:rPr>
        <w:t>Fujitaka</w:t>
      </w:r>
      <w:proofErr w:type="spellEnd"/>
      <w:r w:rsidRPr="00C46FD5">
        <w:rPr>
          <w:rFonts w:eastAsia="Times New Roman"/>
        </w:rPr>
        <w:t xml:space="preserve"> H, </w:t>
      </w:r>
      <w:proofErr w:type="spellStart"/>
      <w:r w:rsidRPr="00C46FD5">
        <w:rPr>
          <w:rFonts w:eastAsia="Times New Roman"/>
        </w:rPr>
        <w:t>Uehira</w:t>
      </w:r>
      <w:proofErr w:type="spellEnd"/>
      <w:r w:rsidRPr="00C46FD5">
        <w:rPr>
          <w:rFonts w:eastAsia="Times New Roman"/>
        </w:rPr>
        <w:t xml:space="preserve"> T, </w:t>
      </w:r>
      <w:proofErr w:type="spellStart"/>
      <w:r w:rsidRPr="00C46FD5">
        <w:rPr>
          <w:rFonts w:eastAsia="Times New Roman"/>
        </w:rPr>
        <w:t>Okuno</w:t>
      </w:r>
      <w:proofErr w:type="spellEnd"/>
      <w:r w:rsidRPr="00C46FD5">
        <w:rPr>
          <w:rFonts w:eastAsia="Times New Roman"/>
        </w:rPr>
        <w:t xml:space="preserve"> Y, Hamada S. Vaccination with formalin-inactivated vaccine protects mice against lethal influenza </w:t>
      </w:r>
      <w:r w:rsidRPr="00C46FD5">
        <w:rPr>
          <w:rStyle w:val="Emphasis"/>
          <w:rFonts w:eastAsia="Times New Roman"/>
          <w:b w:val="0"/>
        </w:rPr>
        <w:t>Streptococcus pyogenes</w:t>
      </w:r>
      <w:r w:rsidRPr="00C46FD5">
        <w:rPr>
          <w:rFonts w:eastAsia="Times New Roman"/>
        </w:rPr>
        <w:t xml:space="preserve"> superinfection. </w:t>
      </w:r>
      <w:r w:rsidRPr="00C46FD5">
        <w:rPr>
          <w:rStyle w:val="Emphasis"/>
          <w:rFonts w:eastAsia="Times New Roman"/>
          <w:b w:val="0"/>
        </w:rPr>
        <w:t>Vaccine</w:t>
      </w:r>
      <w:r w:rsidRPr="00C46FD5">
        <w:rPr>
          <w:rFonts w:eastAsia="Times New Roman"/>
        </w:rPr>
        <w:t xml:space="preserve">. 2004;22(21–22):2887–93. </w:t>
      </w:r>
    </w:p>
    <w:p w14:paraId="666A4EB3" w14:textId="77777777" w:rsidR="00F5470E" w:rsidRPr="00C46FD5" w:rsidRDefault="00F5470E" w:rsidP="00C46FD5">
      <w:pPr>
        <w:pStyle w:val="ListParagraph"/>
        <w:numPr>
          <w:ilvl w:val="0"/>
          <w:numId w:val="10"/>
        </w:numPr>
        <w:rPr>
          <w:rFonts w:eastAsia="Times New Roman"/>
        </w:rPr>
      </w:pPr>
      <w:proofErr w:type="spellStart"/>
      <w:r w:rsidRPr="00C46FD5">
        <w:rPr>
          <w:rFonts w:eastAsia="Times New Roman"/>
        </w:rPr>
        <w:t>Scaber</w:t>
      </w:r>
      <w:proofErr w:type="spellEnd"/>
      <w:r w:rsidRPr="00C46FD5">
        <w:rPr>
          <w:rFonts w:eastAsia="Times New Roman"/>
        </w:rPr>
        <w:t xml:space="preserve"> J, Saeed S, </w:t>
      </w:r>
      <w:proofErr w:type="spellStart"/>
      <w:r w:rsidRPr="00C46FD5">
        <w:rPr>
          <w:rFonts w:eastAsia="Times New Roman"/>
        </w:rPr>
        <w:t>Ihekweazu</w:t>
      </w:r>
      <w:proofErr w:type="spellEnd"/>
      <w:r w:rsidRPr="00C46FD5">
        <w:rPr>
          <w:rFonts w:eastAsia="Times New Roman"/>
        </w:rPr>
        <w:t xml:space="preserve"> C, </w:t>
      </w:r>
      <w:proofErr w:type="spellStart"/>
      <w:r w:rsidRPr="00C46FD5">
        <w:rPr>
          <w:rFonts w:eastAsia="Times New Roman"/>
        </w:rPr>
        <w:t>Efstratiou</w:t>
      </w:r>
      <w:proofErr w:type="spellEnd"/>
      <w:r w:rsidRPr="00C46FD5">
        <w:rPr>
          <w:rFonts w:eastAsia="Times New Roman"/>
        </w:rPr>
        <w:t xml:space="preserve"> A, McCarthy N, </w:t>
      </w:r>
      <w:proofErr w:type="spellStart"/>
      <w:r w:rsidRPr="00C46FD5">
        <w:rPr>
          <w:rFonts w:eastAsia="Times New Roman"/>
        </w:rPr>
        <w:t>O’Moore</w:t>
      </w:r>
      <w:proofErr w:type="spellEnd"/>
      <w:r w:rsidRPr="00C46FD5">
        <w:rPr>
          <w:rFonts w:eastAsia="Times New Roman"/>
        </w:rPr>
        <w:t xml:space="preserve"> E. Group A streptococcal infections during the seasonal influenza outbreak 2010/11 in South East England. </w:t>
      </w:r>
      <w:r w:rsidRPr="00C46FD5">
        <w:rPr>
          <w:rStyle w:val="Emphasis"/>
          <w:rFonts w:eastAsia="Times New Roman"/>
          <w:b w:val="0"/>
        </w:rPr>
        <w:t xml:space="preserve">Euro </w:t>
      </w:r>
      <w:proofErr w:type="spellStart"/>
      <w:r w:rsidRPr="00C46FD5">
        <w:rPr>
          <w:rStyle w:val="Emphasis"/>
          <w:rFonts w:eastAsia="Times New Roman"/>
          <w:b w:val="0"/>
        </w:rPr>
        <w:t>Surveill</w:t>
      </w:r>
      <w:proofErr w:type="spellEnd"/>
      <w:r w:rsidRPr="00C46FD5">
        <w:rPr>
          <w:rFonts w:eastAsia="Times New Roman"/>
        </w:rPr>
        <w:t xml:space="preserve">. 2011;16(5). </w:t>
      </w:r>
      <w:proofErr w:type="spellStart"/>
      <w:r w:rsidRPr="00C46FD5">
        <w:rPr>
          <w:rFonts w:eastAsia="Times New Roman"/>
        </w:rPr>
        <w:t>pii</w:t>
      </w:r>
      <w:proofErr w:type="spellEnd"/>
      <w:r w:rsidRPr="00C46FD5">
        <w:rPr>
          <w:rFonts w:eastAsia="Times New Roman"/>
        </w:rPr>
        <w:t xml:space="preserve">: 19780. </w:t>
      </w:r>
    </w:p>
    <w:p w14:paraId="175A299B" w14:textId="77777777" w:rsidR="00F5470E" w:rsidRPr="00C46FD5" w:rsidRDefault="00F5470E" w:rsidP="00C46FD5">
      <w:pPr>
        <w:pStyle w:val="ListParagraph"/>
        <w:numPr>
          <w:ilvl w:val="0"/>
          <w:numId w:val="10"/>
        </w:numPr>
        <w:rPr>
          <w:rFonts w:eastAsia="Times New Roman"/>
        </w:rPr>
      </w:pPr>
      <w:r w:rsidRPr="00C46FD5">
        <w:rPr>
          <w:rFonts w:eastAsia="Times New Roman"/>
        </w:rPr>
        <w:t xml:space="preserve">Jean C, Louie LK, Glaser CA, Harriman K, Hacker JK, </w:t>
      </w:r>
      <w:proofErr w:type="spellStart"/>
      <w:r w:rsidRPr="00C46FD5">
        <w:rPr>
          <w:rFonts w:eastAsia="Times New Roman"/>
        </w:rPr>
        <w:t>Aranki</w:t>
      </w:r>
      <w:proofErr w:type="spellEnd"/>
      <w:r w:rsidRPr="00C46FD5">
        <w:rPr>
          <w:rFonts w:eastAsia="Times New Roman"/>
        </w:rPr>
        <w:t xml:space="preserve"> F et al. Invasive group A streptococcal infection concurrent with 2009 H1N1 influenza. </w:t>
      </w:r>
      <w:r w:rsidRPr="00C46FD5">
        <w:rPr>
          <w:rStyle w:val="Emphasis"/>
          <w:rFonts w:eastAsia="Times New Roman"/>
          <w:b w:val="0"/>
        </w:rPr>
        <w:t>Clin Infect Dis</w:t>
      </w:r>
      <w:r w:rsidRPr="00C46FD5">
        <w:rPr>
          <w:rFonts w:eastAsia="Times New Roman"/>
        </w:rPr>
        <w:t>. 2010;50(10):e59–62.</w:t>
      </w:r>
    </w:p>
    <w:p w14:paraId="78FAED75"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4D748CA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B44B2E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590A973" w14:textId="77777777" w:rsidR="000A5F42" w:rsidRPr="000606CC" w:rsidRDefault="000A5F42" w:rsidP="000A5F42">
      <w:pPr>
        <w:pStyle w:val="NoSpacing"/>
        <w:rPr>
          <w:rStyle w:val="URI"/>
          <w:rFonts w:cstheme="minorHAnsi"/>
          <w:sz w:val="20"/>
          <w:szCs w:val="18"/>
        </w:rPr>
      </w:pPr>
    </w:p>
    <w:p w14:paraId="79C196F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2C86030" w14:textId="77777777" w:rsidR="000A5F42" w:rsidRPr="000606CC" w:rsidRDefault="000A5F42" w:rsidP="000A5F42">
      <w:pPr>
        <w:pStyle w:val="NoSpacing"/>
        <w:rPr>
          <w:rStyle w:val="Strong"/>
          <w:rFonts w:cstheme="minorHAnsi"/>
          <w:sz w:val="20"/>
          <w:szCs w:val="18"/>
        </w:rPr>
      </w:pPr>
    </w:p>
    <w:p w14:paraId="2C1ED39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35A87D5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BDCFD2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7E94BE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C121C10" w14:textId="77777777" w:rsidR="000A5F42" w:rsidRPr="000606CC" w:rsidRDefault="000A5F42" w:rsidP="000A5F42">
      <w:pPr>
        <w:pStyle w:val="NoSpacing"/>
        <w:rPr>
          <w:rStyle w:val="Strong"/>
          <w:rFonts w:cstheme="minorHAnsi"/>
          <w:sz w:val="20"/>
          <w:szCs w:val="18"/>
        </w:rPr>
      </w:pPr>
    </w:p>
    <w:p w14:paraId="7DCB534C" w14:textId="4CDFB09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C47815E" w14:textId="77777777" w:rsidR="000A5F42" w:rsidRPr="000606CC" w:rsidRDefault="000A5F42" w:rsidP="000A5F42">
      <w:pPr>
        <w:pStyle w:val="NoSpacing"/>
        <w:rPr>
          <w:rStyle w:val="Strong"/>
          <w:rFonts w:cstheme="minorHAnsi"/>
          <w:sz w:val="20"/>
          <w:szCs w:val="18"/>
        </w:rPr>
      </w:pPr>
    </w:p>
    <w:p w14:paraId="5E3AEF9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606DBE9" w14:textId="77777777" w:rsidR="000A5F42" w:rsidRPr="000606CC" w:rsidRDefault="000A5F42" w:rsidP="000A5F42">
      <w:pPr>
        <w:pStyle w:val="NoSpacing"/>
        <w:rPr>
          <w:rStyle w:val="Strong"/>
          <w:rFonts w:cstheme="minorHAnsi"/>
          <w:sz w:val="20"/>
          <w:szCs w:val="18"/>
        </w:rPr>
      </w:pPr>
    </w:p>
    <w:p w14:paraId="202F41E1" w14:textId="6F64D81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FFF0C1C" w14:textId="77777777" w:rsidR="000A5F42" w:rsidRPr="000606CC" w:rsidRDefault="000A5F42" w:rsidP="000A5F42">
      <w:pPr>
        <w:pStyle w:val="NoSpacing"/>
        <w:rPr>
          <w:rStyle w:val="Strong"/>
          <w:rFonts w:cstheme="minorHAnsi"/>
          <w:sz w:val="20"/>
          <w:szCs w:val="18"/>
        </w:rPr>
      </w:pPr>
    </w:p>
    <w:p w14:paraId="068070EE" w14:textId="1187C0B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8791D60" w14:textId="4D78927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2968A738" w14:textId="77777777" w:rsidR="000A5F42" w:rsidRPr="000606CC" w:rsidRDefault="000A5F42" w:rsidP="000A5F42">
      <w:pPr>
        <w:pStyle w:val="NoSpacing"/>
        <w:pBdr>
          <w:bottom w:val="single" w:sz="6" w:space="1" w:color="auto"/>
        </w:pBdr>
        <w:rPr>
          <w:rStyle w:val="Strong"/>
          <w:rFonts w:cstheme="minorHAnsi"/>
          <w:sz w:val="12"/>
          <w:szCs w:val="18"/>
        </w:rPr>
      </w:pPr>
    </w:p>
    <w:p w14:paraId="2EE3E3CA" w14:textId="77777777" w:rsidR="000A5F42" w:rsidRPr="000606CC" w:rsidRDefault="000A5F42" w:rsidP="000A5F42">
      <w:pPr>
        <w:pStyle w:val="NoSpacing"/>
        <w:rPr>
          <w:rFonts w:cstheme="minorHAnsi"/>
          <w:sz w:val="20"/>
          <w:szCs w:val="18"/>
        </w:rPr>
      </w:pPr>
    </w:p>
    <w:p w14:paraId="77A68B0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B318DA6" w14:textId="77777777" w:rsidR="000A5F42" w:rsidRPr="000606CC" w:rsidRDefault="000A5F42" w:rsidP="000A5F42">
      <w:pPr>
        <w:pStyle w:val="NoSpacing"/>
        <w:rPr>
          <w:rFonts w:cstheme="minorHAnsi"/>
          <w:sz w:val="20"/>
          <w:szCs w:val="18"/>
        </w:rPr>
      </w:pPr>
    </w:p>
    <w:p w14:paraId="4713F2F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35DE45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240EF225" w14:textId="3799D3D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C6C42EA" w14:textId="77777777" w:rsidR="000A5F42" w:rsidRPr="000606CC" w:rsidRDefault="000A5F42" w:rsidP="000A5F42">
      <w:pPr>
        <w:pStyle w:val="NoSpacing"/>
        <w:rPr>
          <w:rFonts w:cstheme="minorHAnsi"/>
          <w:sz w:val="20"/>
          <w:szCs w:val="18"/>
        </w:rPr>
      </w:pPr>
    </w:p>
    <w:p w14:paraId="1050042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8BCB485" w14:textId="5CE13FF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A66366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E429A7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C2D6B4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57A442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E95B4E8" w14:textId="77777777" w:rsidR="000A5F42" w:rsidRPr="000606CC" w:rsidRDefault="000A5F42" w:rsidP="000A5F42">
      <w:pPr>
        <w:pStyle w:val="NoSpacing"/>
        <w:rPr>
          <w:rStyle w:val="Strong"/>
          <w:rFonts w:cstheme="minorHAnsi"/>
          <w:sz w:val="20"/>
          <w:szCs w:val="18"/>
        </w:rPr>
      </w:pPr>
    </w:p>
    <w:p w14:paraId="104A043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290AD51" w14:textId="77777777" w:rsidR="000A5F42" w:rsidRPr="000606CC" w:rsidRDefault="000A5F42" w:rsidP="000A5F42">
      <w:pPr>
        <w:pStyle w:val="NoSpacing"/>
        <w:rPr>
          <w:rStyle w:val="Strong"/>
          <w:rFonts w:cstheme="minorHAnsi"/>
          <w:sz w:val="20"/>
          <w:szCs w:val="18"/>
        </w:rPr>
      </w:pPr>
    </w:p>
    <w:p w14:paraId="0355AF28" w14:textId="15EF8AD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92D43E4" w14:textId="77777777" w:rsidR="000A5F42" w:rsidRPr="000606CC" w:rsidRDefault="000A5F42" w:rsidP="000A5F42">
      <w:pPr>
        <w:pStyle w:val="NoSpacing"/>
        <w:rPr>
          <w:rStyle w:val="URI"/>
          <w:rFonts w:cstheme="minorHAnsi"/>
          <w:sz w:val="20"/>
          <w:szCs w:val="18"/>
        </w:rPr>
      </w:pPr>
    </w:p>
    <w:p w14:paraId="28922857" w14:textId="60A672A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0A224B66"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CBDD" w14:textId="77777777" w:rsidR="00557C81" w:rsidRDefault="00557C81" w:rsidP="00E54DBA">
      <w:r>
        <w:separator/>
      </w:r>
    </w:p>
    <w:p w14:paraId="18FDA3DF" w14:textId="77777777" w:rsidR="00557C81" w:rsidRDefault="00557C81"/>
    <w:p w14:paraId="55845988" w14:textId="77777777" w:rsidR="00557C81" w:rsidRDefault="00557C81" w:rsidP="008714B0"/>
  </w:endnote>
  <w:endnote w:type="continuationSeparator" w:id="0">
    <w:p w14:paraId="29F64B1E" w14:textId="77777777" w:rsidR="00557C81" w:rsidRDefault="00557C81" w:rsidP="00E54DBA">
      <w:r>
        <w:continuationSeparator/>
      </w:r>
    </w:p>
    <w:p w14:paraId="68AC79FD" w14:textId="77777777" w:rsidR="00557C81" w:rsidRDefault="00557C81"/>
    <w:p w14:paraId="3BD0D2AD" w14:textId="77777777" w:rsidR="00557C81" w:rsidRDefault="00557C8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791E" w14:textId="77777777" w:rsidR="00557C81" w:rsidRPr="0042435E" w:rsidRDefault="00557C8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06F37">
      <w:rPr>
        <w:noProof/>
        <w:sz w:val="18"/>
      </w:rPr>
      <w:t>11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06F37">
      <w:rPr>
        <w:noProof/>
        <w:sz w:val="18"/>
      </w:rPr>
      <w:t>14</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2A1E41">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06F37">
      <w:rPr>
        <w:sz w:val="18"/>
      </w:rPr>
      <w:t>https://doi.org/10.33321/cdi.2020.44.82</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6E34C2">
      <w:rPr>
        <w:sz w:val="18"/>
      </w:rPr>
      <w:t>15/10/2020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C86F" w14:textId="77777777" w:rsidR="00557C81" w:rsidRPr="00BB5378" w:rsidRDefault="00557C8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06F37">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06F37">
      <w:rPr>
        <w:noProof/>
        <w:sz w:val="18"/>
      </w:rPr>
      <w:t>11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2A1E41">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06F37">
      <w:rPr>
        <w:sz w:val="18"/>
      </w:rPr>
      <w:t>https://doi.org/10.33321/cdi.2020.44.82</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6E34C2">
      <w:rPr>
        <w:sz w:val="18"/>
      </w:rPr>
      <w:t>15/10/2020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3562" w14:textId="77777777" w:rsidR="00557C81" w:rsidRDefault="00557C81" w:rsidP="00E54DBA">
      <w:r>
        <w:separator/>
      </w:r>
    </w:p>
  </w:footnote>
  <w:footnote w:type="continuationSeparator" w:id="0">
    <w:p w14:paraId="556BC79F" w14:textId="77777777" w:rsidR="00557C81" w:rsidRDefault="00557C81" w:rsidP="00E54DBA">
      <w:r>
        <w:continuationSeparator/>
      </w:r>
    </w:p>
  </w:footnote>
  <w:footnote w:type="continuationNotice" w:id="1">
    <w:p w14:paraId="0516A47A" w14:textId="77777777" w:rsidR="00557C81" w:rsidRPr="00224EFF" w:rsidRDefault="00557C8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79CC" w14:textId="77777777" w:rsidR="00557C81" w:rsidRPr="00A153B6" w:rsidRDefault="00B06E7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57C81">
          <w:t>Original article</w:t>
        </w:r>
      </w:sdtContent>
    </w:sdt>
    <w:r w:rsidR="00557C81">
      <w:ptab w:relativeTo="margin" w:alignment="right" w:leader="none"/>
    </w:r>
    <w:r w:rsidR="00557C81"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8B60" w14:textId="77777777" w:rsidR="00557C81" w:rsidRPr="000A5F42" w:rsidRDefault="00557C81" w:rsidP="000A5F42">
    <w:pPr>
      <w:pStyle w:val="Header"/>
      <w:jc w:val="center"/>
      <w:rPr>
        <w:b/>
      </w:rPr>
    </w:pPr>
    <w:r w:rsidRPr="00E810C5">
      <w:rPr>
        <w:rFonts w:cs="Myriad Pro"/>
        <w:noProof/>
        <w:color w:val="211D1E"/>
        <w:sz w:val="16"/>
      </w:rPr>
      <w:drawing>
        <wp:inline distT="0" distB="0" distL="0" distR="0" wp14:anchorId="165ECF49"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5DA9"/>
    <w:multiLevelType w:val="multilevel"/>
    <w:tmpl w:val="C690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717EE"/>
    <w:multiLevelType w:val="multilevel"/>
    <w:tmpl w:val="6948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051DC"/>
    <w:multiLevelType w:val="hybridMultilevel"/>
    <w:tmpl w:val="4E0C87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872AED"/>
    <w:multiLevelType w:val="hybridMultilevel"/>
    <w:tmpl w:val="15A255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6438876">
    <w:abstractNumId w:val="4"/>
  </w:num>
  <w:num w:numId="2" w16cid:durableId="1354529641">
    <w:abstractNumId w:val="6"/>
  </w:num>
  <w:num w:numId="3" w16cid:durableId="1064528823">
    <w:abstractNumId w:val="7"/>
  </w:num>
  <w:num w:numId="4" w16cid:durableId="339747459">
    <w:abstractNumId w:val="2"/>
  </w:num>
  <w:num w:numId="5" w16cid:durableId="1153791697">
    <w:abstractNumId w:val="8"/>
  </w:num>
  <w:num w:numId="6" w16cid:durableId="1546218764">
    <w:abstractNumId w:val="9"/>
  </w:num>
  <w:num w:numId="7" w16cid:durableId="76948314">
    <w:abstractNumId w:val="1"/>
  </w:num>
  <w:num w:numId="8" w16cid:durableId="1198397118">
    <w:abstractNumId w:val="0"/>
  </w:num>
  <w:num w:numId="9" w16cid:durableId="1644849636">
    <w:abstractNumId w:val="3"/>
  </w:num>
  <w:num w:numId="10" w16cid:durableId="375394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08"/>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86E90"/>
    <w:rsid w:val="00087C9A"/>
    <w:rsid w:val="000969B3"/>
    <w:rsid w:val="000A5F42"/>
    <w:rsid w:val="000D4B4D"/>
    <w:rsid w:val="00100D4A"/>
    <w:rsid w:val="00113D58"/>
    <w:rsid w:val="001200CB"/>
    <w:rsid w:val="001378A3"/>
    <w:rsid w:val="00155582"/>
    <w:rsid w:val="00161590"/>
    <w:rsid w:val="00165113"/>
    <w:rsid w:val="00167332"/>
    <w:rsid w:val="00171CC0"/>
    <w:rsid w:val="0017432F"/>
    <w:rsid w:val="00175494"/>
    <w:rsid w:val="00175629"/>
    <w:rsid w:val="001767A2"/>
    <w:rsid w:val="001828EE"/>
    <w:rsid w:val="001830EC"/>
    <w:rsid w:val="00183534"/>
    <w:rsid w:val="001A4A96"/>
    <w:rsid w:val="001A51B8"/>
    <w:rsid w:val="001A5D05"/>
    <w:rsid w:val="001A796C"/>
    <w:rsid w:val="001B2614"/>
    <w:rsid w:val="001B37B8"/>
    <w:rsid w:val="001B552F"/>
    <w:rsid w:val="001C0893"/>
    <w:rsid w:val="001C1303"/>
    <w:rsid w:val="001C70B2"/>
    <w:rsid w:val="001D0837"/>
    <w:rsid w:val="001D37C7"/>
    <w:rsid w:val="001D6888"/>
    <w:rsid w:val="00224EFF"/>
    <w:rsid w:val="002276DC"/>
    <w:rsid w:val="00227E00"/>
    <w:rsid w:val="002307CB"/>
    <w:rsid w:val="00231046"/>
    <w:rsid w:val="00234F21"/>
    <w:rsid w:val="002356A2"/>
    <w:rsid w:val="0024130D"/>
    <w:rsid w:val="00242659"/>
    <w:rsid w:val="002428F7"/>
    <w:rsid w:val="0024315F"/>
    <w:rsid w:val="00252C9A"/>
    <w:rsid w:val="00254D0E"/>
    <w:rsid w:val="00256309"/>
    <w:rsid w:val="00257484"/>
    <w:rsid w:val="00260636"/>
    <w:rsid w:val="00275C78"/>
    <w:rsid w:val="00280594"/>
    <w:rsid w:val="00281EE3"/>
    <w:rsid w:val="002828E3"/>
    <w:rsid w:val="00284E4A"/>
    <w:rsid w:val="00294408"/>
    <w:rsid w:val="002A1E41"/>
    <w:rsid w:val="002A3799"/>
    <w:rsid w:val="002A3BCC"/>
    <w:rsid w:val="002A4516"/>
    <w:rsid w:val="002A569F"/>
    <w:rsid w:val="002A7066"/>
    <w:rsid w:val="002B001E"/>
    <w:rsid w:val="002B09B7"/>
    <w:rsid w:val="002B75A9"/>
    <w:rsid w:val="002C21B0"/>
    <w:rsid w:val="002C62F3"/>
    <w:rsid w:val="002E2FB3"/>
    <w:rsid w:val="002E4B30"/>
    <w:rsid w:val="002F327B"/>
    <w:rsid w:val="002F3538"/>
    <w:rsid w:val="002F76D6"/>
    <w:rsid w:val="00301626"/>
    <w:rsid w:val="003059EC"/>
    <w:rsid w:val="003155C6"/>
    <w:rsid w:val="00316CCD"/>
    <w:rsid w:val="0032234F"/>
    <w:rsid w:val="00324F7E"/>
    <w:rsid w:val="003323BC"/>
    <w:rsid w:val="00345581"/>
    <w:rsid w:val="0034595C"/>
    <w:rsid w:val="00346D42"/>
    <w:rsid w:val="00346E11"/>
    <w:rsid w:val="00350093"/>
    <w:rsid w:val="003601C0"/>
    <w:rsid w:val="003635F5"/>
    <w:rsid w:val="003728EF"/>
    <w:rsid w:val="00372A88"/>
    <w:rsid w:val="00377DCD"/>
    <w:rsid w:val="00381A0F"/>
    <w:rsid w:val="0039183B"/>
    <w:rsid w:val="003A1B3A"/>
    <w:rsid w:val="003A40F5"/>
    <w:rsid w:val="003B5B8C"/>
    <w:rsid w:val="003B5F82"/>
    <w:rsid w:val="003D79B1"/>
    <w:rsid w:val="003E74EE"/>
    <w:rsid w:val="003F0552"/>
    <w:rsid w:val="003F3BC2"/>
    <w:rsid w:val="003F4181"/>
    <w:rsid w:val="00401ED1"/>
    <w:rsid w:val="004021A2"/>
    <w:rsid w:val="0040224C"/>
    <w:rsid w:val="00413EE1"/>
    <w:rsid w:val="004164BB"/>
    <w:rsid w:val="004206DC"/>
    <w:rsid w:val="00421ECE"/>
    <w:rsid w:val="00422FEB"/>
    <w:rsid w:val="0042435E"/>
    <w:rsid w:val="004315F5"/>
    <w:rsid w:val="00433456"/>
    <w:rsid w:val="00433DFA"/>
    <w:rsid w:val="00435D67"/>
    <w:rsid w:val="00464A58"/>
    <w:rsid w:val="00473D2D"/>
    <w:rsid w:val="004A2125"/>
    <w:rsid w:val="004A38F6"/>
    <w:rsid w:val="004B4EB6"/>
    <w:rsid w:val="004B7746"/>
    <w:rsid w:val="004C083C"/>
    <w:rsid w:val="004C67C6"/>
    <w:rsid w:val="004D0425"/>
    <w:rsid w:val="004D29DE"/>
    <w:rsid w:val="004F62CF"/>
    <w:rsid w:val="00510EAC"/>
    <w:rsid w:val="00540161"/>
    <w:rsid w:val="00542A57"/>
    <w:rsid w:val="00557C81"/>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23FA"/>
    <w:rsid w:val="00663A4C"/>
    <w:rsid w:val="006771D8"/>
    <w:rsid w:val="00692224"/>
    <w:rsid w:val="006971F3"/>
    <w:rsid w:val="006B5C19"/>
    <w:rsid w:val="006C74A3"/>
    <w:rsid w:val="006D1381"/>
    <w:rsid w:val="006D31BC"/>
    <w:rsid w:val="006E34C2"/>
    <w:rsid w:val="006E7943"/>
    <w:rsid w:val="006F24EA"/>
    <w:rsid w:val="00704CA9"/>
    <w:rsid w:val="0071048D"/>
    <w:rsid w:val="00710F86"/>
    <w:rsid w:val="007111A8"/>
    <w:rsid w:val="00731BC3"/>
    <w:rsid w:val="00735A89"/>
    <w:rsid w:val="00735C7E"/>
    <w:rsid w:val="00741192"/>
    <w:rsid w:val="0074133B"/>
    <w:rsid w:val="00743A33"/>
    <w:rsid w:val="00746080"/>
    <w:rsid w:val="0075144A"/>
    <w:rsid w:val="00762FC4"/>
    <w:rsid w:val="0077326F"/>
    <w:rsid w:val="00786329"/>
    <w:rsid w:val="00787808"/>
    <w:rsid w:val="00792C7D"/>
    <w:rsid w:val="00794A4D"/>
    <w:rsid w:val="00794A66"/>
    <w:rsid w:val="007A5234"/>
    <w:rsid w:val="007B7854"/>
    <w:rsid w:val="007C56A1"/>
    <w:rsid w:val="007C6454"/>
    <w:rsid w:val="007D3EE4"/>
    <w:rsid w:val="007E01E0"/>
    <w:rsid w:val="007E1065"/>
    <w:rsid w:val="007F0B93"/>
    <w:rsid w:val="007F2BF4"/>
    <w:rsid w:val="007F2ECA"/>
    <w:rsid w:val="00810049"/>
    <w:rsid w:val="00811708"/>
    <w:rsid w:val="008136A3"/>
    <w:rsid w:val="00816B90"/>
    <w:rsid w:val="00817799"/>
    <w:rsid w:val="00822F5F"/>
    <w:rsid w:val="00824FD3"/>
    <w:rsid w:val="00826589"/>
    <w:rsid w:val="00834BCC"/>
    <w:rsid w:val="00850D54"/>
    <w:rsid w:val="008714B0"/>
    <w:rsid w:val="00876331"/>
    <w:rsid w:val="00880726"/>
    <w:rsid w:val="00881827"/>
    <w:rsid w:val="008A3544"/>
    <w:rsid w:val="008B48B8"/>
    <w:rsid w:val="008B5348"/>
    <w:rsid w:val="008B58F8"/>
    <w:rsid w:val="008C0712"/>
    <w:rsid w:val="008C4520"/>
    <w:rsid w:val="008C5F09"/>
    <w:rsid w:val="008D470F"/>
    <w:rsid w:val="008D7009"/>
    <w:rsid w:val="008E1F8F"/>
    <w:rsid w:val="008E4768"/>
    <w:rsid w:val="008E761E"/>
    <w:rsid w:val="008F77B3"/>
    <w:rsid w:val="009008F5"/>
    <w:rsid w:val="00904CC1"/>
    <w:rsid w:val="009066AF"/>
    <w:rsid w:val="00912050"/>
    <w:rsid w:val="00912E48"/>
    <w:rsid w:val="00924399"/>
    <w:rsid w:val="0092746F"/>
    <w:rsid w:val="00935DC9"/>
    <w:rsid w:val="009413F9"/>
    <w:rsid w:val="009446C0"/>
    <w:rsid w:val="0096082E"/>
    <w:rsid w:val="00961347"/>
    <w:rsid w:val="00967410"/>
    <w:rsid w:val="00967D73"/>
    <w:rsid w:val="009700E6"/>
    <w:rsid w:val="00976B12"/>
    <w:rsid w:val="0098119A"/>
    <w:rsid w:val="00984AAF"/>
    <w:rsid w:val="00991B09"/>
    <w:rsid w:val="00993CB2"/>
    <w:rsid w:val="009A5166"/>
    <w:rsid w:val="009A76F8"/>
    <w:rsid w:val="009B03F6"/>
    <w:rsid w:val="009B2B83"/>
    <w:rsid w:val="009C49F8"/>
    <w:rsid w:val="009D77CC"/>
    <w:rsid w:val="009E2423"/>
    <w:rsid w:val="009E3753"/>
    <w:rsid w:val="009E55D7"/>
    <w:rsid w:val="009E79B8"/>
    <w:rsid w:val="009F4150"/>
    <w:rsid w:val="009F5665"/>
    <w:rsid w:val="009F5DAD"/>
    <w:rsid w:val="00A01BCA"/>
    <w:rsid w:val="00A10458"/>
    <w:rsid w:val="00A153B6"/>
    <w:rsid w:val="00A164D5"/>
    <w:rsid w:val="00A273C3"/>
    <w:rsid w:val="00A30C37"/>
    <w:rsid w:val="00A33643"/>
    <w:rsid w:val="00A36C65"/>
    <w:rsid w:val="00A41BBE"/>
    <w:rsid w:val="00A45BDD"/>
    <w:rsid w:val="00A46A0A"/>
    <w:rsid w:val="00A4790C"/>
    <w:rsid w:val="00A553F8"/>
    <w:rsid w:val="00A6708F"/>
    <w:rsid w:val="00A67CEC"/>
    <w:rsid w:val="00A71BF6"/>
    <w:rsid w:val="00A86F9A"/>
    <w:rsid w:val="00AA25F3"/>
    <w:rsid w:val="00AA35E6"/>
    <w:rsid w:val="00AA50B6"/>
    <w:rsid w:val="00AB3472"/>
    <w:rsid w:val="00AC7103"/>
    <w:rsid w:val="00AD0762"/>
    <w:rsid w:val="00AE4452"/>
    <w:rsid w:val="00AE7C38"/>
    <w:rsid w:val="00B01F99"/>
    <w:rsid w:val="00B02B37"/>
    <w:rsid w:val="00B05276"/>
    <w:rsid w:val="00B06E77"/>
    <w:rsid w:val="00B132DB"/>
    <w:rsid w:val="00B2369D"/>
    <w:rsid w:val="00B31427"/>
    <w:rsid w:val="00B33861"/>
    <w:rsid w:val="00B40DE2"/>
    <w:rsid w:val="00B50210"/>
    <w:rsid w:val="00B53955"/>
    <w:rsid w:val="00B6408A"/>
    <w:rsid w:val="00B714B8"/>
    <w:rsid w:val="00B82C2C"/>
    <w:rsid w:val="00B8720B"/>
    <w:rsid w:val="00B876EF"/>
    <w:rsid w:val="00B9322E"/>
    <w:rsid w:val="00BA4697"/>
    <w:rsid w:val="00BA745E"/>
    <w:rsid w:val="00BB5177"/>
    <w:rsid w:val="00BB5378"/>
    <w:rsid w:val="00BC0BD3"/>
    <w:rsid w:val="00BC7BA7"/>
    <w:rsid w:val="00BD0107"/>
    <w:rsid w:val="00BD6CCC"/>
    <w:rsid w:val="00BE0C33"/>
    <w:rsid w:val="00BE262C"/>
    <w:rsid w:val="00BE6C3D"/>
    <w:rsid w:val="00C02590"/>
    <w:rsid w:val="00C02AC8"/>
    <w:rsid w:val="00C07606"/>
    <w:rsid w:val="00C12542"/>
    <w:rsid w:val="00C24725"/>
    <w:rsid w:val="00C30BA9"/>
    <w:rsid w:val="00C3541E"/>
    <w:rsid w:val="00C36A8F"/>
    <w:rsid w:val="00C42834"/>
    <w:rsid w:val="00C42FFA"/>
    <w:rsid w:val="00C44BA2"/>
    <w:rsid w:val="00C46FD5"/>
    <w:rsid w:val="00C507D8"/>
    <w:rsid w:val="00C56E3A"/>
    <w:rsid w:val="00C62EAC"/>
    <w:rsid w:val="00C63F9F"/>
    <w:rsid w:val="00C7723C"/>
    <w:rsid w:val="00C838F5"/>
    <w:rsid w:val="00CA1AF4"/>
    <w:rsid w:val="00CA23CD"/>
    <w:rsid w:val="00CA6068"/>
    <w:rsid w:val="00CB15E1"/>
    <w:rsid w:val="00CB3D46"/>
    <w:rsid w:val="00CD1A87"/>
    <w:rsid w:val="00CD35F3"/>
    <w:rsid w:val="00CD5C93"/>
    <w:rsid w:val="00CD73D6"/>
    <w:rsid w:val="00CE342B"/>
    <w:rsid w:val="00CF0225"/>
    <w:rsid w:val="00CF320C"/>
    <w:rsid w:val="00CF3A4B"/>
    <w:rsid w:val="00CF4001"/>
    <w:rsid w:val="00D04969"/>
    <w:rsid w:val="00D05837"/>
    <w:rsid w:val="00D12D8A"/>
    <w:rsid w:val="00D13E0C"/>
    <w:rsid w:val="00D25896"/>
    <w:rsid w:val="00D373A1"/>
    <w:rsid w:val="00D37C0F"/>
    <w:rsid w:val="00D40534"/>
    <w:rsid w:val="00D45661"/>
    <w:rsid w:val="00D45943"/>
    <w:rsid w:val="00D47D22"/>
    <w:rsid w:val="00D51865"/>
    <w:rsid w:val="00D51D0C"/>
    <w:rsid w:val="00D631B0"/>
    <w:rsid w:val="00D64714"/>
    <w:rsid w:val="00D74140"/>
    <w:rsid w:val="00DA6E56"/>
    <w:rsid w:val="00DC6705"/>
    <w:rsid w:val="00DD20D7"/>
    <w:rsid w:val="00DD2DE8"/>
    <w:rsid w:val="00DE38B4"/>
    <w:rsid w:val="00DE5D02"/>
    <w:rsid w:val="00E005A9"/>
    <w:rsid w:val="00E06F37"/>
    <w:rsid w:val="00E1166E"/>
    <w:rsid w:val="00E12059"/>
    <w:rsid w:val="00E23A69"/>
    <w:rsid w:val="00E24DC0"/>
    <w:rsid w:val="00E2519C"/>
    <w:rsid w:val="00E25F2A"/>
    <w:rsid w:val="00E41455"/>
    <w:rsid w:val="00E42AD2"/>
    <w:rsid w:val="00E50856"/>
    <w:rsid w:val="00E538CC"/>
    <w:rsid w:val="00E54DBA"/>
    <w:rsid w:val="00E63D7C"/>
    <w:rsid w:val="00E640D5"/>
    <w:rsid w:val="00E66E2E"/>
    <w:rsid w:val="00E67691"/>
    <w:rsid w:val="00E679ED"/>
    <w:rsid w:val="00E92237"/>
    <w:rsid w:val="00E951EF"/>
    <w:rsid w:val="00EA3D54"/>
    <w:rsid w:val="00EA56D9"/>
    <w:rsid w:val="00EA5CE3"/>
    <w:rsid w:val="00EA772C"/>
    <w:rsid w:val="00EB51C1"/>
    <w:rsid w:val="00EB5AE1"/>
    <w:rsid w:val="00EB5E0B"/>
    <w:rsid w:val="00EC1C51"/>
    <w:rsid w:val="00EC2171"/>
    <w:rsid w:val="00ED442D"/>
    <w:rsid w:val="00ED70C2"/>
    <w:rsid w:val="00EE18FF"/>
    <w:rsid w:val="00EE489F"/>
    <w:rsid w:val="00F0647F"/>
    <w:rsid w:val="00F10CE3"/>
    <w:rsid w:val="00F14F3B"/>
    <w:rsid w:val="00F16362"/>
    <w:rsid w:val="00F207C7"/>
    <w:rsid w:val="00F23434"/>
    <w:rsid w:val="00F357DE"/>
    <w:rsid w:val="00F36B6D"/>
    <w:rsid w:val="00F4073B"/>
    <w:rsid w:val="00F43FA3"/>
    <w:rsid w:val="00F5470E"/>
    <w:rsid w:val="00F55648"/>
    <w:rsid w:val="00F70046"/>
    <w:rsid w:val="00F707A4"/>
    <w:rsid w:val="00F72598"/>
    <w:rsid w:val="00F748C2"/>
    <w:rsid w:val="00F76C5C"/>
    <w:rsid w:val="00F81EF3"/>
    <w:rsid w:val="00F84496"/>
    <w:rsid w:val="00F85DCB"/>
    <w:rsid w:val="00F86F9C"/>
    <w:rsid w:val="00F90D76"/>
    <w:rsid w:val="00FC002E"/>
    <w:rsid w:val="00FC4C23"/>
    <w:rsid w:val="00FC642E"/>
    <w:rsid w:val="00FD4AA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F9C969"/>
  <w15:docId w15:val="{04B7E365-2CA2-49A1-B872-19374D32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692224"/>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692224"/>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A4ED62-5F57-4BEB-8B8B-ECEBF9A6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4303</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Communicable Diseases Intelligence 2020 - Severe community-acquired pneumonia due to Streptococcus pyogenes in the Newcastle area</vt:lpstr>
    </vt:vector>
  </TitlesOfParts>
  <Company>Australian Government, Department of Health</Company>
  <LinksUpToDate>false</LinksUpToDate>
  <CharactersWithSpaces>28634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Severe community-acquired pneumonia due to Streptococcus pyogenes in the Newcastle area</dc:title>
  <dc:subject>Streptococcus pyogenes is a rare cause of severe CAP in the Newcastle area, but there was a marked increase in frequency observed during the 2017 influenza season. Further study of the epidemiology of invasive GAS disease in Newcastle is warranted to identify emerging trends in this severe infection.</dc:subject>
  <dc:creator>Paul A Wilson, Hemalatha Varadhan</dc:creator>
  <cp:keywords>community-acquired pneumonia, Streptococcus pyogenes, Newcastle</cp:keywords>
  <dc:description>© Commonwealth of Australia CC BY-NC-ND ISSN: 2209-6051 (Online)</dc:description>
  <cp:lastPrinted>2018-05-10T02:19:00Z</cp:lastPrinted>
  <dcterms:created xsi:type="dcterms:W3CDTF">2024-08-29T03:02:00Z</dcterms:created>
  <dcterms:modified xsi:type="dcterms:W3CDTF">2024-08-29T03:02:00Z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15/10/2020</vt:lpwstr>
  </property>
  <property fmtid="{D5CDD505-2E9C-101B-9397-08002B2CF9AE}" pid="5" name="DOI">
    <vt:lpwstr>https://doi.org/10.33321/cdi.2020.44.82</vt:lpwstr>
  </property>
</Properties>
</file>