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2DD12" w14:textId="77777777" w:rsidR="003D18A8" w:rsidRDefault="003D18A8" w:rsidP="003D18A8">
      <w:pPr>
        <w:pStyle w:val="Title"/>
        <w:rPr>
          <w:sz w:val="24"/>
          <w:szCs w:val="24"/>
        </w:rPr>
      </w:pPr>
      <w:r>
        <w:t>The effect of COVID-19 public health measures on nationally notifiable diseases in Australia: preliminary</w:t>
      </w:r>
      <w:r w:rsidR="009575A7">
        <w:t> </w:t>
      </w:r>
      <w:r>
        <w:t xml:space="preserve">analysis </w:t>
      </w:r>
    </w:p>
    <w:p w14:paraId="3FC7E9C2" w14:textId="77777777" w:rsidR="003D18A8" w:rsidRDefault="003D18A8" w:rsidP="007753A5">
      <w:pPr>
        <w:spacing w:after="100"/>
      </w:pPr>
      <w:r>
        <w:t xml:space="preserve">Amy Bright, Anna-Jane Glynn-Robinson, Stacey Kane, Rose Wright and Nathan Saul </w:t>
      </w:r>
    </w:p>
    <w:p w14:paraId="735F98BB" w14:textId="77777777" w:rsidR="003D18A8" w:rsidRPr="003D18A8" w:rsidRDefault="003D18A8" w:rsidP="007753A5">
      <w:pPr>
        <w:pStyle w:val="Heading1"/>
        <w:spacing w:before="240" w:after="120"/>
      </w:pPr>
      <w:r w:rsidRPr="003D18A8">
        <w:t xml:space="preserve">Abstract </w:t>
      </w:r>
    </w:p>
    <w:p w14:paraId="3573354C" w14:textId="77777777" w:rsidR="003D18A8" w:rsidRDefault="003D18A8" w:rsidP="003D18A8">
      <w:r>
        <w:t xml:space="preserve">Since the introduction of COVID-19-related public health measures, notifications for most nationally notifiable diseases have declined when compared to previous years. Physical distancing, travel restrictions, and emphasis on hygiene are likely to have affected the number of expected notifications, with the greatest reductions observed among disease spread via person-to-person contact such as influenza, and among overseas-acquired infections such as dengue virus and measles. However, quantifying the magnitude of the effect of COVID-19 public health measures on communicable diseases in Australia will be difficult, due to confounding factors such as: changes in testing priorities in laboratories; diversion of resources to the COVID-19 response; changes in health-seeking behaviours; greater utilisation of telehealth practices; and financial impacts such as income loss and ability to afford healthcare. It is considered likely that these other factors will have also impacted notification numbers. </w:t>
      </w:r>
    </w:p>
    <w:p w14:paraId="1FD065B9" w14:textId="77777777" w:rsidR="003D18A8" w:rsidRDefault="003D18A8" w:rsidP="003D18A8">
      <w:r>
        <w:t xml:space="preserve">Keywords: Australia, communicable disease, COVID-19 </w:t>
      </w:r>
    </w:p>
    <w:p w14:paraId="18DB3E21" w14:textId="77777777" w:rsidR="003D18A8" w:rsidRPr="003D18A8" w:rsidRDefault="003D18A8" w:rsidP="003D18A8">
      <w:pPr>
        <w:pStyle w:val="Heading1"/>
      </w:pPr>
      <w:r w:rsidRPr="003D18A8">
        <w:t xml:space="preserve">Introduction/methods </w:t>
      </w:r>
    </w:p>
    <w:p w14:paraId="2DEB3C40" w14:textId="77777777" w:rsidR="003D18A8" w:rsidRDefault="003D18A8" w:rsidP="003D18A8">
      <w:r>
        <w:t xml:space="preserve">Coronavirus disease 19 (COVID-19), caused by the novel severe acute respiratory syndrome coronavirus 2 (SARS-CoV-2), was first identified in early January 2020. Subsequently, the disease spread rapidly, leading to a global pandemic. Since the first case of COVID-19 was identified in Australia, all states and territories have reported cases of COVID-19 and Australia has implemented public health measures informed by the disease’s epidemiology. We analysed Nationally Notifiable Diseases Surveillance System (NNDSS) data to determine the effect of COVID-19 public health measures on other nationally notifiable diseases in Australia. </w:t>
      </w:r>
    </w:p>
    <w:p w14:paraId="347328EF" w14:textId="77777777" w:rsidR="003D18A8" w:rsidRDefault="003D18A8" w:rsidP="003D18A8">
      <w:r>
        <w:t>Notifications for the majority of diseases reported to the NNDSS have been lower than expected in the first 6 months of 2020, when compared to trends over the previous 5 years (2015–2019). Implementation of COVID-19-related public health measures in Australia from mid-March 2020,</w:t>
      </w:r>
      <w:r>
        <w:rPr>
          <w:vertAlign w:val="superscript"/>
        </w:rPr>
        <w:t>1</w:t>
      </w:r>
      <w:r>
        <w:t xml:space="preserve"> such as physical distancing, travel restrictions and emphasis on hygiene, is likely to have contributed to the lower-than-expected notification numbers. The impact of other factors such as prioritisation of testing for COVID-19 and the introduction of Medicare Benefit Scheme (MBS) telehealth items, allowing people to access health services in their homes, must also be considered when examining these trends. </w:t>
      </w:r>
    </w:p>
    <w:p w14:paraId="40F62FD1" w14:textId="77777777" w:rsidR="003D18A8" w:rsidRDefault="003D18A8" w:rsidP="003D18A8">
      <w:r>
        <w:t xml:space="preserve">To further quantify the potential effect of COVID-19-related public health measures on NNDSS notifications, we selected several diseases that would most likely be effected and categorised them as: </w:t>
      </w:r>
    </w:p>
    <w:p w14:paraId="3F953A58" w14:textId="77777777" w:rsidR="003D18A8" w:rsidRPr="003D18A8" w:rsidRDefault="003D18A8" w:rsidP="003D18A8">
      <w:pPr>
        <w:pStyle w:val="ListParagraph"/>
        <w:numPr>
          <w:ilvl w:val="0"/>
          <w:numId w:val="10"/>
        </w:numPr>
        <w:rPr>
          <w:rFonts w:eastAsia="Times New Roman"/>
        </w:rPr>
      </w:pPr>
      <w:r w:rsidRPr="003D18A8">
        <w:rPr>
          <w:rFonts w:eastAsia="Times New Roman"/>
        </w:rPr>
        <w:t xml:space="preserve">Social – diseases that are spread from person-to-person and commonly associated with social gatherings or interactions. </w:t>
      </w:r>
    </w:p>
    <w:p w14:paraId="5AEC1E81" w14:textId="77777777" w:rsidR="003D18A8" w:rsidRPr="003D18A8" w:rsidRDefault="003D18A8" w:rsidP="003D18A8">
      <w:pPr>
        <w:pStyle w:val="ListParagraph"/>
        <w:numPr>
          <w:ilvl w:val="0"/>
          <w:numId w:val="10"/>
        </w:numPr>
        <w:rPr>
          <w:rFonts w:eastAsia="Times New Roman"/>
        </w:rPr>
      </w:pPr>
      <w:r w:rsidRPr="003D18A8">
        <w:rPr>
          <w:rFonts w:eastAsia="Times New Roman"/>
        </w:rPr>
        <w:t xml:space="preserve">Imported – diseases no longer endemically transmitted in Australia, with most cases either acquired overseas and imported, or epidemiologically or genetically linked to an imported case potentially causing localised outbreaks. </w:t>
      </w:r>
    </w:p>
    <w:p w14:paraId="2F5B2137" w14:textId="77777777" w:rsidR="003D18A8" w:rsidRPr="003D18A8" w:rsidRDefault="003D18A8" w:rsidP="003D18A8">
      <w:pPr>
        <w:pStyle w:val="ListParagraph"/>
        <w:numPr>
          <w:ilvl w:val="0"/>
          <w:numId w:val="10"/>
        </w:numPr>
        <w:rPr>
          <w:rFonts w:eastAsia="Times New Roman"/>
        </w:rPr>
      </w:pPr>
      <w:r w:rsidRPr="003D18A8">
        <w:rPr>
          <w:rFonts w:eastAsia="Times New Roman"/>
        </w:rPr>
        <w:t xml:space="preserve">Foodborne – enteric diseases that are potentially related to food. </w:t>
      </w:r>
    </w:p>
    <w:p w14:paraId="56161977" w14:textId="77777777" w:rsidR="003D18A8" w:rsidRDefault="003D18A8" w:rsidP="003D18A8">
      <w:r>
        <w:lastRenderedPageBreak/>
        <w:t xml:space="preserve">The selected diseases are nationally notifiable in Australia and are monitored using the NNDSS. Medical practitioners, public health laboratories and other health professionals are required, under state and territory public health legislation, to report cases to jurisdictional health authorities. The </w:t>
      </w:r>
      <w:r w:rsidRPr="00C9281D">
        <w:rPr>
          <w:rStyle w:val="Emphasis"/>
          <w:b w:val="0"/>
        </w:rPr>
        <w:t xml:space="preserve">National Health Security Act 2007 </w:t>
      </w:r>
      <w:r>
        <w:t>provides the legislative basis for the national notification of communicable diseases,</w:t>
      </w:r>
      <w:r>
        <w:rPr>
          <w:vertAlign w:val="superscript"/>
        </w:rPr>
        <w:t>2</w:t>
      </w:r>
      <w:r>
        <w:t xml:space="preserve"> and authorises the exchange of health information between the Australian Government and state and territory governments. State and territory health departments transfer these notifications regularly to the NNDSS. The primary responsibility for public health action resulting from a notification resides with state and territory health departments. </w:t>
      </w:r>
    </w:p>
    <w:p w14:paraId="28DBC5F2" w14:textId="77777777" w:rsidR="003D18A8" w:rsidRDefault="003D18A8" w:rsidP="003D18A8">
      <w:r>
        <w:t xml:space="preserve">Data analysed in this report were based on the date of disease diagnosis, a derived field within NNDSS. Diagnosis date represents the true onset date or where the onset date was not known, the earliest of the following dates: the specimen collection date, the notification date, or the notification received date. </w:t>
      </w:r>
    </w:p>
    <w:p w14:paraId="124594FB" w14:textId="77777777" w:rsidR="003D18A8" w:rsidRDefault="003D18A8" w:rsidP="003D18A8">
      <w:r>
        <w:t xml:space="preserve">Data were extracted from the NNDSS on 17 July 2020, with data reported to 30 June 2020. Due to the dynamic nature of the NNDSS, data in this extract are subject to retrospective revision and may vary from data reported in published NNDSS reports and reports of notification data by states and territories. </w:t>
      </w:r>
    </w:p>
    <w:p w14:paraId="12712047" w14:textId="77777777" w:rsidR="003D18A8" w:rsidRDefault="003D18A8" w:rsidP="003D18A8">
      <w:r>
        <w:t>Data on testing for notifiable diseases, where available, were obtained from multiple sources. MBS item numbers 69316, 69317 and 69319, representing subsidised microbiological tests performed to diagnose chlamydia, were sourced from the Australian Government Services Australia website.</w:t>
      </w:r>
      <w:r>
        <w:rPr>
          <w:vertAlign w:val="superscript"/>
        </w:rPr>
        <w:t>3</w:t>
      </w:r>
      <w:r>
        <w:t xml:space="preserve"> MBS item numbers for culture of faeces for faecal pathogens, representing a subset of tests performed to diagnose foodborne diseases such as salmonellosis, were also sourced from the Services Australia website. Data on influenza testing were obtained from the influenza sentinel laboratory surveillance system. </w:t>
      </w:r>
    </w:p>
    <w:p w14:paraId="18EFF506" w14:textId="77777777" w:rsidR="003D18A8" w:rsidRPr="00A51610" w:rsidRDefault="003D18A8" w:rsidP="00A51610">
      <w:pPr>
        <w:pStyle w:val="Heading1"/>
      </w:pPr>
      <w:r w:rsidRPr="00A51610">
        <w:t xml:space="preserve">Results </w:t>
      </w:r>
    </w:p>
    <w:p w14:paraId="4897A79E" w14:textId="77777777" w:rsidR="003D18A8" w:rsidRDefault="003D18A8" w:rsidP="00A51610">
      <w:r>
        <w:t xml:space="preserve">In the first 6 months of 2020 (1 January to 30 June), there were 50% fewer notifications reported to the NNDSS than in the same period in 2019 and 20% fewer notifications than the 5-year (2015–2019) average. During the same period, COVID-19 became a nationally notifiable disease in Australia, with 8,542 cases notified between 1 January and 30 June 2020. </w:t>
      </w:r>
    </w:p>
    <w:p w14:paraId="7D063A54" w14:textId="77777777" w:rsidR="003D18A8" w:rsidRDefault="003D18A8" w:rsidP="003D18A8">
      <w:r>
        <w:t>Excluding COVID-19, decreases were observed across the majority of notifiable diseases and conditions, with proportional decreases compared to the preceding year and 5-year average variable across the disease groups (Table 1). Increases in notifications were observed for a small number of notifiable diseases including Barmah Forest virus infection, Ross River virus infection and legionellosis.</w:t>
      </w:r>
    </w:p>
    <w:p w14:paraId="72F891DD" w14:textId="77777777" w:rsidR="006E55D6" w:rsidRDefault="006E55D6">
      <w:pPr>
        <w:rPr>
          <w:b/>
        </w:rPr>
      </w:pPr>
      <w:r>
        <w:br w:type="page"/>
      </w:r>
    </w:p>
    <w:p w14:paraId="4500B41C" w14:textId="77777777" w:rsidR="003D18A8" w:rsidRDefault="003D18A8" w:rsidP="003D18A8">
      <w:pPr>
        <w:pStyle w:val="CDIFigures"/>
      </w:pPr>
      <w:r>
        <w:lastRenderedPageBreak/>
        <w:t xml:space="preserve">Table 1: Nationally notifiable conditions and </w:t>
      </w:r>
      <w:proofErr w:type="spellStart"/>
      <w:r>
        <w:t>diseases,</w:t>
      </w:r>
      <w:r w:rsidRPr="00F72EBC">
        <w:rPr>
          <w:vertAlign w:val="superscript"/>
        </w:rPr>
        <w:t>a</w:t>
      </w:r>
      <w:proofErr w:type="spellEnd"/>
      <w:r>
        <w:t xml:space="preserve"> by disease group, year and 5-year average, 1 January to 30</w:t>
      </w:r>
      <w:r w:rsidR="007A4E4C">
        <w:t> </w:t>
      </w:r>
      <w:proofErr w:type="gramStart"/>
      <w:r>
        <w:t>June,</w:t>
      </w:r>
      <w:proofErr w:type="gramEnd"/>
      <w:r>
        <w:t xml:space="preserve"> 2015–2020</w:t>
      </w:r>
    </w:p>
    <w:tbl>
      <w:tblPr>
        <w:tblStyle w:val="CDI-StandardTable"/>
        <w:tblW w:w="0" w:type="auto"/>
        <w:tblCellMar>
          <w:top w:w="113" w:type="dxa"/>
          <w:left w:w="57" w:type="dxa"/>
          <w:bottom w:w="113" w:type="dxa"/>
          <w:right w:w="57" w:type="dxa"/>
        </w:tblCellMar>
        <w:tblLook w:val="04A0" w:firstRow="1" w:lastRow="0" w:firstColumn="1" w:lastColumn="0" w:noHBand="0" w:noVBand="1"/>
        <w:tblDescription w:val="A table comparing number of notifications of communicable diseases from 2019, the 5 year average (2015-2019) and 2020"/>
      </w:tblPr>
      <w:tblGrid>
        <w:gridCol w:w="4505"/>
        <w:gridCol w:w="1024"/>
        <w:gridCol w:w="857"/>
        <w:gridCol w:w="1015"/>
        <w:gridCol w:w="1436"/>
        <w:gridCol w:w="1629"/>
      </w:tblGrid>
      <w:tr w:rsidR="00F72EBC" w:rsidRPr="00F72EBC" w14:paraId="1D3F8FE7" w14:textId="77777777" w:rsidTr="000F3FF2">
        <w:trPr>
          <w:cnfStyle w:val="100000000000" w:firstRow="1" w:lastRow="0" w:firstColumn="0" w:lastColumn="0" w:oddVBand="0" w:evenVBand="0" w:oddHBand="0" w:evenHBand="0" w:firstRowFirstColumn="0" w:firstRowLastColumn="0" w:lastRowFirstColumn="0" w:lastRowLastColumn="0"/>
          <w:tblHeader/>
        </w:trPr>
        <w:tc>
          <w:tcPr>
            <w:tcW w:w="4505" w:type="dxa"/>
            <w:vMerge w:val="restart"/>
            <w:tcBorders>
              <w:bottom w:val="single" w:sz="2" w:space="0" w:color="FFFFFF" w:themeColor="background1"/>
              <w:right w:val="single" w:sz="2" w:space="0" w:color="FFFFFF" w:themeColor="background1"/>
            </w:tcBorders>
            <w:hideMark/>
          </w:tcPr>
          <w:p w14:paraId="470A7482" w14:textId="77777777" w:rsidR="003D18A8" w:rsidRPr="00F72EBC" w:rsidRDefault="003D18A8">
            <w:pPr>
              <w:pStyle w:val="NormalWeb"/>
              <w:rPr>
                <w:color w:val="FFFFFF" w:themeColor="background1"/>
              </w:rPr>
            </w:pPr>
            <w:r w:rsidRPr="00F72EBC">
              <w:rPr>
                <w:color w:val="FFFFFF" w:themeColor="background1"/>
              </w:rPr>
              <w:t>Diseases</w:t>
            </w:r>
          </w:p>
        </w:tc>
        <w:tc>
          <w:tcPr>
            <w:tcW w:w="2896" w:type="dxa"/>
            <w:gridSpan w:val="3"/>
            <w:tcBorders>
              <w:left w:val="single" w:sz="2" w:space="0" w:color="FFFFFF" w:themeColor="background1"/>
              <w:bottom w:val="single" w:sz="2" w:space="0" w:color="FFFFFF" w:themeColor="background1"/>
              <w:right w:val="single" w:sz="2" w:space="0" w:color="FFFFFF" w:themeColor="background1"/>
            </w:tcBorders>
            <w:hideMark/>
          </w:tcPr>
          <w:p w14:paraId="77246D00" w14:textId="77777777" w:rsidR="003D18A8" w:rsidRPr="00F72EBC" w:rsidRDefault="003D18A8" w:rsidP="00F72EBC">
            <w:pPr>
              <w:pStyle w:val="NormalWeb"/>
              <w:jc w:val="center"/>
              <w:rPr>
                <w:color w:val="FFFFFF" w:themeColor="background1"/>
              </w:rPr>
            </w:pPr>
            <w:r w:rsidRPr="00F72EBC">
              <w:rPr>
                <w:color w:val="FFFFFF" w:themeColor="background1"/>
              </w:rPr>
              <w:t>Notifications</w:t>
            </w:r>
            <w:r w:rsidRPr="00F72EBC">
              <w:rPr>
                <w:color w:val="FFFFFF" w:themeColor="background1"/>
              </w:rPr>
              <w:br/>
              <w:t>1 January – 30 June</w:t>
            </w:r>
          </w:p>
        </w:tc>
        <w:tc>
          <w:tcPr>
            <w:tcW w:w="0" w:type="auto"/>
            <w:gridSpan w:val="2"/>
            <w:tcBorders>
              <w:left w:val="single" w:sz="2" w:space="0" w:color="FFFFFF" w:themeColor="background1"/>
              <w:bottom w:val="single" w:sz="2" w:space="0" w:color="FFFFFF" w:themeColor="background1"/>
            </w:tcBorders>
            <w:hideMark/>
          </w:tcPr>
          <w:p w14:paraId="4B7687AB" w14:textId="77777777" w:rsidR="003D18A8" w:rsidRPr="00F72EBC" w:rsidRDefault="003D18A8" w:rsidP="00F72EBC">
            <w:pPr>
              <w:pStyle w:val="NormalWeb"/>
              <w:jc w:val="center"/>
              <w:rPr>
                <w:color w:val="FFFFFF" w:themeColor="background1"/>
              </w:rPr>
            </w:pPr>
            <w:r w:rsidRPr="00F72EBC">
              <w:rPr>
                <w:color w:val="FFFFFF" w:themeColor="background1"/>
              </w:rPr>
              <w:t>Percent difference</w:t>
            </w:r>
          </w:p>
        </w:tc>
      </w:tr>
      <w:tr w:rsidR="00F72EBC" w:rsidRPr="00F72EBC" w14:paraId="0A1EA9D4" w14:textId="77777777" w:rsidTr="000F3FF2">
        <w:trPr>
          <w:cnfStyle w:val="100000000000" w:firstRow="1" w:lastRow="0" w:firstColumn="0" w:lastColumn="0" w:oddVBand="0" w:evenVBand="0" w:oddHBand="0" w:evenHBand="0" w:firstRowFirstColumn="0" w:firstRowLastColumn="0" w:lastRowFirstColumn="0" w:lastRowLastColumn="0"/>
          <w:tblHeader/>
        </w:trPr>
        <w:tc>
          <w:tcPr>
            <w:tcW w:w="4505" w:type="dxa"/>
            <w:vMerge/>
            <w:tcBorders>
              <w:top w:val="single" w:sz="2" w:space="0" w:color="FFFFFF" w:themeColor="background1"/>
              <w:right w:val="single" w:sz="2" w:space="0" w:color="FFFFFF" w:themeColor="background1"/>
            </w:tcBorders>
            <w:hideMark/>
          </w:tcPr>
          <w:p w14:paraId="2A805029" w14:textId="77777777" w:rsidR="003D18A8" w:rsidRPr="00F72EBC" w:rsidRDefault="003D18A8">
            <w:pPr>
              <w:rPr>
                <w:color w:val="FFFFFF" w:themeColor="background1"/>
                <w:sz w:val="24"/>
                <w:szCs w:val="24"/>
              </w:rPr>
            </w:pPr>
          </w:p>
        </w:tc>
        <w:tc>
          <w:tcPr>
            <w:tcW w:w="1024" w:type="dxa"/>
            <w:tcBorders>
              <w:top w:val="single" w:sz="2" w:space="0" w:color="FFFFFF" w:themeColor="background1"/>
              <w:left w:val="single" w:sz="2" w:space="0" w:color="FFFFFF" w:themeColor="background1"/>
              <w:right w:val="single" w:sz="2" w:space="0" w:color="FFFFFF" w:themeColor="background1"/>
            </w:tcBorders>
            <w:hideMark/>
          </w:tcPr>
          <w:p w14:paraId="178FF410" w14:textId="77777777" w:rsidR="003D18A8" w:rsidRPr="00F72EBC" w:rsidRDefault="003D18A8" w:rsidP="00F72EBC">
            <w:pPr>
              <w:pStyle w:val="NormalWeb"/>
              <w:jc w:val="center"/>
              <w:rPr>
                <w:color w:val="FFFFFF" w:themeColor="background1"/>
              </w:rPr>
            </w:pPr>
            <w:r w:rsidRPr="00F72EBC">
              <w:rPr>
                <w:color w:val="FFFFFF" w:themeColor="background1"/>
              </w:rPr>
              <w:t>2019</w:t>
            </w:r>
          </w:p>
        </w:tc>
        <w:tc>
          <w:tcPr>
            <w:tcW w:w="857" w:type="dxa"/>
            <w:tcBorders>
              <w:top w:val="single" w:sz="2" w:space="0" w:color="FFFFFF" w:themeColor="background1"/>
              <w:left w:val="single" w:sz="2" w:space="0" w:color="FFFFFF" w:themeColor="background1"/>
              <w:right w:val="single" w:sz="2" w:space="0" w:color="FFFFFF" w:themeColor="background1"/>
            </w:tcBorders>
            <w:hideMark/>
          </w:tcPr>
          <w:p w14:paraId="0892C203" w14:textId="77777777" w:rsidR="003D18A8" w:rsidRPr="00F72EBC" w:rsidRDefault="003D18A8" w:rsidP="00F72EBC">
            <w:pPr>
              <w:pStyle w:val="NormalWeb"/>
              <w:jc w:val="center"/>
              <w:rPr>
                <w:color w:val="FFFFFF" w:themeColor="background1"/>
              </w:rPr>
            </w:pPr>
            <w:r w:rsidRPr="00F72EBC">
              <w:rPr>
                <w:color w:val="FFFFFF" w:themeColor="background1"/>
              </w:rPr>
              <w:t>2020</w:t>
            </w:r>
          </w:p>
        </w:tc>
        <w:tc>
          <w:tcPr>
            <w:tcW w:w="1015" w:type="dxa"/>
            <w:tcBorders>
              <w:top w:val="single" w:sz="2" w:space="0" w:color="FFFFFF" w:themeColor="background1"/>
              <w:left w:val="single" w:sz="2" w:space="0" w:color="FFFFFF" w:themeColor="background1"/>
              <w:right w:val="single" w:sz="2" w:space="0" w:color="FFFFFF" w:themeColor="background1"/>
            </w:tcBorders>
            <w:hideMark/>
          </w:tcPr>
          <w:p w14:paraId="0129A969" w14:textId="77777777" w:rsidR="003D18A8" w:rsidRPr="00F72EBC" w:rsidRDefault="003D18A8" w:rsidP="00F72EBC">
            <w:pPr>
              <w:pStyle w:val="NormalWeb"/>
              <w:jc w:val="center"/>
              <w:rPr>
                <w:color w:val="FFFFFF" w:themeColor="background1"/>
              </w:rPr>
            </w:pPr>
            <w:r w:rsidRPr="00F72EBC">
              <w:rPr>
                <w:color w:val="FFFFFF" w:themeColor="background1"/>
              </w:rPr>
              <w:t>5-year average</w:t>
            </w:r>
          </w:p>
        </w:tc>
        <w:tc>
          <w:tcPr>
            <w:tcW w:w="1436" w:type="dxa"/>
            <w:tcBorders>
              <w:top w:val="single" w:sz="2" w:space="0" w:color="FFFFFF" w:themeColor="background1"/>
              <w:left w:val="single" w:sz="2" w:space="0" w:color="FFFFFF" w:themeColor="background1"/>
              <w:right w:val="single" w:sz="2" w:space="0" w:color="FFFFFF" w:themeColor="background1"/>
            </w:tcBorders>
            <w:hideMark/>
          </w:tcPr>
          <w:p w14:paraId="3654DD17" w14:textId="77777777" w:rsidR="003D18A8" w:rsidRPr="00F72EBC" w:rsidRDefault="003D18A8" w:rsidP="00F72EBC">
            <w:pPr>
              <w:pStyle w:val="NormalWeb"/>
              <w:jc w:val="center"/>
              <w:rPr>
                <w:color w:val="FFFFFF" w:themeColor="background1"/>
              </w:rPr>
            </w:pPr>
            <w:r w:rsidRPr="00F72EBC">
              <w:rPr>
                <w:color w:val="FFFFFF" w:themeColor="background1"/>
              </w:rPr>
              <w:t>2020 vs. 2019</w:t>
            </w:r>
          </w:p>
        </w:tc>
        <w:tc>
          <w:tcPr>
            <w:tcW w:w="1629" w:type="dxa"/>
            <w:tcBorders>
              <w:top w:val="single" w:sz="2" w:space="0" w:color="FFFFFF" w:themeColor="background1"/>
              <w:left w:val="single" w:sz="2" w:space="0" w:color="FFFFFF" w:themeColor="background1"/>
            </w:tcBorders>
            <w:hideMark/>
          </w:tcPr>
          <w:p w14:paraId="70B27AD1" w14:textId="77777777" w:rsidR="003D18A8" w:rsidRPr="00F72EBC" w:rsidRDefault="003D18A8" w:rsidP="00F72EBC">
            <w:pPr>
              <w:pStyle w:val="NormalWeb"/>
              <w:jc w:val="center"/>
              <w:rPr>
                <w:color w:val="FFFFFF" w:themeColor="background1"/>
              </w:rPr>
            </w:pPr>
            <w:r w:rsidRPr="00F72EBC">
              <w:rPr>
                <w:color w:val="FFFFFF" w:themeColor="background1"/>
              </w:rPr>
              <w:t>2020 vs. 5-year average</w:t>
            </w:r>
          </w:p>
        </w:tc>
      </w:tr>
      <w:tr w:rsidR="009F2B85" w:rsidRPr="009F2B85" w14:paraId="3D991758" w14:textId="77777777" w:rsidTr="009F2B85">
        <w:tc>
          <w:tcPr>
            <w:tcW w:w="0" w:type="auto"/>
            <w:gridSpan w:val="6"/>
            <w:shd w:val="clear" w:color="auto" w:fill="808080" w:themeFill="background1" w:themeFillShade="80"/>
            <w:hideMark/>
          </w:tcPr>
          <w:p w14:paraId="5565CDE8" w14:textId="77777777" w:rsidR="003D18A8" w:rsidRPr="009F2B85" w:rsidRDefault="003D18A8" w:rsidP="009D7A72">
            <w:pPr>
              <w:pStyle w:val="NormalWeb"/>
              <w:rPr>
                <w:b/>
                <w:color w:val="FFFFFF" w:themeColor="background1"/>
              </w:rPr>
            </w:pPr>
            <w:r w:rsidRPr="009F2B85">
              <w:rPr>
                <w:b/>
                <w:color w:val="FFFFFF" w:themeColor="background1"/>
              </w:rPr>
              <w:t>Bloodborne diseases</w:t>
            </w:r>
          </w:p>
        </w:tc>
      </w:tr>
      <w:tr w:rsidR="000F3FF2" w14:paraId="0D538A98" w14:textId="77777777" w:rsidTr="000F3FF2">
        <w:trPr>
          <w:cnfStyle w:val="000000010000" w:firstRow="0" w:lastRow="0" w:firstColumn="0" w:lastColumn="0" w:oddVBand="0" w:evenVBand="0" w:oddHBand="0" w:evenHBand="1" w:firstRowFirstColumn="0" w:firstRowLastColumn="0" w:lastRowFirstColumn="0" w:lastRowLastColumn="0"/>
        </w:trPr>
        <w:tc>
          <w:tcPr>
            <w:tcW w:w="4505" w:type="dxa"/>
            <w:hideMark/>
          </w:tcPr>
          <w:p w14:paraId="3521718C" w14:textId="77777777" w:rsidR="003D18A8" w:rsidRDefault="003D18A8">
            <w:pPr>
              <w:pStyle w:val="NormalWeb"/>
            </w:pPr>
            <w:r>
              <w:t>Hepatitis B (newly acquired)</w:t>
            </w:r>
          </w:p>
        </w:tc>
        <w:tc>
          <w:tcPr>
            <w:tcW w:w="1024" w:type="dxa"/>
            <w:hideMark/>
          </w:tcPr>
          <w:p w14:paraId="5F0DD4E2" w14:textId="77777777" w:rsidR="003D18A8" w:rsidRDefault="003D18A8" w:rsidP="00F72EBC">
            <w:pPr>
              <w:pStyle w:val="NormalWeb"/>
              <w:jc w:val="center"/>
            </w:pPr>
            <w:r>
              <w:t>84</w:t>
            </w:r>
          </w:p>
        </w:tc>
        <w:tc>
          <w:tcPr>
            <w:tcW w:w="857" w:type="dxa"/>
            <w:hideMark/>
          </w:tcPr>
          <w:p w14:paraId="30ACD7D1" w14:textId="77777777" w:rsidR="003D18A8" w:rsidRDefault="003D18A8" w:rsidP="00F72EBC">
            <w:pPr>
              <w:pStyle w:val="NormalWeb"/>
              <w:jc w:val="center"/>
            </w:pPr>
            <w:r>
              <w:t>58</w:t>
            </w:r>
          </w:p>
        </w:tc>
        <w:tc>
          <w:tcPr>
            <w:tcW w:w="1015" w:type="dxa"/>
            <w:hideMark/>
          </w:tcPr>
          <w:p w14:paraId="71E02E1C" w14:textId="77777777" w:rsidR="003D18A8" w:rsidRDefault="003D18A8" w:rsidP="00F72EBC">
            <w:pPr>
              <w:pStyle w:val="NormalWeb"/>
              <w:jc w:val="center"/>
            </w:pPr>
            <w:r>
              <w:t>79</w:t>
            </w:r>
          </w:p>
        </w:tc>
        <w:tc>
          <w:tcPr>
            <w:tcW w:w="1436" w:type="dxa"/>
            <w:hideMark/>
          </w:tcPr>
          <w:p w14:paraId="4055E96C" w14:textId="77777777" w:rsidR="003D18A8" w:rsidRDefault="003D18A8" w:rsidP="00F72EBC">
            <w:pPr>
              <w:pStyle w:val="NormalWeb"/>
              <w:jc w:val="center"/>
            </w:pPr>
            <w:r>
              <w:t>-31%</w:t>
            </w:r>
          </w:p>
        </w:tc>
        <w:tc>
          <w:tcPr>
            <w:tcW w:w="1629" w:type="dxa"/>
            <w:hideMark/>
          </w:tcPr>
          <w:p w14:paraId="3AE8BAD0" w14:textId="77777777" w:rsidR="003D18A8" w:rsidRDefault="003D18A8" w:rsidP="00F72EBC">
            <w:pPr>
              <w:pStyle w:val="NormalWeb"/>
              <w:jc w:val="center"/>
            </w:pPr>
            <w:r>
              <w:t>-26%</w:t>
            </w:r>
          </w:p>
        </w:tc>
      </w:tr>
      <w:tr w:rsidR="000162A9" w14:paraId="4C8EBFE0" w14:textId="77777777" w:rsidTr="000F3FF2">
        <w:tc>
          <w:tcPr>
            <w:tcW w:w="4505" w:type="dxa"/>
            <w:hideMark/>
          </w:tcPr>
          <w:p w14:paraId="58F89234" w14:textId="77777777" w:rsidR="003D18A8" w:rsidRDefault="003D18A8">
            <w:pPr>
              <w:pStyle w:val="NormalWeb"/>
            </w:pPr>
            <w:r>
              <w:t>Hepatitis B (unspecified)</w:t>
            </w:r>
          </w:p>
        </w:tc>
        <w:tc>
          <w:tcPr>
            <w:tcW w:w="1024" w:type="dxa"/>
            <w:hideMark/>
          </w:tcPr>
          <w:p w14:paraId="530DBC71" w14:textId="77777777" w:rsidR="003D18A8" w:rsidRDefault="003D18A8" w:rsidP="00F72EBC">
            <w:pPr>
              <w:pStyle w:val="NormalWeb"/>
              <w:jc w:val="center"/>
            </w:pPr>
            <w:r>
              <w:t>2,908</w:t>
            </w:r>
          </w:p>
        </w:tc>
        <w:tc>
          <w:tcPr>
            <w:tcW w:w="857" w:type="dxa"/>
            <w:hideMark/>
          </w:tcPr>
          <w:p w14:paraId="510315F0" w14:textId="77777777" w:rsidR="003D18A8" w:rsidRDefault="003D18A8" w:rsidP="00F72EBC">
            <w:pPr>
              <w:pStyle w:val="NormalWeb"/>
              <w:jc w:val="center"/>
            </w:pPr>
            <w:r>
              <w:t>2,536</w:t>
            </w:r>
          </w:p>
        </w:tc>
        <w:tc>
          <w:tcPr>
            <w:tcW w:w="1015" w:type="dxa"/>
            <w:hideMark/>
          </w:tcPr>
          <w:p w14:paraId="7E6D7EB0" w14:textId="77777777" w:rsidR="003D18A8" w:rsidRDefault="003D18A8" w:rsidP="00F72EBC">
            <w:pPr>
              <w:pStyle w:val="NormalWeb"/>
              <w:jc w:val="center"/>
            </w:pPr>
            <w:r>
              <w:t>3,036</w:t>
            </w:r>
          </w:p>
        </w:tc>
        <w:tc>
          <w:tcPr>
            <w:tcW w:w="1436" w:type="dxa"/>
            <w:hideMark/>
          </w:tcPr>
          <w:p w14:paraId="49A2125C" w14:textId="77777777" w:rsidR="003D18A8" w:rsidRDefault="003D18A8" w:rsidP="00F72EBC">
            <w:pPr>
              <w:pStyle w:val="NormalWeb"/>
              <w:jc w:val="center"/>
            </w:pPr>
            <w:r>
              <w:t>-13%</w:t>
            </w:r>
          </w:p>
        </w:tc>
        <w:tc>
          <w:tcPr>
            <w:tcW w:w="1629" w:type="dxa"/>
            <w:hideMark/>
          </w:tcPr>
          <w:p w14:paraId="69A726F7" w14:textId="77777777" w:rsidR="003D18A8" w:rsidRDefault="003D18A8" w:rsidP="00F72EBC">
            <w:pPr>
              <w:pStyle w:val="NormalWeb"/>
              <w:jc w:val="center"/>
            </w:pPr>
            <w:r>
              <w:t>-16%</w:t>
            </w:r>
          </w:p>
        </w:tc>
      </w:tr>
      <w:tr w:rsidR="000F3FF2" w14:paraId="49313C6A" w14:textId="77777777" w:rsidTr="000F3FF2">
        <w:trPr>
          <w:cnfStyle w:val="000000010000" w:firstRow="0" w:lastRow="0" w:firstColumn="0" w:lastColumn="0" w:oddVBand="0" w:evenVBand="0" w:oddHBand="0" w:evenHBand="1" w:firstRowFirstColumn="0" w:firstRowLastColumn="0" w:lastRowFirstColumn="0" w:lastRowLastColumn="0"/>
        </w:trPr>
        <w:tc>
          <w:tcPr>
            <w:tcW w:w="4505" w:type="dxa"/>
            <w:hideMark/>
          </w:tcPr>
          <w:p w14:paraId="1B63CEAB" w14:textId="77777777" w:rsidR="003D18A8" w:rsidRDefault="003D18A8">
            <w:pPr>
              <w:pStyle w:val="NormalWeb"/>
            </w:pPr>
            <w:r>
              <w:t>Hepatitis C (newly acquired)</w:t>
            </w:r>
          </w:p>
        </w:tc>
        <w:tc>
          <w:tcPr>
            <w:tcW w:w="1024" w:type="dxa"/>
            <w:hideMark/>
          </w:tcPr>
          <w:p w14:paraId="5EFC24E0" w14:textId="77777777" w:rsidR="003D18A8" w:rsidRDefault="003D18A8" w:rsidP="00F72EBC">
            <w:pPr>
              <w:pStyle w:val="NormalWeb"/>
              <w:jc w:val="center"/>
            </w:pPr>
            <w:r>
              <w:t>326</w:t>
            </w:r>
          </w:p>
        </w:tc>
        <w:tc>
          <w:tcPr>
            <w:tcW w:w="857" w:type="dxa"/>
            <w:hideMark/>
          </w:tcPr>
          <w:p w14:paraId="0A1F8C68" w14:textId="77777777" w:rsidR="003D18A8" w:rsidRDefault="003D18A8" w:rsidP="00F72EBC">
            <w:pPr>
              <w:pStyle w:val="NormalWeb"/>
              <w:jc w:val="center"/>
            </w:pPr>
            <w:r>
              <w:t>351</w:t>
            </w:r>
          </w:p>
        </w:tc>
        <w:tc>
          <w:tcPr>
            <w:tcW w:w="1015" w:type="dxa"/>
            <w:hideMark/>
          </w:tcPr>
          <w:p w14:paraId="775A1BE3" w14:textId="77777777" w:rsidR="003D18A8" w:rsidRDefault="003D18A8" w:rsidP="00F72EBC">
            <w:pPr>
              <w:pStyle w:val="NormalWeb"/>
              <w:jc w:val="center"/>
            </w:pPr>
            <w:r>
              <w:t>347</w:t>
            </w:r>
          </w:p>
        </w:tc>
        <w:tc>
          <w:tcPr>
            <w:tcW w:w="1436" w:type="dxa"/>
            <w:hideMark/>
          </w:tcPr>
          <w:p w14:paraId="56ECD6D0" w14:textId="77777777" w:rsidR="003D18A8" w:rsidRDefault="003D18A8" w:rsidP="00F72EBC">
            <w:pPr>
              <w:pStyle w:val="NormalWeb"/>
              <w:jc w:val="center"/>
            </w:pPr>
            <w:r>
              <w:t>8%</w:t>
            </w:r>
          </w:p>
        </w:tc>
        <w:tc>
          <w:tcPr>
            <w:tcW w:w="1629" w:type="dxa"/>
            <w:hideMark/>
          </w:tcPr>
          <w:p w14:paraId="56F9D36F" w14:textId="77777777" w:rsidR="003D18A8" w:rsidRDefault="003D18A8" w:rsidP="00F72EBC">
            <w:pPr>
              <w:pStyle w:val="NormalWeb"/>
              <w:jc w:val="center"/>
            </w:pPr>
            <w:r>
              <w:t>1%</w:t>
            </w:r>
          </w:p>
        </w:tc>
      </w:tr>
      <w:tr w:rsidR="000162A9" w14:paraId="0A5701DB" w14:textId="77777777" w:rsidTr="000F3FF2">
        <w:tc>
          <w:tcPr>
            <w:tcW w:w="4505" w:type="dxa"/>
            <w:hideMark/>
          </w:tcPr>
          <w:p w14:paraId="00E7885A" w14:textId="77777777" w:rsidR="003D18A8" w:rsidRDefault="003D18A8">
            <w:pPr>
              <w:pStyle w:val="NormalWeb"/>
            </w:pPr>
            <w:r>
              <w:t>Hepatitis C (unspecified)</w:t>
            </w:r>
          </w:p>
        </w:tc>
        <w:tc>
          <w:tcPr>
            <w:tcW w:w="1024" w:type="dxa"/>
            <w:hideMark/>
          </w:tcPr>
          <w:p w14:paraId="4D669001" w14:textId="77777777" w:rsidR="003D18A8" w:rsidRDefault="003D18A8" w:rsidP="00F72EBC">
            <w:pPr>
              <w:pStyle w:val="NormalWeb"/>
              <w:jc w:val="center"/>
            </w:pPr>
            <w:r>
              <w:t>4,308</w:t>
            </w:r>
          </w:p>
        </w:tc>
        <w:tc>
          <w:tcPr>
            <w:tcW w:w="857" w:type="dxa"/>
            <w:hideMark/>
          </w:tcPr>
          <w:p w14:paraId="72AF4FC0" w14:textId="77777777" w:rsidR="003D18A8" w:rsidRDefault="003D18A8" w:rsidP="00F72EBC">
            <w:pPr>
              <w:pStyle w:val="NormalWeb"/>
              <w:jc w:val="center"/>
            </w:pPr>
            <w:r>
              <w:t>3,712</w:t>
            </w:r>
          </w:p>
        </w:tc>
        <w:tc>
          <w:tcPr>
            <w:tcW w:w="1015" w:type="dxa"/>
            <w:hideMark/>
          </w:tcPr>
          <w:p w14:paraId="4A9378CD" w14:textId="77777777" w:rsidR="003D18A8" w:rsidRDefault="003D18A8" w:rsidP="00F72EBC">
            <w:pPr>
              <w:pStyle w:val="NormalWeb"/>
              <w:jc w:val="center"/>
            </w:pPr>
            <w:r>
              <w:t>4,974</w:t>
            </w:r>
          </w:p>
        </w:tc>
        <w:tc>
          <w:tcPr>
            <w:tcW w:w="1436" w:type="dxa"/>
            <w:hideMark/>
          </w:tcPr>
          <w:p w14:paraId="168E3AA6" w14:textId="77777777" w:rsidR="003D18A8" w:rsidRDefault="003D18A8" w:rsidP="00F72EBC">
            <w:pPr>
              <w:pStyle w:val="NormalWeb"/>
              <w:jc w:val="center"/>
            </w:pPr>
            <w:r>
              <w:t>-14%</w:t>
            </w:r>
          </w:p>
        </w:tc>
        <w:tc>
          <w:tcPr>
            <w:tcW w:w="1629" w:type="dxa"/>
            <w:hideMark/>
          </w:tcPr>
          <w:p w14:paraId="696CB48A" w14:textId="77777777" w:rsidR="003D18A8" w:rsidRDefault="003D18A8" w:rsidP="00F72EBC">
            <w:pPr>
              <w:pStyle w:val="NormalWeb"/>
              <w:jc w:val="center"/>
            </w:pPr>
            <w:r>
              <w:t>-25%</w:t>
            </w:r>
          </w:p>
        </w:tc>
      </w:tr>
      <w:tr w:rsidR="000F3FF2" w14:paraId="014A5D33" w14:textId="77777777" w:rsidTr="000F3FF2">
        <w:trPr>
          <w:cnfStyle w:val="000000010000" w:firstRow="0" w:lastRow="0" w:firstColumn="0" w:lastColumn="0" w:oddVBand="0" w:evenVBand="0" w:oddHBand="0" w:evenHBand="1" w:firstRowFirstColumn="0" w:firstRowLastColumn="0" w:lastRowFirstColumn="0" w:lastRowLastColumn="0"/>
        </w:trPr>
        <w:tc>
          <w:tcPr>
            <w:tcW w:w="4505" w:type="dxa"/>
            <w:hideMark/>
          </w:tcPr>
          <w:p w14:paraId="46EEDB5E" w14:textId="77777777" w:rsidR="003D18A8" w:rsidRDefault="003D18A8">
            <w:pPr>
              <w:pStyle w:val="NormalWeb"/>
            </w:pPr>
            <w:r>
              <w:t>Hepatitis D</w:t>
            </w:r>
          </w:p>
        </w:tc>
        <w:tc>
          <w:tcPr>
            <w:tcW w:w="1024" w:type="dxa"/>
            <w:hideMark/>
          </w:tcPr>
          <w:p w14:paraId="54627073" w14:textId="77777777" w:rsidR="003D18A8" w:rsidRDefault="003D18A8" w:rsidP="00F72EBC">
            <w:pPr>
              <w:pStyle w:val="NormalWeb"/>
              <w:jc w:val="center"/>
            </w:pPr>
            <w:r>
              <w:t>39</w:t>
            </w:r>
          </w:p>
        </w:tc>
        <w:tc>
          <w:tcPr>
            <w:tcW w:w="857" w:type="dxa"/>
            <w:hideMark/>
          </w:tcPr>
          <w:p w14:paraId="5F80DAAB" w14:textId="77777777" w:rsidR="003D18A8" w:rsidRDefault="003D18A8" w:rsidP="00F72EBC">
            <w:pPr>
              <w:pStyle w:val="NormalWeb"/>
              <w:jc w:val="center"/>
            </w:pPr>
            <w:r>
              <w:t>24</w:t>
            </w:r>
          </w:p>
        </w:tc>
        <w:tc>
          <w:tcPr>
            <w:tcW w:w="1015" w:type="dxa"/>
            <w:hideMark/>
          </w:tcPr>
          <w:p w14:paraId="6D51CBBA" w14:textId="77777777" w:rsidR="003D18A8" w:rsidRDefault="003D18A8" w:rsidP="00F72EBC">
            <w:pPr>
              <w:pStyle w:val="NormalWeb"/>
              <w:jc w:val="center"/>
            </w:pPr>
            <w:r>
              <w:t>32</w:t>
            </w:r>
          </w:p>
        </w:tc>
        <w:tc>
          <w:tcPr>
            <w:tcW w:w="1436" w:type="dxa"/>
            <w:hideMark/>
          </w:tcPr>
          <w:p w14:paraId="76019734" w14:textId="77777777" w:rsidR="003D18A8" w:rsidRDefault="003D18A8" w:rsidP="00F72EBC">
            <w:pPr>
              <w:pStyle w:val="NormalWeb"/>
              <w:jc w:val="center"/>
            </w:pPr>
            <w:r>
              <w:t>-38%</w:t>
            </w:r>
          </w:p>
        </w:tc>
        <w:tc>
          <w:tcPr>
            <w:tcW w:w="1629" w:type="dxa"/>
            <w:hideMark/>
          </w:tcPr>
          <w:p w14:paraId="361290D0" w14:textId="77777777" w:rsidR="003D18A8" w:rsidRDefault="003D18A8" w:rsidP="00F72EBC">
            <w:pPr>
              <w:pStyle w:val="NormalWeb"/>
              <w:jc w:val="center"/>
            </w:pPr>
            <w:r>
              <w:t>-25%</w:t>
            </w:r>
          </w:p>
        </w:tc>
      </w:tr>
      <w:tr w:rsidR="009F2B85" w:rsidRPr="009F2B85" w14:paraId="41B2AA60" w14:textId="77777777" w:rsidTr="009F2B85">
        <w:tc>
          <w:tcPr>
            <w:tcW w:w="0" w:type="auto"/>
            <w:gridSpan w:val="6"/>
            <w:shd w:val="clear" w:color="auto" w:fill="808080" w:themeFill="background1" w:themeFillShade="80"/>
            <w:hideMark/>
          </w:tcPr>
          <w:p w14:paraId="1CE614A4" w14:textId="77777777" w:rsidR="003D18A8" w:rsidRPr="009F2B85" w:rsidRDefault="003D18A8" w:rsidP="009D7A72">
            <w:pPr>
              <w:pStyle w:val="NormalWeb"/>
              <w:rPr>
                <w:b/>
                <w:color w:val="FFFFFF" w:themeColor="background1"/>
              </w:rPr>
            </w:pPr>
            <w:r w:rsidRPr="009F2B85">
              <w:rPr>
                <w:b/>
                <w:color w:val="FFFFFF" w:themeColor="background1"/>
              </w:rPr>
              <w:t>Gastrointestinal diseases</w:t>
            </w:r>
          </w:p>
        </w:tc>
      </w:tr>
      <w:tr w:rsidR="000F3FF2" w14:paraId="61170667" w14:textId="77777777" w:rsidTr="000F3FF2">
        <w:trPr>
          <w:cnfStyle w:val="000000010000" w:firstRow="0" w:lastRow="0" w:firstColumn="0" w:lastColumn="0" w:oddVBand="0" w:evenVBand="0" w:oddHBand="0" w:evenHBand="1" w:firstRowFirstColumn="0" w:firstRowLastColumn="0" w:lastRowFirstColumn="0" w:lastRowLastColumn="0"/>
        </w:trPr>
        <w:tc>
          <w:tcPr>
            <w:tcW w:w="4505" w:type="dxa"/>
            <w:hideMark/>
          </w:tcPr>
          <w:p w14:paraId="7E3EFF33" w14:textId="77777777" w:rsidR="003D18A8" w:rsidRDefault="003D18A8">
            <w:pPr>
              <w:pStyle w:val="NormalWeb"/>
            </w:pPr>
            <w:r>
              <w:t>Botulism</w:t>
            </w:r>
          </w:p>
        </w:tc>
        <w:tc>
          <w:tcPr>
            <w:tcW w:w="1024" w:type="dxa"/>
            <w:hideMark/>
          </w:tcPr>
          <w:p w14:paraId="51D13346" w14:textId="77777777" w:rsidR="003D18A8" w:rsidRDefault="003D18A8" w:rsidP="00F72EBC">
            <w:pPr>
              <w:pStyle w:val="NormalWeb"/>
              <w:jc w:val="center"/>
            </w:pPr>
            <w:r>
              <w:t>1</w:t>
            </w:r>
          </w:p>
        </w:tc>
        <w:tc>
          <w:tcPr>
            <w:tcW w:w="857" w:type="dxa"/>
            <w:hideMark/>
          </w:tcPr>
          <w:p w14:paraId="61A8E60F" w14:textId="77777777" w:rsidR="003D18A8" w:rsidRDefault="003D18A8" w:rsidP="00F72EBC">
            <w:pPr>
              <w:pStyle w:val="NormalWeb"/>
              <w:jc w:val="center"/>
            </w:pPr>
            <w:r>
              <w:t>0</w:t>
            </w:r>
          </w:p>
        </w:tc>
        <w:tc>
          <w:tcPr>
            <w:tcW w:w="1015" w:type="dxa"/>
            <w:hideMark/>
          </w:tcPr>
          <w:p w14:paraId="278EC14A" w14:textId="77777777" w:rsidR="003D18A8" w:rsidRDefault="003D18A8" w:rsidP="00F72EBC">
            <w:pPr>
              <w:pStyle w:val="NormalWeb"/>
              <w:jc w:val="center"/>
            </w:pPr>
            <w:r>
              <w:t>1</w:t>
            </w:r>
          </w:p>
        </w:tc>
        <w:tc>
          <w:tcPr>
            <w:tcW w:w="1436" w:type="dxa"/>
            <w:hideMark/>
          </w:tcPr>
          <w:p w14:paraId="2A9A06AE" w14:textId="77777777" w:rsidR="003D18A8" w:rsidRDefault="003D18A8" w:rsidP="00F72EBC">
            <w:pPr>
              <w:pStyle w:val="NormalWeb"/>
              <w:jc w:val="center"/>
            </w:pPr>
            <w:r>
              <w:t>–</w:t>
            </w:r>
          </w:p>
        </w:tc>
        <w:tc>
          <w:tcPr>
            <w:tcW w:w="1629" w:type="dxa"/>
            <w:hideMark/>
          </w:tcPr>
          <w:p w14:paraId="71FF1008" w14:textId="77777777" w:rsidR="003D18A8" w:rsidRDefault="003D18A8" w:rsidP="00F72EBC">
            <w:pPr>
              <w:pStyle w:val="NormalWeb"/>
              <w:jc w:val="center"/>
            </w:pPr>
            <w:r>
              <w:t>–</w:t>
            </w:r>
          </w:p>
        </w:tc>
      </w:tr>
      <w:tr w:rsidR="000162A9" w14:paraId="568F8B79" w14:textId="77777777" w:rsidTr="000F3FF2">
        <w:tc>
          <w:tcPr>
            <w:tcW w:w="4505" w:type="dxa"/>
            <w:hideMark/>
          </w:tcPr>
          <w:p w14:paraId="4B5D953A" w14:textId="77777777" w:rsidR="003D18A8" w:rsidRDefault="003D18A8">
            <w:pPr>
              <w:pStyle w:val="NormalWeb"/>
            </w:pPr>
            <w:r>
              <w:t>Campylobacteriosis</w:t>
            </w:r>
            <w:r w:rsidRPr="004841C4">
              <w:rPr>
                <w:vertAlign w:val="superscript"/>
              </w:rPr>
              <w:t>b</w:t>
            </w:r>
          </w:p>
        </w:tc>
        <w:tc>
          <w:tcPr>
            <w:tcW w:w="1024" w:type="dxa"/>
            <w:hideMark/>
          </w:tcPr>
          <w:p w14:paraId="6032BCEB" w14:textId="77777777" w:rsidR="003D18A8" w:rsidRDefault="003D18A8" w:rsidP="00F72EBC">
            <w:pPr>
              <w:pStyle w:val="NormalWeb"/>
              <w:jc w:val="center"/>
            </w:pPr>
            <w:r>
              <w:t>16,921</w:t>
            </w:r>
          </w:p>
        </w:tc>
        <w:tc>
          <w:tcPr>
            <w:tcW w:w="857" w:type="dxa"/>
            <w:hideMark/>
          </w:tcPr>
          <w:p w14:paraId="15865DF6" w14:textId="77777777" w:rsidR="003D18A8" w:rsidRDefault="003D18A8" w:rsidP="00F72EBC">
            <w:pPr>
              <w:pStyle w:val="NormalWeb"/>
              <w:jc w:val="center"/>
            </w:pPr>
            <w:r>
              <w:t>14,845</w:t>
            </w:r>
          </w:p>
        </w:tc>
        <w:tc>
          <w:tcPr>
            <w:tcW w:w="1015" w:type="dxa"/>
            <w:hideMark/>
          </w:tcPr>
          <w:p w14:paraId="5ECF70FF" w14:textId="77777777" w:rsidR="003D18A8" w:rsidRDefault="003D18A8" w:rsidP="00F72EBC">
            <w:pPr>
              <w:pStyle w:val="NormalWeb"/>
              <w:jc w:val="center"/>
            </w:pPr>
            <w:r>
              <w:t>13,389</w:t>
            </w:r>
          </w:p>
        </w:tc>
        <w:tc>
          <w:tcPr>
            <w:tcW w:w="1436" w:type="dxa"/>
            <w:hideMark/>
          </w:tcPr>
          <w:p w14:paraId="572EBD2E" w14:textId="77777777" w:rsidR="003D18A8" w:rsidRDefault="003D18A8" w:rsidP="00F72EBC">
            <w:pPr>
              <w:pStyle w:val="NormalWeb"/>
              <w:jc w:val="center"/>
            </w:pPr>
            <w:r>
              <w:t>-12%</w:t>
            </w:r>
          </w:p>
        </w:tc>
        <w:tc>
          <w:tcPr>
            <w:tcW w:w="1629" w:type="dxa"/>
            <w:hideMark/>
          </w:tcPr>
          <w:p w14:paraId="371C5FAF" w14:textId="77777777" w:rsidR="003D18A8" w:rsidRDefault="003D18A8" w:rsidP="00F72EBC">
            <w:pPr>
              <w:pStyle w:val="NormalWeb"/>
              <w:jc w:val="center"/>
            </w:pPr>
            <w:r>
              <w:t>11%</w:t>
            </w:r>
          </w:p>
        </w:tc>
      </w:tr>
      <w:tr w:rsidR="000F3FF2" w14:paraId="23319B55" w14:textId="77777777" w:rsidTr="000F3FF2">
        <w:trPr>
          <w:cnfStyle w:val="000000010000" w:firstRow="0" w:lastRow="0" w:firstColumn="0" w:lastColumn="0" w:oddVBand="0" w:evenVBand="0" w:oddHBand="0" w:evenHBand="1" w:firstRowFirstColumn="0" w:firstRowLastColumn="0" w:lastRowFirstColumn="0" w:lastRowLastColumn="0"/>
        </w:trPr>
        <w:tc>
          <w:tcPr>
            <w:tcW w:w="4505" w:type="dxa"/>
            <w:hideMark/>
          </w:tcPr>
          <w:p w14:paraId="5BE6850F" w14:textId="77777777" w:rsidR="003D18A8" w:rsidRDefault="003D18A8">
            <w:pPr>
              <w:pStyle w:val="NormalWeb"/>
            </w:pPr>
            <w:r>
              <w:t>Cryptosporidiosis</w:t>
            </w:r>
          </w:p>
        </w:tc>
        <w:tc>
          <w:tcPr>
            <w:tcW w:w="1024" w:type="dxa"/>
            <w:hideMark/>
          </w:tcPr>
          <w:p w14:paraId="358B8411" w14:textId="77777777" w:rsidR="003D18A8" w:rsidRDefault="003D18A8" w:rsidP="00F72EBC">
            <w:pPr>
              <w:pStyle w:val="NormalWeb"/>
              <w:jc w:val="center"/>
            </w:pPr>
            <w:r>
              <w:t>1,592</w:t>
            </w:r>
          </w:p>
        </w:tc>
        <w:tc>
          <w:tcPr>
            <w:tcW w:w="857" w:type="dxa"/>
            <w:hideMark/>
          </w:tcPr>
          <w:p w14:paraId="44563E11" w14:textId="77777777" w:rsidR="003D18A8" w:rsidRDefault="003D18A8" w:rsidP="00F72EBC">
            <w:pPr>
              <w:pStyle w:val="NormalWeb"/>
              <w:jc w:val="center"/>
            </w:pPr>
            <w:r>
              <w:t>1,851</w:t>
            </w:r>
          </w:p>
        </w:tc>
        <w:tc>
          <w:tcPr>
            <w:tcW w:w="1015" w:type="dxa"/>
            <w:hideMark/>
          </w:tcPr>
          <w:p w14:paraId="3B97ED5D" w14:textId="77777777" w:rsidR="003D18A8" w:rsidRDefault="003D18A8" w:rsidP="00F72EBC">
            <w:pPr>
              <w:pStyle w:val="NormalWeb"/>
              <w:jc w:val="center"/>
            </w:pPr>
            <w:r>
              <w:t>2,680</w:t>
            </w:r>
          </w:p>
        </w:tc>
        <w:tc>
          <w:tcPr>
            <w:tcW w:w="1436" w:type="dxa"/>
            <w:hideMark/>
          </w:tcPr>
          <w:p w14:paraId="4E79E4CC" w14:textId="77777777" w:rsidR="003D18A8" w:rsidRDefault="003D18A8" w:rsidP="00F72EBC">
            <w:pPr>
              <w:pStyle w:val="NormalWeb"/>
              <w:jc w:val="center"/>
            </w:pPr>
            <w:r>
              <w:t>16%</w:t>
            </w:r>
          </w:p>
        </w:tc>
        <w:tc>
          <w:tcPr>
            <w:tcW w:w="1629" w:type="dxa"/>
            <w:hideMark/>
          </w:tcPr>
          <w:p w14:paraId="354B420C" w14:textId="77777777" w:rsidR="003D18A8" w:rsidRDefault="003D18A8" w:rsidP="00F72EBC">
            <w:pPr>
              <w:pStyle w:val="NormalWeb"/>
              <w:jc w:val="center"/>
            </w:pPr>
            <w:r>
              <w:t>-31%</w:t>
            </w:r>
          </w:p>
        </w:tc>
      </w:tr>
      <w:tr w:rsidR="000162A9" w14:paraId="42F72696" w14:textId="77777777" w:rsidTr="000F3FF2">
        <w:tc>
          <w:tcPr>
            <w:tcW w:w="4505" w:type="dxa"/>
            <w:hideMark/>
          </w:tcPr>
          <w:p w14:paraId="4120BE9B" w14:textId="77777777" w:rsidR="003D18A8" w:rsidRDefault="003D18A8">
            <w:pPr>
              <w:pStyle w:val="NormalWeb"/>
            </w:pPr>
            <w:r>
              <w:t>Haemolytic uraemic syndrome (HUS)</w:t>
            </w:r>
          </w:p>
        </w:tc>
        <w:tc>
          <w:tcPr>
            <w:tcW w:w="1024" w:type="dxa"/>
            <w:hideMark/>
          </w:tcPr>
          <w:p w14:paraId="203D1907" w14:textId="77777777" w:rsidR="003D18A8" w:rsidRDefault="003D18A8" w:rsidP="00F72EBC">
            <w:pPr>
              <w:pStyle w:val="NormalWeb"/>
              <w:jc w:val="center"/>
            </w:pPr>
            <w:r>
              <w:t>11</w:t>
            </w:r>
          </w:p>
        </w:tc>
        <w:tc>
          <w:tcPr>
            <w:tcW w:w="857" w:type="dxa"/>
            <w:hideMark/>
          </w:tcPr>
          <w:p w14:paraId="62F5D76A" w14:textId="77777777" w:rsidR="003D18A8" w:rsidRDefault="003D18A8" w:rsidP="00F72EBC">
            <w:pPr>
              <w:pStyle w:val="NormalWeb"/>
              <w:jc w:val="center"/>
            </w:pPr>
            <w:r>
              <w:t>5</w:t>
            </w:r>
          </w:p>
        </w:tc>
        <w:tc>
          <w:tcPr>
            <w:tcW w:w="1015" w:type="dxa"/>
            <w:hideMark/>
          </w:tcPr>
          <w:p w14:paraId="0C55EE5A" w14:textId="77777777" w:rsidR="003D18A8" w:rsidRDefault="003D18A8" w:rsidP="00F72EBC">
            <w:pPr>
              <w:pStyle w:val="NormalWeb"/>
              <w:jc w:val="center"/>
            </w:pPr>
            <w:r>
              <w:t>8</w:t>
            </w:r>
          </w:p>
        </w:tc>
        <w:tc>
          <w:tcPr>
            <w:tcW w:w="1436" w:type="dxa"/>
            <w:hideMark/>
          </w:tcPr>
          <w:p w14:paraId="57A5BB4D" w14:textId="77777777" w:rsidR="003D18A8" w:rsidRDefault="003D18A8" w:rsidP="00F72EBC">
            <w:pPr>
              <w:pStyle w:val="NormalWeb"/>
              <w:jc w:val="center"/>
            </w:pPr>
            <w:r>
              <w:t>-55%</w:t>
            </w:r>
          </w:p>
        </w:tc>
        <w:tc>
          <w:tcPr>
            <w:tcW w:w="1629" w:type="dxa"/>
            <w:hideMark/>
          </w:tcPr>
          <w:p w14:paraId="0C0F5331" w14:textId="77777777" w:rsidR="003D18A8" w:rsidRDefault="003D18A8" w:rsidP="00F72EBC">
            <w:pPr>
              <w:pStyle w:val="NormalWeb"/>
              <w:jc w:val="center"/>
            </w:pPr>
            <w:r>
              <w:t>-39%</w:t>
            </w:r>
          </w:p>
        </w:tc>
      </w:tr>
      <w:tr w:rsidR="000F3FF2" w14:paraId="65ADD64D" w14:textId="77777777" w:rsidTr="000F3FF2">
        <w:trPr>
          <w:cnfStyle w:val="000000010000" w:firstRow="0" w:lastRow="0" w:firstColumn="0" w:lastColumn="0" w:oddVBand="0" w:evenVBand="0" w:oddHBand="0" w:evenHBand="1" w:firstRowFirstColumn="0" w:firstRowLastColumn="0" w:lastRowFirstColumn="0" w:lastRowLastColumn="0"/>
        </w:trPr>
        <w:tc>
          <w:tcPr>
            <w:tcW w:w="4505" w:type="dxa"/>
            <w:hideMark/>
          </w:tcPr>
          <w:p w14:paraId="1E9033A4" w14:textId="77777777" w:rsidR="003D18A8" w:rsidRDefault="003D18A8">
            <w:pPr>
              <w:pStyle w:val="NormalWeb"/>
            </w:pPr>
            <w:r>
              <w:t>Hepatitis A</w:t>
            </w:r>
          </w:p>
        </w:tc>
        <w:tc>
          <w:tcPr>
            <w:tcW w:w="1024" w:type="dxa"/>
            <w:hideMark/>
          </w:tcPr>
          <w:p w14:paraId="1D19EAAE" w14:textId="77777777" w:rsidR="003D18A8" w:rsidRDefault="003D18A8" w:rsidP="00F72EBC">
            <w:pPr>
              <w:pStyle w:val="NormalWeb"/>
              <w:jc w:val="center"/>
            </w:pPr>
            <w:r>
              <w:t>138</w:t>
            </w:r>
          </w:p>
        </w:tc>
        <w:tc>
          <w:tcPr>
            <w:tcW w:w="857" w:type="dxa"/>
            <w:hideMark/>
          </w:tcPr>
          <w:p w14:paraId="064CCF5C" w14:textId="77777777" w:rsidR="003D18A8" w:rsidRDefault="003D18A8" w:rsidP="00F72EBC">
            <w:pPr>
              <w:pStyle w:val="NormalWeb"/>
              <w:jc w:val="center"/>
            </w:pPr>
            <w:r>
              <w:t>78</w:t>
            </w:r>
          </w:p>
        </w:tc>
        <w:tc>
          <w:tcPr>
            <w:tcW w:w="1015" w:type="dxa"/>
            <w:hideMark/>
          </w:tcPr>
          <w:p w14:paraId="4BBBAE19" w14:textId="77777777" w:rsidR="003D18A8" w:rsidRDefault="003D18A8" w:rsidP="00F72EBC">
            <w:pPr>
              <w:pStyle w:val="NormalWeb"/>
              <w:jc w:val="center"/>
            </w:pPr>
            <w:r>
              <w:t>138</w:t>
            </w:r>
          </w:p>
        </w:tc>
        <w:tc>
          <w:tcPr>
            <w:tcW w:w="1436" w:type="dxa"/>
            <w:hideMark/>
          </w:tcPr>
          <w:p w14:paraId="7A12DF54" w14:textId="77777777" w:rsidR="003D18A8" w:rsidRDefault="003D18A8" w:rsidP="00F72EBC">
            <w:pPr>
              <w:pStyle w:val="NormalWeb"/>
              <w:jc w:val="center"/>
            </w:pPr>
            <w:r>
              <w:t>-43%</w:t>
            </w:r>
          </w:p>
        </w:tc>
        <w:tc>
          <w:tcPr>
            <w:tcW w:w="1629" w:type="dxa"/>
            <w:hideMark/>
          </w:tcPr>
          <w:p w14:paraId="410E8916" w14:textId="77777777" w:rsidR="003D18A8" w:rsidRDefault="003D18A8" w:rsidP="00F72EBC">
            <w:pPr>
              <w:pStyle w:val="NormalWeb"/>
              <w:jc w:val="center"/>
            </w:pPr>
            <w:r>
              <w:t>-43%</w:t>
            </w:r>
          </w:p>
        </w:tc>
      </w:tr>
      <w:tr w:rsidR="000162A9" w14:paraId="0D651707" w14:textId="77777777" w:rsidTr="000F3FF2">
        <w:tc>
          <w:tcPr>
            <w:tcW w:w="4505" w:type="dxa"/>
            <w:hideMark/>
          </w:tcPr>
          <w:p w14:paraId="5903227C" w14:textId="77777777" w:rsidR="003D18A8" w:rsidRDefault="003D18A8">
            <w:pPr>
              <w:pStyle w:val="NormalWeb"/>
            </w:pPr>
            <w:r>
              <w:t>Hepatitis E</w:t>
            </w:r>
          </w:p>
        </w:tc>
        <w:tc>
          <w:tcPr>
            <w:tcW w:w="1024" w:type="dxa"/>
            <w:hideMark/>
          </w:tcPr>
          <w:p w14:paraId="684ED911" w14:textId="77777777" w:rsidR="003D18A8" w:rsidRDefault="003D18A8" w:rsidP="00F72EBC">
            <w:pPr>
              <w:pStyle w:val="NormalWeb"/>
              <w:jc w:val="center"/>
            </w:pPr>
            <w:r>
              <w:t>30</w:t>
            </w:r>
          </w:p>
        </w:tc>
        <w:tc>
          <w:tcPr>
            <w:tcW w:w="857" w:type="dxa"/>
            <w:hideMark/>
          </w:tcPr>
          <w:p w14:paraId="33EA6234" w14:textId="77777777" w:rsidR="003D18A8" w:rsidRDefault="003D18A8" w:rsidP="00F72EBC">
            <w:pPr>
              <w:pStyle w:val="NormalWeb"/>
              <w:jc w:val="center"/>
            </w:pPr>
            <w:r>
              <w:t>26</w:t>
            </w:r>
          </w:p>
        </w:tc>
        <w:tc>
          <w:tcPr>
            <w:tcW w:w="1015" w:type="dxa"/>
            <w:hideMark/>
          </w:tcPr>
          <w:p w14:paraId="41C6367D" w14:textId="77777777" w:rsidR="003D18A8" w:rsidRDefault="003D18A8" w:rsidP="00F72EBC">
            <w:pPr>
              <w:pStyle w:val="NormalWeb"/>
              <w:jc w:val="center"/>
            </w:pPr>
            <w:r>
              <w:t>25</w:t>
            </w:r>
          </w:p>
        </w:tc>
        <w:tc>
          <w:tcPr>
            <w:tcW w:w="1436" w:type="dxa"/>
            <w:hideMark/>
          </w:tcPr>
          <w:p w14:paraId="6C252BD4" w14:textId="77777777" w:rsidR="003D18A8" w:rsidRDefault="003D18A8" w:rsidP="00F72EBC">
            <w:pPr>
              <w:pStyle w:val="NormalWeb"/>
              <w:jc w:val="center"/>
            </w:pPr>
            <w:r>
              <w:t>-13%</w:t>
            </w:r>
          </w:p>
        </w:tc>
        <w:tc>
          <w:tcPr>
            <w:tcW w:w="1629" w:type="dxa"/>
            <w:hideMark/>
          </w:tcPr>
          <w:p w14:paraId="690F5CB9" w14:textId="77777777" w:rsidR="003D18A8" w:rsidRDefault="003D18A8" w:rsidP="00F72EBC">
            <w:pPr>
              <w:pStyle w:val="NormalWeb"/>
              <w:jc w:val="center"/>
            </w:pPr>
            <w:r>
              <w:t>5%</w:t>
            </w:r>
          </w:p>
        </w:tc>
      </w:tr>
      <w:tr w:rsidR="000F3FF2" w14:paraId="6A26E327" w14:textId="77777777" w:rsidTr="000F3FF2">
        <w:trPr>
          <w:cnfStyle w:val="000000010000" w:firstRow="0" w:lastRow="0" w:firstColumn="0" w:lastColumn="0" w:oddVBand="0" w:evenVBand="0" w:oddHBand="0" w:evenHBand="1" w:firstRowFirstColumn="0" w:firstRowLastColumn="0" w:lastRowFirstColumn="0" w:lastRowLastColumn="0"/>
        </w:trPr>
        <w:tc>
          <w:tcPr>
            <w:tcW w:w="4505" w:type="dxa"/>
            <w:hideMark/>
          </w:tcPr>
          <w:p w14:paraId="7A3117A5" w14:textId="77777777" w:rsidR="003D18A8" w:rsidRDefault="003D18A8">
            <w:pPr>
              <w:pStyle w:val="NormalWeb"/>
            </w:pPr>
            <w:r>
              <w:t>Listeriosis</w:t>
            </w:r>
          </w:p>
        </w:tc>
        <w:tc>
          <w:tcPr>
            <w:tcW w:w="1024" w:type="dxa"/>
            <w:hideMark/>
          </w:tcPr>
          <w:p w14:paraId="4865064F" w14:textId="77777777" w:rsidR="003D18A8" w:rsidRDefault="003D18A8" w:rsidP="00F72EBC">
            <w:pPr>
              <w:pStyle w:val="NormalWeb"/>
              <w:jc w:val="center"/>
            </w:pPr>
            <w:r>
              <w:t>27</w:t>
            </w:r>
          </w:p>
        </w:tc>
        <w:tc>
          <w:tcPr>
            <w:tcW w:w="857" w:type="dxa"/>
            <w:hideMark/>
          </w:tcPr>
          <w:p w14:paraId="66AFD7CB" w14:textId="77777777" w:rsidR="003D18A8" w:rsidRDefault="003D18A8" w:rsidP="00F72EBC">
            <w:pPr>
              <w:pStyle w:val="NormalWeb"/>
              <w:jc w:val="center"/>
            </w:pPr>
            <w:r>
              <w:t>15</w:t>
            </w:r>
          </w:p>
        </w:tc>
        <w:tc>
          <w:tcPr>
            <w:tcW w:w="1015" w:type="dxa"/>
            <w:hideMark/>
          </w:tcPr>
          <w:p w14:paraId="02F67173" w14:textId="77777777" w:rsidR="003D18A8" w:rsidRDefault="003D18A8" w:rsidP="00F72EBC">
            <w:pPr>
              <w:pStyle w:val="NormalWeb"/>
              <w:jc w:val="center"/>
            </w:pPr>
            <w:r>
              <w:t>41</w:t>
            </w:r>
          </w:p>
        </w:tc>
        <w:tc>
          <w:tcPr>
            <w:tcW w:w="1436" w:type="dxa"/>
            <w:hideMark/>
          </w:tcPr>
          <w:p w14:paraId="436AEF11" w14:textId="77777777" w:rsidR="003D18A8" w:rsidRDefault="003D18A8" w:rsidP="00F72EBC">
            <w:pPr>
              <w:pStyle w:val="NormalWeb"/>
              <w:jc w:val="center"/>
            </w:pPr>
            <w:r>
              <w:t>-44%</w:t>
            </w:r>
          </w:p>
        </w:tc>
        <w:tc>
          <w:tcPr>
            <w:tcW w:w="1629" w:type="dxa"/>
            <w:hideMark/>
          </w:tcPr>
          <w:p w14:paraId="7862320C" w14:textId="77777777" w:rsidR="003D18A8" w:rsidRDefault="003D18A8" w:rsidP="00F72EBC">
            <w:pPr>
              <w:pStyle w:val="NormalWeb"/>
              <w:jc w:val="center"/>
            </w:pPr>
            <w:r>
              <w:t>-63%</w:t>
            </w:r>
          </w:p>
        </w:tc>
      </w:tr>
      <w:tr w:rsidR="000162A9" w14:paraId="662B66A7" w14:textId="77777777" w:rsidTr="000F3FF2">
        <w:tc>
          <w:tcPr>
            <w:tcW w:w="4505" w:type="dxa"/>
            <w:hideMark/>
          </w:tcPr>
          <w:p w14:paraId="70E5457A" w14:textId="77777777" w:rsidR="003D18A8" w:rsidRDefault="003D18A8">
            <w:pPr>
              <w:pStyle w:val="NormalWeb"/>
            </w:pPr>
            <w:r>
              <w:t>Paratyphoid</w:t>
            </w:r>
          </w:p>
        </w:tc>
        <w:tc>
          <w:tcPr>
            <w:tcW w:w="1024" w:type="dxa"/>
            <w:hideMark/>
          </w:tcPr>
          <w:p w14:paraId="26A75242" w14:textId="77777777" w:rsidR="003D18A8" w:rsidRDefault="003D18A8" w:rsidP="00F72EBC">
            <w:pPr>
              <w:pStyle w:val="NormalWeb"/>
              <w:jc w:val="center"/>
            </w:pPr>
            <w:r>
              <w:t>81</w:t>
            </w:r>
          </w:p>
        </w:tc>
        <w:tc>
          <w:tcPr>
            <w:tcW w:w="857" w:type="dxa"/>
            <w:hideMark/>
          </w:tcPr>
          <w:p w14:paraId="7C0B680B" w14:textId="77777777" w:rsidR="003D18A8" w:rsidRDefault="003D18A8" w:rsidP="00F72EBC">
            <w:pPr>
              <w:pStyle w:val="NormalWeb"/>
              <w:jc w:val="center"/>
            </w:pPr>
            <w:r>
              <w:t>38</w:t>
            </w:r>
          </w:p>
        </w:tc>
        <w:tc>
          <w:tcPr>
            <w:tcW w:w="1015" w:type="dxa"/>
            <w:hideMark/>
          </w:tcPr>
          <w:p w14:paraId="5CA3656E" w14:textId="77777777" w:rsidR="003D18A8" w:rsidRDefault="003D18A8" w:rsidP="00F72EBC">
            <w:pPr>
              <w:pStyle w:val="NormalWeb"/>
              <w:jc w:val="center"/>
            </w:pPr>
            <w:r>
              <w:t>49</w:t>
            </w:r>
          </w:p>
        </w:tc>
        <w:tc>
          <w:tcPr>
            <w:tcW w:w="1436" w:type="dxa"/>
            <w:hideMark/>
          </w:tcPr>
          <w:p w14:paraId="03771B7C" w14:textId="77777777" w:rsidR="003D18A8" w:rsidRDefault="003D18A8" w:rsidP="00F72EBC">
            <w:pPr>
              <w:pStyle w:val="NormalWeb"/>
              <w:jc w:val="center"/>
            </w:pPr>
            <w:r>
              <w:t>-53%</w:t>
            </w:r>
          </w:p>
        </w:tc>
        <w:tc>
          <w:tcPr>
            <w:tcW w:w="1629" w:type="dxa"/>
            <w:hideMark/>
          </w:tcPr>
          <w:p w14:paraId="0B661474" w14:textId="77777777" w:rsidR="003D18A8" w:rsidRDefault="003D18A8" w:rsidP="00F72EBC">
            <w:pPr>
              <w:pStyle w:val="NormalWeb"/>
              <w:jc w:val="center"/>
            </w:pPr>
            <w:r>
              <w:t>-22%</w:t>
            </w:r>
          </w:p>
        </w:tc>
      </w:tr>
      <w:tr w:rsidR="000F3FF2" w14:paraId="44667264" w14:textId="77777777" w:rsidTr="000F3FF2">
        <w:trPr>
          <w:cnfStyle w:val="000000010000" w:firstRow="0" w:lastRow="0" w:firstColumn="0" w:lastColumn="0" w:oddVBand="0" w:evenVBand="0" w:oddHBand="0" w:evenHBand="1" w:firstRowFirstColumn="0" w:firstRowLastColumn="0" w:lastRowFirstColumn="0" w:lastRowLastColumn="0"/>
        </w:trPr>
        <w:tc>
          <w:tcPr>
            <w:tcW w:w="4505" w:type="dxa"/>
            <w:hideMark/>
          </w:tcPr>
          <w:p w14:paraId="2A0DFD92" w14:textId="77777777" w:rsidR="003D18A8" w:rsidRDefault="003D18A8">
            <w:pPr>
              <w:pStyle w:val="NormalWeb"/>
            </w:pPr>
            <w:r>
              <w:t>Salmonellosis</w:t>
            </w:r>
          </w:p>
        </w:tc>
        <w:tc>
          <w:tcPr>
            <w:tcW w:w="1024" w:type="dxa"/>
            <w:hideMark/>
          </w:tcPr>
          <w:p w14:paraId="75C588E7" w14:textId="77777777" w:rsidR="003D18A8" w:rsidRDefault="003D18A8" w:rsidP="00F72EBC">
            <w:pPr>
              <w:pStyle w:val="NormalWeb"/>
              <w:jc w:val="center"/>
            </w:pPr>
            <w:r>
              <w:t>8,126</w:t>
            </w:r>
          </w:p>
        </w:tc>
        <w:tc>
          <w:tcPr>
            <w:tcW w:w="857" w:type="dxa"/>
            <w:hideMark/>
          </w:tcPr>
          <w:p w14:paraId="3621EEF8" w14:textId="77777777" w:rsidR="003D18A8" w:rsidRDefault="003D18A8" w:rsidP="00F72EBC">
            <w:pPr>
              <w:pStyle w:val="NormalWeb"/>
              <w:jc w:val="center"/>
            </w:pPr>
            <w:r>
              <w:t>7,995</w:t>
            </w:r>
          </w:p>
        </w:tc>
        <w:tc>
          <w:tcPr>
            <w:tcW w:w="1015" w:type="dxa"/>
            <w:hideMark/>
          </w:tcPr>
          <w:p w14:paraId="4ED96D0B" w14:textId="77777777" w:rsidR="003D18A8" w:rsidRDefault="003D18A8" w:rsidP="00F72EBC">
            <w:pPr>
              <w:pStyle w:val="NormalWeb"/>
              <w:jc w:val="center"/>
            </w:pPr>
            <w:r>
              <w:t>9,578</w:t>
            </w:r>
          </w:p>
        </w:tc>
        <w:tc>
          <w:tcPr>
            <w:tcW w:w="1436" w:type="dxa"/>
            <w:hideMark/>
          </w:tcPr>
          <w:p w14:paraId="06392DBE" w14:textId="77777777" w:rsidR="003D18A8" w:rsidRDefault="003D18A8" w:rsidP="00F72EBC">
            <w:pPr>
              <w:pStyle w:val="NormalWeb"/>
              <w:jc w:val="center"/>
            </w:pPr>
            <w:r>
              <w:t>-2%</w:t>
            </w:r>
          </w:p>
        </w:tc>
        <w:tc>
          <w:tcPr>
            <w:tcW w:w="1629" w:type="dxa"/>
            <w:hideMark/>
          </w:tcPr>
          <w:p w14:paraId="5A9C9755" w14:textId="77777777" w:rsidR="003D18A8" w:rsidRDefault="003D18A8" w:rsidP="00F72EBC">
            <w:pPr>
              <w:pStyle w:val="NormalWeb"/>
              <w:jc w:val="center"/>
            </w:pPr>
            <w:r>
              <w:t>-17%</w:t>
            </w:r>
          </w:p>
        </w:tc>
      </w:tr>
      <w:tr w:rsidR="000162A9" w14:paraId="0E48AE17" w14:textId="77777777" w:rsidTr="000F3FF2">
        <w:tc>
          <w:tcPr>
            <w:tcW w:w="4505" w:type="dxa"/>
            <w:hideMark/>
          </w:tcPr>
          <w:p w14:paraId="293F505A" w14:textId="77777777" w:rsidR="003D18A8" w:rsidRDefault="003D18A8">
            <w:pPr>
              <w:pStyle w:val="NormalWeb"/>
            </w:pPr>
            <w:r>
              <w:t>Shigellosis</w:t>
            </w:r>
          </w:p>
        </w:tc>
        <w:tc>
          <w:tcPr>
            <w:tcW w:w="1024" w:type="dxa"/>
            <w:hideMark/>
          </w:tcPr>
          <w:p w14:paraId="7CFA675B" w14:textId="77777777" w:rsidR="003D18A8" w:rsidRDefault="003D18A8" w:rsidP="00F72EBC">
            <w:pPr>
              <w:pStyle w:val="NormalWeb"/>
              <w:jc w:val="center"/>
            </w:pPr>
            <w:r>
              <w:t>1,727</w:t>
            </w:r>
          </w:p>
        </w:tc>
        <w:tc>
          <w:tcPr>
            <w:tcW w:w="857" w:type="dxa"/>
            <w:hideMark/>
          </w:tcPr>
          <w:p w14:paraId="2D5C0605" w14:textId="77777777" w:rsidR="003D18A8" w:rsidRDefault="003D18A8" w:rsidP="00F72EBC">
            <w:pPr>
              <w:pStyle w:val="NormalWeb"/>
              <w:jc w:val="center"/>
            </w:pPr>
            <w:r>
              <w:t>1,217</w:t>
            </w:r>
          </w:p>
        </w:tc>
        <w:tc>
          <w:tcPr>
            <w:tcW w:w="1015" w:type="dxa"/>
            <w:hideMark/>
          </w:tcPr>
          <w:p w14:paraId="3E5FC050" w14:textId="77777777" w:rsidR="003D18A8" w:rsidRDefault="003D18A8" w:rsidP="00F72EBC">
            <w:pPr>
              <w:pStyle w:val="NormalWeb"/>
              <w:jc w:val="center"/>
            </w:pPr>
            <w:r>
              <w:t>956</w:t>
            </w:r>
          </w:p>
        </w:tc>
        <w:tc>
          <w:tcPr>
            <w:tcW w:w="1436" w:type="dxa"/>
            <w:hideMark/>
          </w:tcPr>
          <w:p w14:paraId="7A619660" w14:textId="77777777" w:rsidR="003D18A8" w:rsidRDefault="003D18A8" w:rsidP="00F72EBC">
            <w:pPr>
              <w:pStyle w:val="NormalWeb"/>
              <w:jc w:val="center"/>
            </w:pPr>
            <w:r>
              <w:t>-30%</w:t>
            </w:r>
          </w:p>
        </w:tc>
        <w:tc>
          <w:tcPr>
            <w:tcW w:w="1629" w:type="dxa"/>
            <w:hideMark/>
          </w:tcPr>
          <w:p w14:paraId="0CD2CE80" w14:textId="77777777" w:rsidR="003D18A8" w:rsidRDefault="003D18A8" w:rsidP="00F72EBC">
            <w:pPr>
              <w:pStyle w:val="NormalWeb"/>
              <w:jc w:val="center"/>
            </w:pPr>
            <w:r>
              <w:t>27%</w:t>
            </w:r>
          </w:p>
        </w:tc>
      </w:tr>
      <w:tr w:rsidR="000F3FF2" w14:paraId="49984110" w14:textId="77777777" w:rsidTr="000F3FF2">
        <w:trPr>
          <w:cnfStyle w:val="000000010000" w:firstRow="0" w:lastRow="0" w:firstColumn="0" w:lastColumn="0" w:oddVBand="0" w:evenVBand="0" w:oddHBand="0" w:evenHBand="1" w:firstRowFirstColumn="0" w:firstRowLastColumn="0" w:lastRowFirstColumn="0" w:lastRowLastColumn="0"/>
        </w:trPr>
        <w:tc>
          <w:tcPr>
            <w:tcW w:w="4505" w:type="dxa"/>
            <w:hideMark/>
          </w:tcPr>
          <w:p w14:paraId="154B5491" w14:textId="77777777" w:rsidR="003D18A8" w:rsidRDefault="003D18A8">
            <w:pPr>
              <w:pStyle w:val="NormalWeb"/>
            </w:pPr>
            <w:r>
              <w:t xml:space="preserve">Shiga toxin producing </w:t>
            </w:r>
            <w:r w:rsidRPr="004B7B04">
              <w:rPr>
                <w:i/>
              </w:rPr>
              <w:t>Escherichia coli</w:t>
            </w:r>
            <w:r>
              <w:t xml:space="preserve"> (STEC)</w:t>
            </w:r>
          </w:p>
        </w:tc>
        <w:tc>
          <w:tcPr>
            <w:tcW w:w="1024" w:type="dxa"/>
            <w:hideMark/>
          </w:tcPr>
          <w:p w14:paraId="05F7F899" w14:textId="77777777" w:rsidR="003D18A8" w:rsidRDefault="003D18A8" w:rsidP="00F72EBC">
            <w:pPr>
              <w:pStyle w:val="NormalWeb"/>
              <w:jc w:val="center"/>
            </w:pPr>
            <w:r>
              <w:t>327</w:t>
            </w:r>
          </w:p>
        </w:tc>
        <w:tc>
          <w:tcPr>
            <w:tcW w:w="857" w:type="dxa"/>
            <w:hideMark/>
          </w:tcPr>
          <w:p w14:paraId="1508C8B9" w14:textId="77777777" w:rsidR="003D18A8" w:rsidRDefault="003D18A8" w:rsidP="00F72EBC">
            <w:pPr>
              <w:pStyle w:val="NormalWeb"/>
              <w:jc w:val="center"/>
            </w:pPr>
            <w:r>
              <w:t>315</w:t>
            </w:r>
          </w:p>
        </w:tc>
        <w:tc>
          <w:tcPr>
            <w:tcW w:w="1015" w:type="dxa"/>
            <w:hideMark/>
          </w:tcPr>
          <w:p w14:paraId="0D090B18" w14:textId="77777777" w:rsidR="003D18A8" w:rsidRDefault="003D18A8" w:rsidP="00F72EBC">
            <w:pPr>
              <w:pStyle w:val="NormalWeb"/>
              <w:jc w:val="center"/>
            </w:pPr>
            <w:r>
              <w:t>202</w:t>
            </w:r>
          </w:p>
        </w:tc>
        <w:tc>
          <w:tcPr>
            <w:tcW w:w="1436" w:type="dxa"/>
            <w:hideMark/>
          </w:tcPr>
          <w:p w14:paraId="2EFB5FCD" w14:textId="77777777" w:rsidR="003D18A8" w:rsidRDefault="003D18A8" w:rsidP="00F72EBC">
            <w:pPr>
              <w:pStyle w:val="NormalWeb"/>
              <w:jc w:val="center"/>
            </w:pPr>
            <w:r>
              <w:t>-4%</w:t>
            </w:r>
          </w:p>
        </w:tc>
        <w:tc>
          <w:tcPr>
            <w:tcW w:w="1629" w:type="dxa"/>
            <w:hideMark/>
          </w:tcPr>
          <w:p w14:paraId="7C970B45" w14:textId="77777777" w:rsidR="003D18A8" w:rsidRDefault="003D18A8" w:rsidP="00F72EBC">
            <w:pPr>
              <w:pStyle w:val="NormalWeb"/>
              <w:jc w:val="center"/>
            </w:pPr>
            <w:r>
              <w:t>56%</w:t>
            </w:r>
          </w:p>
        </w:tc>
      </w:tr>
      <w:tr w:rsidR="000162A9" w14:paraId="0508E55A" w14:textId="77777777" w:rsidTr="000F3FF2">
        <w:tc>
          <w:tcPr>
            <w:tcW w:w="4505" w:type="dxa"/>
            <w:hideMark/>
          </w:tcPr>
          <w:p w14:paraId="7104EB56" w14:textId="77777777" w:rsidR="003D18A8" w:rsidRDefault="003D18A8">
            <w:pPr>
              <w:pStyle w:val="NormalWeb"/>
            </w:pPr>
            <w:r>
              <w:t>Typhoid Fever</w:t>
            </w:r>
          </w:p>
        </w:tc>
        <w:tc>
          <w:tcPr>
            <w:tcW w:w="1024" w:type="dxa"/>
            <w:hideMark/>
          </w:tcPr>
          <w:p w14:paraId="64C52AFD" w14:textId="77777777" w:rsidR="003D18A8" w:rsidRDefault="003D18A8" w:rsidP="00F72EBC">
            <w:pPr>
              <w:pStyle w:val="NormalWeb"/>
              <w:jc w:val="center"/>
            </w:pPr>
            <w:r>
              <w:t>118</w:t>
            </w:r>
          </w:p>
        </w:tc>
        <w:tc>
          <w:tcPr>
            <w:tcW w:w="857" w:type="dxa"/>
            <w:hideMark/>
          </w:tcPr>
          <w:p w14:paraId="7B0F29B6" w14:textId="77777777" w:rsidR="003D18A8" w:rsidRDefault="003D18A8" w:rsidP="00F72EBC">
            <w:pPr>
              <w:pStyle w:val="NormalWeb"/>
              <w:jc w:val="center"/>
            </w:pPr>
            <w:r>
              <w:t>76</w:t>
            </w:r>
          </w:p>
        </w:tc>
        <w:tc>
          <w:tcPr>
            <w:tcW w:w="1015" w:type="dxa"/>
            <w:hideMark/>
          </w:tcPr>
          <w:p w14:paraId="0FC02A59" w14:textId="77777777" w:rsidR="003D18A8" w:rsidRDefault="003D18A8" w:rsidP="00F72EBC">
            <w:pPr>
              <w:pStyle w:val="NormalWeb"/>
              <w:jc w:val="center"/>
            </w:pPr>
            <w:r>
              <w:t>89</w:t>
            </w:r>
          </w:p>
        </w:tc>
        <w:tc>
          <w:tcPr>
            <w:tcW w:w="1436" w:type="dxa"/>
            <w:hideMark/>
          </w:tcPr>
          <w:p w14:paraId="5A255C4A" w14:textId="77777777" w:rsidR="003D18A8" w:rsidRDefault="003D18A8" w:rsidP="00F72EBC">
            <w:pPr>
              <w:pStyle w:val="NormalWeb"/>
              <w:jc w:val="center"/>
            </w:pPr>
            <w:r>
              <w:t>-36%</w:t>
            </w:r>
          </w:p>
        </w:tc>
        <w:tc>
          <w:tcPr>
            <w:tcW w:w="1629" w:type="dxa"/>
            <w:hideMark/>
          </w:tcPr>
          <w:p w14:paraId="6652796B" w14:textId="77777777" w:rsidR="003D18A8" w:rsidRDefault="003D18A8" w:rsidP="00F72EBC">
            <w:pPr>
              <w:pStyle w:val="NormalWeb"/>
              <w:jc w:val="center"/>
            </w:pPr>
            <w:r>
              <w:t>-15%</w:t>
            </w:r>
          </w:p>
        </w:tc>
      </w:tr>
      <w:tr w:rsidR="009F2B85" w:rsidRPr="009F2B85" w14:paraId="35E090E0" w14:textId="77777777" w:rsidTr="009F2B85">
        <w:trPr>
          <w:cnfStyle w:val="000000010000" w:firstRow="0" w:lastRow="0" w:firstColumn="0" w:lastColumn="0" w:oddVBand="0" w:evenVBand="0" w:oddHBand="0" w:evenHBand="1" w:firstRowFirstColumn="0" w:firstRowLastColumn="0" w:lastRowFirstColumn="0" w:lastRowLastColumn="0"/>
        </w:trPr>
        <w:tc>
          <w:tcPr>
            <w:tcW w:w="0" w:type="auto"/>
            <w:gridSpan w:val="6"/>
            <w:shd w:val="clear" w:color="auto" w:fill="808080" w:themeFill="background1" w:themeFillShade="80"/>
            <w:hideMark/>
          </w:tcPr>
          <w:p w14:paraId="41535B41" w14:textId="77777777" w:rsidR="003D18A8" w:rsidRPr="009F2B85" w:rsidRDefault="003D18A8" w:rsidP="009D7A72">
            <w:pPr>
              <w:pStyle w:val="NormalWeb"/>
              <w:rPr>
                <w:b/>
                <w:color w:val="FFFFFF" w:themeColor="background1"/>
              </w:rPr>
            </w:pPr>
            <w:r w:rsidRPr="009F2B85">
              <w:rPr>
                <w:b/>
                <w:color w:val="FFFFFF" w:themeColor="background1"/>
              </w:rPr>
              <w:t>Listed human diseases</w:t>
            </w:r>
          </w:p>
        </w:tc>
      </w:tr>
      <w:tr w:rsidR="000162A9" w14:paraId="69A0252F" w14:textId="77777777" w:rsidTr="000F3FF2">
        <w:tc>
          <w:tcPr>
            <w:tcW w:w="4505" w:type="dxa"/>
            <w:hideMark/>
          </w:tcPr>
          <w:p w14:paraId="0322A710" w14:textId="77777777" w:rsidR="003D18A8" w:rsidRDefault="003D18A8">
            <w:pPr>
              <w:pStyle w:val="NormalWeb"/>
            </w:pPr>
            <w:r>
              <w:t>Cholera</w:t>
            </w:r>
          </w:p>
        </w:tc>
        <w:tc>
          <w:tcPr>
            <w:tcW w:w="1024" w:type="dxa"/>
            <w:hideMark/>
          </w:tcPr>
          <w:p w14:paraId="636FC170" w14:textId="77777777" w:rsidR="003D18A8" w:rsidRDefault="003D18A8" w:rsidP="00F72EBC">
            <w:pPr>
              <w:pStyle w:val="NormalWeb"/>
              <w:jc w:val="center"/>
            </w:pPr>
            <w:r>
              <w:t>2</w:t>
            </w:r>
          </w:p>
        </w:tc>
        <w:tc>
          <w:tcPr>
            <w:tcW w:w="857" w:type="dxa"/>
            <w:hideMark/>
          </w:tcPr>
          <w:p w14:paraId="515CE178" w14:textId="77777777" w:rsidR="003D18A8" w:rsidRDefault="003D18A8" w:rsidP="00F72EBC">
            <w:pPr>
              <w:pStyle w:val="NormalWeb"/>
              <w:jc w:val="center"/>
            </w:pPr>
            <w:r>
              <w:t>0</w:t>
            </w:r>
          </w:p>
        </w:tc>
        <w:tc>
          <w:tcPr>
            <w:tcW w:w="1015" w:type="dxa"/>
            <w:hideMark/>
          </w:tcPr>
          <w:p w14:paraId="7342AC21" w14:textId="77777777" w:rsidR="003D18A8" w:rsidRDefault="003D18A8" w:rsidP="00F72EBC">
            <w:pPr>
              <w:pStyle w:val="NormalWeb"/>
              <w:jc w:val="center"/>
            </w:pPr>
            <w:r>
              <w:t>1</w:t>
            </w:r>
          </w:p>
        </w:tc>
        <w:tc>
          <w:tcPr>
            <w:tcW w:w="1436" w:type="dxa"/>
            <w:hideMark/>
          </w:tcPr>
          <w:p w14:paraId="5FD271A3" w14:textId="77777777" w:rsidR="003D18A8" w:rsidRDefault="003D18A8" w:rsidP="00F72EBC">
            <w:pPr>
              <w:pStyle w:val="NormalWeb"/>
              <w:jc w:val="center"/>
            </w:pPr>
            <w:r>
              <w:t>–</w:t>
            </w:r>
          </w:p>
        </w:tc>
        <w:tc>
          <w:tcPr>
            <w:tcW w:w="1629" w:type="dxa"/>
            <w:hideMark/>
          </w:tcPr>
          <w:p w14:paraId="275E599A" w14:textId="77777777" w:rsidR="003D18A8" w:rsidRDefault="003D18A8" w:rsidP="00F72EBC">
            <w:pPr>
              <w:pStyle w:val="NormalWeb"/>
              <w:jc w:val="center"/>
            </w:pPr>
            <w:r>
              <w:t>–</w:t>
            </w:r>
          </w:p>
        </w:tc>
      </w:tr>
      <w:tr w:rsidR="009F2B85" w:rsidRPr="009F2B85" w14:paraId="3048FEE1" w14:textId="77777777" w:rsidTr="009F2B85">
        <w:trPr>
          <w:cnfStyle w:val="000000010000" w:firstRow="0" w:lastRow="0" w:firstColumn="0" w:lastColumn="0" w:oddVBand="0" w:evenVBand="0" w:oddHBand="0" w:evenHBand="1" w:firstRowFirstColumn="0" w:firstRowLastColumn="0" w:lastRowFirstColumn="0" w:lastRowLastColumn="0"/>
        </w:trPr>
        <w:tc>
          <w:tcPr>
            <w:tcW w:w="0" w:type="auto"/>
            <w:gridSpan w:val="6"/>
            <w:shd w:val="clear" w:color="auto" w:fill="808080" w:themeFill="background1" w:themeFillShade="80"/>
            <w:hideMark/>
          </w:tcPr>
          <w:p w14:paraId="3FBF7DC7" w14:textId="77777777" w:rsidR="003D18A8" w:rsidRPr="009F2B85" w:rsidRDefault="003D18A8" w:rsidP="009D7A72">
            <w:pPr>
              <w:pStyle w:val="NormalWeb"/>
              <w:rPr>
                <w:b/>
                <w:color w:val="FFFFFF" w:themeColor="background1"/>
              </w:rPr>
            </w:pPr>
            <w:r w:rsidRPr="009F2B85">
              <w:rPr>
                <w:b/>
                <w:color w:val="FFFFFF" w:themeColor="background1"/>
              </w:rPr>
              <w:t>Sexually transmissible infections</w:t>
            </w:r>
          </w:p>
        </w:tc>
      </w:tr>
      <w:tr w:rsidR="000162A9" w14:paraId="4B44C908" w14:textId="77777777" w:rsidTr="000F3FF2">
        <w:tc>
          <w:tcPr>
            <w:tcW w:w="4505" w:type="dxa"/>
            <w:hideMark/>
          </w:tcPr>
          <w:p w14:paraId="7B66D16E" w14:textId="77777777" w:rsidR="003D18A8" w:rsidRDefault="003D18A8">
            <w:pPr>
              <w:pStyle w:val="NormalWeb"/>
            </w:pPr>
            <w:r>
              <w:t>Chlamydial infection</w:t>
            </w:r>
          </w:p>
        </w:tc>
        <w:tc>
          <w:tcPr>
            <w:tcW w:w="1024" w:type="dxa"/>
            <w:hideMark/>
          </w:tcPr>
          <w:p w14:paraId="327D650B" w14:textId="77777777" w:rsidR="003D18A8" w:rsidRDefault="003D18A8" w:rsidP="00F72EBC">
            <w:pPr>
              <w:pStyle w:val="NormalWeb"/>
              <w:jc w:val="center"/>
            </w:pPr>
            <w:r>
              <w:t>54,485</w:t>
            </w:r>
          </w:p>
        </w:tc>
        <w:tc>
          <w:tcPr>
            <w:tcW w:w="857" w:type="dxa"/>
            <w:hideMark/>
          </w:tcPr>
          <w:p w14:paraId="0F9A290C" w14:textId="77777777" w:rsidR="003D18A8" w:rsidRDefault="003D18A8" w:rsidP="00F72EBC">
            <w:pPr>
              <w:pStyle w:val="NormalWeb"/>
              <w:jc w:val="center"/>
            </w:pPr>
            <w:r>
              <w:t>37,582</w:t>
            </w:r>
          </w:p>
        </w:tc>
        <w:tc>
          <w:tcPr>
            <w:tcW w:w="1015" w:type="dxa"/>
            <w:hideMark/>
          </w:tcPr>
          <w:p w14:paraId="282560DE" w14:textId="77777777" w:rsidR="003D18A8" w:rsidRDefault="003D18A8" w:rsidP="00F72EBC">
            <w:pPr>
              <w:pStyle w:val="NormalWeb"/>
              <w:jc w:val="center"/>
            </w:pPr>
            <w:r>
              <w:t>50,811</w:t>
            </w:r>
          </w:p>
        </w:tc>
        <w:tc>
          <w:tcPr>
            <w:tcW w:w="1436" w:type="dxa"/>
            <w:hideMark/>
          </w:tcPr>
          <w:p w14:paraId="3D01DE45" w14:textId="77777777" w:rsidR="003D18A8" w:rsidRDefault="003D18A8" w:rsidP="00F72EBC">
            <w:pPr>
              <w:pStyle w:val="NormalWeb"/>
              <w:jc w:val="center"/>
            </w:pPr>
            <w:r>
              <w:t>-31%</w:t>
            </w:r>
          </w:p>
        </w:tc>
        <w:tc>
          <w:tcPr>
            <w:tcW w:w="1629" w:type="dxa"/>
            <w:hideMark/>
          </w:tcPr>
          <w:p w14:paraId="0BB8CAB2" w14:textId="77777777" w:rsidR="003D18A8" w:rsidRDefault="003D18A8" w:rsidP="00F72EBC">
            <w:pPr>
              <w:pStyle w:val="NormalWeb"/>
              <w:jc w:val="center"/>
            </w:pPr>
            <w:r>
              <w:t>-26%</w:t>
            </w:r>
          </w:p>
        </w:tc>
      </w:tr>
      <w:tr w:rsidR="000F3FF2" w14:paraId="0E1F5B4A" w14:textId="77777777" w:rsidTr="000F3FF2">
        <w:trPr>
          <w:cnfStyle w:val="000000010000" w:firstRow="0" w:lastRow="0" w:firstColumn="0" w:lastColumn="0" w:oddVBand="0" w:evenVBand="0" w:oddHBand="0" w:evenHBand="1" w:firstRowFirstColumn="0" w:firstRowLastColumn="0" w:lastRowFirstColumn="0" w:lastRowLastColumn="0"/>
        </w:trPr>
        <w:tc>
          <w:tcPr>
            <w:tcW w:w="4505" w:type="dxa"/>
            <w:hideMark/>
          </w:tcPr>
          <w:p w14:paraId="28E124DB" w14:textId="77777777" w:rsidR="003D18A8" w:rsidRDefault="003D18A8">
            <w:pPr>
              <w:pStyle w:val="NormalWeb"/>
            </w:pPr>
            <w:r>
              <w:t>Gonococcal infection</w:t>
            </w:r>
          </w:p>
        </w:tc>
        <w:tc>
          <w:tcPr>
            <w:tcW w:w="1024" w:type="dxa"/>
            <w:hideMark/>
          </w:tcPr>
          <w:p w14:paraId="604F9D14" w14:textId="77777777" w:rsidR="003D18A8" w:rsidRDefault="003D18A8" w:rsidP="00F72EBC">
            <w:pPr>
              <w:pStyle w:val="NormalWeb"/>
              <w:jc w:val="center"/>
            </w:pPr>
            <w:r>
              <w:t>17,448</w:t>
            </w:r>
          </w:p>
        </w:tc>
        <w:tc>
          <w:tcPr>
            <w:tcW w:w="857" w:type="dxa"/>
            <w:hideMark/>
          </w:tcPr>
          <w:p w14:paraId="6949F8F5" w14:textId="77777777" w:rsidR="003D18A8" w:rsidRDefault="003D18A8" w:rsidP="00F72EBC">
            <w:pPr>
              <w:pStyle w:val="NormalWeb"/>
              <w:jc w:val="center"/>
            </w:pPr>
            <w:r>
              <w:t>15,970</w:t>
            </w:r>
          </w:p>
        </w:tc>
        <w:tc>
          <w:tcPr>
            <w:tcW w:w="1015" w:type="dxa"/>
            <w:hideMark/>
          </w:tcPr>
          <w:p w14:paraId="55E0B009" w14:textId="77777777" w:rsidR="003D18A8" w:rsidRDefault="003D18A8" w:rsidP="00F72EBC">
            <w:pPr>
              <w:pStyle w:val="NormalWeb"/>
              <w:jc w:val="center"/>
            </w:pPr>
            <w:r>
              <w:t>13,742</w:t>
            </w:r>
          </w:p>
        </w:tc>
        <w:tc>
          <w:tcPr>
            <w:tcW w:w="1436" w:type="dxa"/>
            <w:hideMark/>
          </w:tcPr>
          <w:p w14:paraId="27CE2BBA" w14:textId="77777777" w:rsidR="003D18A8" w:rsidRDefault="003D18A8" w:rsidP="00F72EBC">
            <w:pPr>
              <w:pStyle w:val="NormalWeb"/>
              <w:jc w:val="center"/>
            </w:pPr>
            <w:r>
              <w:t>-8%</w:t>
            </w:r>
          </w:p>
        </w:tc>
        <w:tc>
          <w:tcPr>
            <w:tcW w:w="1629" w:type="dxa"/>
            <w:hideMark/>
          </w:tcPr>
          <w:p w14:paraId="2B704BF9" w14:textId="77777777" w:rsidR="003D18A8" w:rsidRDefault="003D18A8" w:rsidP="00F72EBC">
            <w:pPr>
              <w:pStyle w:val="NormalWeb"/>
              <w:jc w:val="center"/>
            </w:pPr>
            <w:r>
              <w:t>16%</w:t>
            </w:r>
          </w:p>
        </w:tc>
      </w:tr>
      <w:tr w:rsidR="000162A9" w14:paraId="318EF42C" w14:textId="77777777" w:rsidTr="000F3FF2">
        <w:tc>
          <w:tcPr>
            <w:tcW w:w="4505" w:type="dxa"/>
            <w:hideMark/>
          </w:tcPr>
          <w:p w14:paraId="63FDD277" w14:textId="77777777" w:rsidR="003D18A8" w:rsidRDefault="003D18A8">
            <w:pPr>
              <w:pStyle w:val="NormalWeb"/>
            </w:pPr>
            <w:r>
              <w:lastRenderedPageBreak/>
              <w:t>Syphilis &lt; 2 years</w:t>
            </w:r>
          </w:p>
        </w:tc>
        <w:tc>
          <w:tcPr>
            <w:tcW w:w="1024" w:type="dxa"/>
            <w:hideMark/>
          </w:tcPr>
          <w:p w14:paraId="1B7FFBFF" w14:textId="77777777" w:rsidR="003D18A8" w:rsidRDefault="003D18A8" w:rsidP="00F72EBC">
            <w:pPr>
              <w:pStyle w:val="NormalWeb"/>
              <w:jc w:val="center"/>
            </w:pPr>
            <w:r>
              <w:t>2,900</w:t>
            </w:r>
          </w:p>
        </w:tc>
        <w:tc>
          <w:tcPr>
            <w:tcW w:w="857" w:type="dxa"/>
            <w:hideMark/>
          </w:tcPr>
          <w:p w14:paraId="17F3142C" w14:textId="77777777" w:rsidR="003D18A8" w:rsidRDefault="003D18A8" w:rsidP="00F72EBC">
            <w:pPr>
              <w:pStyle w:val="NormalWeb"/>
              <w:jc w:val="center"/>
            </w:pPr>
            <w:r>
              <w:t>2,296</w:t>
            </w:r>
          </w:p>
        </w:tc>
        <w:tc>
          <w:tcPr>
            <w:tcW w:w="1015" w:type="dxa"/>
            <w:hideMark/>
          </w:tcPr>
          <w:p w14:paraId="635987BE" w14:textId="77777777" w:rsidR="003D18A8" w:rsidRDefault="003D18A8" w:rsidP="00F72EBC">
            <w:pPr>
              <w:pStyle w:val="NormalWeb"/>
              <w:jc w:val="center"/>
            </w:pPr>
            <w:r>
              <w:t>2,079</w:t>
            </w:r>
          </w:p>
        </w:tc>
        <w:tc>
          <w:tcPr>
            <w:tcW w:w="1436" w:type="dxa"/>
            <w:hideMark/>
          </w:tcPr>
          <w:p w14:paraId="7CB960DB" w14:textId="77777777" w:rsidR="003D18A8" w:rsidRDefault="003D18A8" w:rsidP="00F72EBC">
            <w:pPr>
              <w:pStyle w:val="NormalWeb"/>
              <w:jc w:val="center"/>
            </w:pPr>
            <w:r>
              <w:t>-21%</w:t>
            </w:r>
          </w:p>
        </w:tc>
        <w:tc>
          <w:tcPr>
            <w:tcW w:w="1629" w:type="dxa"/>
            <w:hideMark/>
          </w:tcPr>
          <w:p w14:paraId="6EC5B3C8" w14:textId="77777777" w:rsidR="003D18A8" w:rsidRDefault="003D18A8" w:rsidP="00F72EBC">
            <w:pPr>
              <w:pStyle w:val="NormalWeb"/>
              <w:jc w:val="center"/>
            </w:pPr>
            <w:r>
              <w:t>10%</w:t>
            </w:r>
          </w:p>
        </w:tc>
      </w:tr>
      <w:tr w:rsidR="000F3FF2" w14:paraId="73276EC0" w14:textId="77777777" w:rsidTr="000F3FF2">
        <w:trPr>
          <w:cnfStyle w:val="000000010000" w:firstRow="0" w:lastRow="0" w:firstColumn="0" w:lastColumn="0" w:oddVBand="0" w:evenVBand="0" w:oddHBand="0" w:evenHBand="1" w:firstRowFirstColumn="0" w:firstRowLastColumn="0" w:lastRowFirstColumn="0" w:lastRowLastColumn="0"/>
        </w:trPr>
        <w:tc>
          <w:tcPr>
            <w:tcW w:w="4505" w:type="dxa"/>
            <w:hideMark/>
          </w:tcPr>
          <w:p w14:paraId="543A00D8" w14:textId="77777777" w:rsidR="003D18A8" w:rsidRDefault="003D18A8">
            <w:pPr>
              <w:pStyle w:val="NormalWeb"/>
            </w:pPr>
            <w:r>
              <w:t>Syphilis &gt; 2 years or unspecified duration</w:t>
            </w:r>
          </w:p>
        </w:tc>
        <w:tc>
          <w:tcPr>
            <w:tcW w:w="1024" w:type="dxa"/>
            <w:hideMark/>
          </w:tcPr>
          <w:p w14:paraId="503F3589" w14:textId="77777777" w:rsidR="003D18A8" w:rsidRDefault="003D18A8" w:rsidP="00F72EBC">
            <w:pPr>
              <w:pStyle w:val="NormalWeb"/>
              <w:jc w:val="center"/>
            </w:pPr>
            <w:r>
              <w:t>1,242</w:t>
            </w:r>
          </w:p>
        </w:tc>
        <w:tc>
          <w:tcPr>
            <w:tcW w:w="857" w:type="dxa"/>
            <w:hideMark/>
          </w:tcPr>
          <w:p w14:paraId="23F5A528" w14:textId="77777777" w:rsidR="003D18A8" w:rsidRDefault="003D18A8" w:rsidP="00F72EBC">
            <w:pPr>
              <w:pStyle w:val="NormalWeb"/>
              <w:jc w:val="center"/>
            </w:pPr>
            <w:r>
              <w:t>1,417</w:t>
            </w:r>
          </w:p>
        </w:tc>
        <w:tc>
          <w:tcPr>
            <w:tcW w:w="1015" w:type="dxa"/>
            <w:hideMark/>
          </w:tcPr>
          <w:p w14:paraId="21CDC7F3" w14:textId="77777777" w:rsidR="003D18A8" w:rsidRDefault="003D18A8" w:rsidP="00F72EBC">
            <w:pPr>
              <w:pStyle w:val="NormalWeb"/>
              <w:jc w:val="center"/>
            </w:pPr>
            <w:r>
              <w:t>1,088</w:t>
            </w:r>
          </w:p>
        </w:tc>
        <w:tc>
          <w:tcPr>
            <w:tcW w:w="1436" w:type="dxa"/>
            <w:hideMark/>
          </w:tcPr>
          <w:p w14:paraId="6E7C75A3" w14:textId="77777777" w:rsidR="003D18A8" w:rsidRDefault="003D18A8" w:rsidP="00F72EBC">
            <w:pPr>
              <w:pStyle w:val="NormalWeb"/>
              <w:jc w:val="center"/>
            </w:pPr>
            <w:r>
              <w:t>14%</w:t>
            </w:r>
          </w:p>
        </w:tc>
        <w:tc>
          <w:tcPr>
            <w:tcW w:w="1629" w:type="dxa"/>
            <w:hideMark/>
          </w:tcPr>
          <w:p w14:paraId="37B9EF8B" w14:textId="77777777" w:rsidR="003D18A8" w:rsidRDefault="003D18A8" w:rsidP="00F72EBC">
            <w:pPr>
              <w:pStyle w:val="NormalWeb"/>
              <w:jc w:val="center"/>
            </w:pPr>
            <w:r>
              <w:t>30%</w:t>
            </w:r>
          </w:p>
        </w:tc>
      </w:tr>
      <w:tr w:rsidR="000162A9" w14:paraId="47B45458" w14:textId="77777777" w:rsidTr="000F3FF2">
        <w:tc>
          <w:tcPr>
            <w:tcW w:w="4505" w:type="dxa"/>
            <w:hideMark/>
          </w:tcPr>
          <w:p w14:paraId="4AD0B1FD" w14:textId="77777777" w:rsidR="003D18A8" w:rsidRDefault="003D18A8">
            <w:pPr>
              <w:pStyle w:val="NormalWeb"/>
            </w:pPr>
            <w:r>
              <w:t>Syphilis congenital</w:t>
            </w:r>
          </w:p>
        </w:tc>
        <w:tc>
          <w:tcPr>
            <w:tcW w:w="1024" w:type="dxa"/>
            <w:hideMark/>
          </w:tcPr>
          <w:p w14:paraId="434902AA" w14:textId="77777777" w:rsidR="003D18A8" w:rsidRDefault="003D18A8" w:rsidP="00F72EBC">
            <w:pPr>
              <w:pStyle w:val="NormalWeb"/>
              <w:jc w:val="center"/>
            </w:pPr>
            <w:r>
              <w:t>2</w:t>
            </w:r>
          </w:p>
        </w:tc>
        <w:tc>
          <w:tcPr>
            <w:tcW w:w="857" w:type="dxa"/>
            <w:hideMark/>
          </w:tcPr>
          <w:p w14:paraId="62F7FFBC" w14:textId="77777777" w:rsidR="003D18A8" w:rsidRDefault="003D18A8" w:rsidP="00F72EBC">
            <w:pPr>
              <w:pStyle w:val="NormalWeb"/>
              <w:jc w:val="center"/>
            </w:pPr>
            <w:r>
              <w:t>9</w:t>
            </w:r>
          </w:p>
        </w:tc>
        <w:tc>
          <w:tcPr>
            <w:tcW w:w="1015" w:type="dxa"/>
            <w:hideMark/>
          </w:tcPr>
          <w:p w14:paraId="5F1AB02D" w14:textId="77777777" w:rsidR="003D18A8" w:rsidRDefault="003D18A8" w:rsidP="00F72EBC">
            <w:pPr>
              <w:pStyle w:val="NormalWeb"/>
              <w:jc w:val="center"/>
            </w:pPr>
            <w:r>
              <w:t>2</w:t>
            </w:r>
          </w:p>
        </w:tc>
        <w:tc>
          <w:tcPr>
            <w:tcW w:w="1436" w:type="dxa"/>
            <w:hideMark/>
          </w:tcPr>
          <w:p w14:paraId="1DE5A93C" w14:textId="77777777" w:rsidR="003D18A8" w:rsidRDefault="003D18A8" w:rsidP="00F72EBC">
            <w:pPr>
              <w:pStyle w:val="NormalWeb"/>
              <w:jc w:val="center"/>
            </w:pPr>
            <w:r>
              <w:t>350%</w:t>
            </w:r>
          </w:p>
        </w:tc>
        <w:tc>
          <w:tcPr>
            <w:tcW w:w="1629" w:type="dxa"/>
            <w:hideMark/>
          </w:tcPr>
          <w:p w14:paraId="0E9A1214" w14:textId="77777777" w:rsidR="003D18A8" w:rsidRDefault="003D18A8" w:rsidP="00F72EBC">
            <w:pPr>
              <w:pStyle w:val="NormalWeb"/>
              <w:jc w:val="center"/>
            </w:pPr>
            <w:r>
              <w:t>463%</w:t>
            </w:r>
          </w:p>
        </w:tc>
      </w:tr>
      <w:tr w:rsidR="009F2B85" w:rsidRPr="009F2B85" w14:paraId="6B96CF9C" w14:textId="77777777" w:rsidTr="009F2B85">
        <w:trPr>
          <w:cnfStyle w:val="000000010000" w:firstRow="0" w:lastRow="0" w:firstColumn="0" w:lastColumn="0" w:oddVBand="0" w:evenVBand="0" w:oddHBand="0" w:evenHBand="1" w:firstRowFirstColumn="0" w:firstRowLastColumn="0" w:lastRowFirstColumn="0" w:lastRowLastColumn="0"/>
        </w:trPr>
        <w:tc>
          <w:tcPr>
            <w:tcW w:w="0" w:type="auto"/>
            <w:gridSpan w:val="6"/>
            <w:shd w:val="clear" w:color="auto" w:fill="808080" w:themeFill="background1" w:themeFillShade="80"/>
            <w:hideMark/>
          </w:tcPr>
          <w:p w14:paraId="6C148DF5" w14:textId="77777777" w:rsidR="003D18A8" w:rsidRPr="009F2B85" w:rsidRDefault="003D18A8" w:rsidP="009D7A72">
            <w:pPr>
              <w:pStyle w:val="NormalWeb"/>
              <w:rPr>
                <w:b/>
                <w:color w:val="FFFFFF" w:themeColor="background1"/>
              </w:rPr>
            </w:pPr>
            <w:r w:rsidRPr="009F2B85">
              <w:rPr>
                <w:b/>
                <w:color w:val="FFFFFF" w:themeColor="background1"/>
              </w:rPr>
              <w:t>Vaccine preventable diseases</w:t>
            </w:r>
          </w:p>
        </w:tc>
      </w:tr>
      <w:tr w:rsidR="000162A9" w14:paraId="15B5AA1D" w14:textId="77777777" w:rsidTr="000F3FF2">
        <w:tc>
          <w:tcPr>
            <w:tcW w:w="4505" w:type="dxa"/>
            <w:hideMark/>
          </w:tcPr>
          <w:p w14:paraId="13A78B2F" w14:textId="77777777" w:rsidR="003D18A8" w:rsidRDefault="003D18A8">
            <w:pPr>
              <w:pStyle w:val="NormalWeb"/>
            </w:pPr>
            <w:r>
              <w:t>Diphtheria</w:t>
            </w:r>
          </w:p>
        </w:tc>
        <w:tc>
          <w:tcPr>
            <w:tcW w:w="1024" w:type="dxa"/>
            <w:hideMark/>
          </w:tcPr>
          <w:p w14:paraId="1D935920" w14:textId="77777777" w:rsidR="003D18A8" w:rsidRDefault="003D18A8" w:rsidP="00F72EBC">
            <w:pPr>
              <w:pStyle w:val="NormalWeb"/>
              <w:jc w:val="center"/>
            </w:pPr>
            <w:r>
              <w:t>3</w:t>
            </w:r>
          </w:p>
        </w:tc>
        <w:tc>
          <w:tcPr>
            <w:tcW w:w="857" w:type="dxa"/>
            <w:hideMark/>
          </w:tcPr>
          <w:p w14:paraId="38CEEC4E" w14:textId="77777777" w:rsidR="003D18A8" w:rsidRDefault="003D18A8" w:rsidP="00F72EBC">
            <w:pPr>
              <w:pStyle w:val="NormalWeb"/>
              <w:jc w:val="center"/>
            </w:pPr>
            <w:r>
              <w:t>3</w:t>
            </w:r>
          </w:p>
        </w:tc>
        <w:tc>
          <w:tcPr>
            <w:tcW w:w="1015" w:type="dxa"/>
            <w:hideMark/>
          </w:tcPr>
          <w:p w14:paraId="754C3158" w14:textId="77777777" w:rsidR="003D18A8" w:rsidRDefault="003D18A8" w:rsidP="00F72EBC">
            <w:pPr>
              <w:pStyle w:val="NormalWeb"/>
              <w:jc w:val="center"/>
            </w:pPr>
            <w:r>
              <w:t>3</w:t>
            </w:r>
          </w:p>
        </w:tc>
        <w:tc>
          <w:tcPr>
            <w:tcW w:w="1436" w:type="dxa"/>
            <w:hideMark/>
          </w:tcPr>
          <w:p w14:paraId="070DE1FA" w14:textId="77777777" w:rsidR="003D18A8" w:rsidRDefault="003D18A8" w:rsidP="00F72EBC">
            <w:pPr>
              <w:pStyle w:val="NormalWeb"/>
              <w:jc w:val="center"/>
            </w:pPr>
            <w:r>
              <w:t>0%</w:t>
            </w:r>
          </w:p>
        </w:tc>
        <w:tc>
          <w:tcPr>
            <w:tcW w:w="1629" w:type="dxa"/>
            <w:hideMark/>
          </w:tcPr>
          <w:p w14:paraId="3AA2E19A" w14:textId="77777777" w:rsidR="003D18A8" w:rsidRDefault="003D18A8" w:rsidP="00F72EBC">
            <w:pPr>
              <w:pStyle w:val="NormalWeb"/>
              <w:jc w:val="center"/>
            </w:pPr>
            <w:r>
              <w:t>-6%</w:t>
            </w:r>
          </w:p>
        </w:tc>
      </w:tr>
      <w:tr w:rsidR="000F3FF2" w14:paraId="26CA72DE" w14:textId="77777777" w:rsidTr="000F3FF2">
        <w:trPr>
          <w:cnfStyle w:val="000000010000" w:firstRow="0" w:lastRow="0" w:firstColumn="0" w:lastColumn="0" w:oddVBand="0" w:evenVBand="0" w:oddHBand="0" w:evenHBand="1" w:firstRowFirstColumn="0" w:firstRowLastColumn="0" w:lastRowFirstColumn="0" w:lastRowLastColumn="0"/>
        </w:trPr>
        <w:tc>
          <w:tcPr>
            <w:tcW w:w="4505" w:type="dxa"/>
            <w:hideMark/>
          </w:tcPr>
          <w:p w14:paraId="754BD3DA" w14:textId="77777777" w:rsidR="003D18A8" w:rsidRDefault="003D18A8">
            <w:pPr>
              <w:pStyle w:val="NormalWeb"/>
            </w:pPr>
            <w:r w:rsidRPr="004B7B04">
              <w:rPr>
                <w:i/>
              </w:rPr>
              <w:t>Haemophilus influenzae</w:t>
            </w:r>
            <w:r>
              <w:t xml:space="preserve"> type b</w:t>
            </w:r>
          </w:p>
        </w:tc>
        <w:tc>
          <w:tcPr>
            <w:tcW w:w="1024" w:type="dxa"/>
            <w:hideMark/>
          </w:tcPr>
          <w:p w14:paraId="790B50AC" w14:textId="77777777" w:rsidR="003D18A8" w:rsidRDefault="003D18A8" w:rsidP="00F72EBC">
            <w:pPr>
              <w:pStyle w:val="NormalWeb"/>
              <w:jc w:val="center"/>
            </w:pPr>
            <w:r>
              <w:t>13</w:t>
            </w:r>
          </w:p>
        </w:tc>
        <w:tc>
          <w:tcPr>
            <w:tcW w:w="857" w:type="dxa"/>
            <w:hideMark/>
          </w:tcPr>
          <w:p w14:paraId="4222C7B4" w14:textId="77777777" w:rsidR="003D18A8" w:rsidRDefault="003D18A8" w:rsidP="00F72EBC">
            <w:pPr>
              <w:pStyle w:val="NormalWeb"/>
              <w:jc w:val="center"/>
            </w:pPr>
            <w:r>
              <w:t>7</w:t>
            </w:r>
          </w:p>
        </w:tc>
        <w:tc>
          <w:tcPr>
            <w:tcW w:w="1015" w:type="dxa"/>
            <w:hideMark/>
          </w:tcPr>
          <w:p w14:paraId="4B54098D" w14:textId="77777777" w:rsidR="003D18A8" w:rsidRDefault="003D18A8" w:rsidP="00F72EBC">
            <w:pPr>
              <w:pStyle w:val="NormalWeb"/>
              <w:jc w:val="center"/>
            </w:pPr>
            <w:r>
              <w:t>8</w:t>
            </w:r>
          </w:p>
        </w:tc>
        <w:tc>
          <w:tcPr>
            <w:tcW w:w="1436" w:type="dxa"/>
            <w:hideMark/>
          </w:tcPr>
          <w:p w14:paraId="71FF32CC" w14:textId="77777777" w:rsidR="003D18A8" w:rsidRDefault="003D18A8" w:rsidP="00F72EBC">
            <w:pPr>
              <w:pStyle w:val="NormalWeb"/>
              <w:jc w:val="center"/>
            </w:pPr>
            <w:r>
              <w:t>-46%</w:t>
            </w:r>
          </w:p>
        </w:tc>
        <w:tc>
          <w:tcPr>
            <w:tcW w:w="1629" w:type="dxa"/>
            <w:hideMark/>
          </w:tcPr>
          <w:p w14:paraId="664CAE5F" w14:textId="77777777" w:rsidR="003D18A8" w:rsidRDefault="003D18A8" w:rsidP="00F72EBC">
            <w:pPr>
              <w:pStyle w:val="NormalWeb"/>
              <w:jc w:val="center"/>
            </w:pPr>
            <w:r>
              <w:t>-15%</w:t>
            </w:r>
          </w:p>
        </w:tc>
      </w:tr>
      <w:tr w:rsidR="000162A9" w14:paraId="42916957" w14:textId="77777777" w:rsidTr="000F3FF2">
        <w:tc>
          <w:tcPr>
            <w:tcW w:w="4505" w:type="dxa"/>
            <w:hideMark/>
          </w:tcPr>
          <w:p w14:paraId="3FA567E5" w14:textId="77777777" w:rsidR="003D18A8" w:rsidRDefault="003D18A8" w:rsidP="004B7B04">
            <w:pPr>
              <w:pStyle w:val="NormalWeb"/>
            </w:pPr>
            <w:r>
              <w:t>Influenza</w:t>
            </w:r>
            <w:r w:rsidR="004B7B04">
              <w:t xml:space="preserve"> </w:t>
            </w:r>
            <w:r>
              <w:t>(laboratory confirmed)</w:t>
            </w:r>
          </w:p>
        </w:tc>
        <w:tc>
          <w:tcPr>
            <w:tcW w:w="1024" w:type="dxa"/>
            <w:hideMark/>
          </w:tcPr>
          <w:p w14:paraId="478F8D57" w14:textId="77777777" w:rsidR="003D18A8" w:rsidRDefault="003D18A8" w:rsidP="00F72EBC">
            <w:pPr>
              <w:pStyle w:val="NormalWeb"/>
              <w:jc w:val="center"/>
            </w:pPr>
            <w:r>
              <w:t>132,424</w:t>
            </w:r>
          </w:p>
        </w:tc>
        <w:tc>
          <w:tcPr>
            <w:tcW w:w="857" w:type="dxa"/>
            <w:hideMark/>
          </w:tcPr>
          <w:p w14:paraId="692E1194" w14:textId="77777777" w:rsidR="003D18A8" w:rsidRDefault="003D18A8" w:rsidP="00F72EBC">
            <w:pPr>
              <w:pStyle w:val="NormalWeb"/>
              <w:jc w:val="center"/>
            </w:pPr>
            <w:r>
              <w:t>20,794</w:t>
            </w:r>
          </w:p>
        </w:tc>
        <w:tc>
          <w:tcPr>
            <w:tcW w:w="1015" w:type="dxa"/>
            <w:hideMark/>
          </w:tcPr>
          <w:p w14:paraId="276545D7" w14:textId="77777777" w:rsidR="003D18A8" w:rsidRDefault="003D18A8" w:rsidP="00F72EBC">
            <w:pPr>
              <w:pStyle w:val="NormalWeb"/>
              <w:jc w:val="center"/>
            </w:pPr>
            <w:r>
              <w:t>39,467</w:t>
            </w:r>
          </w:p>
        </w:tc>
        <w:tc>
          <w:tcPr>
            <w:tcW w:w="1436" w:type="dxa"/>
            <w:hideMark/>
          </w:tcPr>
          <w:p w14:paraId="7335123C" w14:textId="77777777" w:rsidR="003D18A8" w:rsidRDefault="003D18A8" w:rsidP="00F72EBC">
            <w:pPr>
              <w:pStyle w:val="NormalWeb"/>
              <w:jc w:val="center"/>
            </w:pPr>
            <w:r>
              <w:t>-84%</w:t>
            </w:r>
          </w:p>
        </w:tc>
        <w:tc>
          <w:tcPr>
            <w:tcW w:w="1629" w:type="dxa"/>
            <w:hideMark/>
          </w:tcPr>
          <w:p w14:paraId="56096C6D" w14:textId="77777777" w:rsidR="003D18A8" w:rsidRDefault="003D18A8" w:rsidP="00F72EBC">
            <w:pPr>
              <w:pStyle w:val="NormalWeb"/>
              <w:jc w:val="center"/>
            </w:pPr>
            <w:r>
              <w:t>-47%</w:t>
            </w:r>
          </w:p>
        </w:tc>
      </w:tr>
      <w:tr w:rsidR="000F3FF2" w14:paraId="224EA3C0" w14:textId="77777777" w:rsidTr="000F3FF2">
        <w:trPr>
          <w:cnfStyle w:val="000000010000" w:firstRow="0" w:lastRow="0" w:firstColumn="0" w:lastColumn="0" w:oddVBand="0" w:evenVBand="0" w:oddHBand="0" w:evenHBand="1" w:firstRowFirstColumn="0" w:firstRowLastColumn="0" w:lastRowFirstColumn="0" w:lastRowLastColumn="0"/>
        </w:trPr>
        <w:tc>
          <w:tcPr>
            <w:tcW w:w="4505" w:type="dxa"/>
            <w:hideMark/>
          </w:tcPr>
          <w:p w14:paraId="5F82FCFB" w14:textId="77777777" w:rsidR="003D18A8" w:rsidRDefault="003D18A8">
            <w:pPr>
              <w:pStyle w:val="NormalWeb"/>
            </w:pPr>
            <w:r>
              <w:t>Measles</w:t>
            </w:r>
          </w:p>
        </w:tc>
        <w:tc>
          <w:tcPr>
            <w:tcW w:w="1024" w:type="dxa"/>
            <w:hideMark/>
          </w:tcPr>
          <w:p w14:paraId="3F3002E0" w14:textId="77777777" w:rsidR="003D18A8" w:rsidRDefault="003D18A8" w:rsidP="00F72EBC">
            <w:pPr>
              <w:pStyle w:val="NormalWeb"/>
              <w:jc w:val="center"/>
            </w:pPr>
            <w:r>
              <w:t>130</w:t>
            </w:r>
          </w:p>
        </w:tc>
        <w:tc>
          <w:tcPr>
            <w:tcW w:w="857" w:type="dxa"/>
            <w:hideMark/>
          </w:tcPr>
          <w:p w14:paraId="2FEB0F1D" w14:textId="77777777" w:rsidR="003D18A8" w:rsidRDefault="003D18A8" w:rsidP="00F72EBC">
            <w:pPr>
              <w:pStyle w:val="NormalWeb"/>
              <w:jc w:val="center"/>
            </w:pPr>
            <w:r>
              <w:t>25</w:t>
            </w:r>
          </w:p>
        </w:tc>
        <w:tc>
          <w:tcPr>
            <w:tcW w:w="1015" w:type="dxa"/>
            <w:hideMark/>
          </w:tcPr>
          <w:p w14:paraId="67AF86CD" w14:textId="77777777" w:rsidR="003D18A8" w:rsidRDefault="003D18A8" w:rsidP="00F72EBC">
            <w:pPr>
              <w:pStyle w:val="NormalWeb"/>
              <w:jc w:val="center"/>
            </w:pPr>
            <w:r>
              <w:t>67</w:t>
            </w:r>
          </w:p>
        </w:tc>
        <w:tc>
          <w:tcPr>
            <w:tcW w:w="1436" w:type="dxa"/>
            <w:hideMark/>
          </w:tcPr>
          <w:p w14:paraId="53D35A50" w14:textId="77777777" w:rsidR="003D18A8" w:rsidRDefault="003D18A8" w:rsidP="00F72EBC">
            <w:pPr>
              <w:pStyle w:val="NormalWeb"/>
              <w:jc w:val="center"/>
            </w:pPr>
            <w:r>
              <w:t>-81%</w:t>
            </w:r>
          </w:p>
        </w:tc>
        <w:tc>
          <w:tcPr>
            <w:tcW w:w="1629" w:type="dxa"/>
            <w:hideMark/>
          </w:tcPr>
          <w:p w14:paraId="6E3C81DB" w14:textId="77777777" w:rsidR="003D18A8" w:rsidRDefault="003D18A8" w:rsidP="00F72EBC">
            <w:pPr>
              <w:pStyle w:val="NormalWeb"/>
              <w:jc w:val="center"/>
            </w:pPr>
            <w:r>
              <w:t>-63%</w:t>
            </w:r>
          </w:p>
        </w:tc>
      </w:tr>
      <w:tr w:rsidR="000162A9" w14:paraId="74D54493" w14:textId="77777777" w:rsidTr="000F3FF2">
        <w:tc>
          <w:tcPr>
            <w:tcW w:w="4505" w:type="dxa"/>
            <w:hideMark/>
          </w:tcPr>
          <w:p w14:paraId="3DECB386" w14:textId="77777777" w:rsidR="003D18A8" w:rsidRDefault="003D18A8">
            <w:pPr>
              <w:pStyle w:val="NormalWeb"/>
            </w:pPr>
            <w:r>
              <w:t>Mumps</w:t>
            </w:r>
          </w:p>
        </w:tc>
        <w:tc>
          <w:tcPr>
            <w:tcW w:w="1024" w:type="dxa"/>
            <w:hideMark/>
          </w:tcPr>
          <w:p w14:paraId="3CAFED0D" w14:textId="77777777" w:rsidR="003D18A8" w:rsidRDefault="003D18A8" w:rsidP="00F72EBC">
            <w:pPr>
              <w:pStyle w:val="NormalWeb"/>
              <w:jc w:val="center"/>
            </w:pPr>
            <w:r>
              <w:t>86</w:t>
            </w:r>
          </w:p>
        </w:tc>
        <w:tc>
          <w:tcPr>
            <w:tcW w:w="857" w:type="dxa"/>
            <w:hideMark/>
          </w:tcPr>
          <w:p w14:paraId="4425EF9A" w14:textId="77777777" w:rsidR="003D18A8" w:rsidRDefault="003D18A8" w:rsidP="00F72EBC">
            <w:pPr>
              <w:pStyle w:val="NormalWeb"/>
              <w:jc w:val="center"/>
            </w:pPr>
            <w:r>
              <w:t>109</w:t>
            </w:r>
          </w:p>
        </w:tc>
        <w:tc>
          <w:tcPr>
            <w:tcW w:w="1015" w:type="dxa"/>
            <w:hideMark/>
          </w:tcPr>
          <w:p w14:paraId="7E65C5A7" w14:textId="77777777" w:rsidR="003D18A8" w:rsidRDefault="003D18A8" w:rsidP="00F72EBC">
            <w:pPr>
              <w:pStyle w:val="NormalWeb"/>
              <w:jc w:val="center"/>
            </w:pPr>
            <w:r>
              <w:t>320</w:t>
            </w:r>
          </w:p>
        </w:tc>
        <w:tc>
          <w:tcPr>
            <w:tcW w:w="1436" w:type="dxa"/>
            <w:hideMark/>
          </w:tcPr>
          <w:p w14:paraId="215C884A" w14:textId="77777777" w:rsidR="003D18A8" w:rsidRDefault="003D18A8" w:rsidP="00F72EBC">
            <w:pPr>
              <w:pStyle w:val="NormalWeb"/>
              <w:jc w:val="center"/>
            </w:pPr>
            <w:r>
              <w:t>27%</w:t>
            </w:r>
          </w:p>
        </w:tc>
        <w:tc>
          <w:tcPr>
            <w:tcW w:w="1629" w:type="dxa"/>
            <w:hideMark/>
          </w:tcPr>
          <w:p w14:paraId="75E532A8" w14:textId="77777777" w:rsidR="003D18A8" w:rsidRDefault="003D18A8" w:rsidP="00F72EBC">
            <w:pPr>
              <w:pStyle w:val="NormalWeb"/>
              <w:jc w:val="center"/>
            </w:pPr>
            <w:r>
              <w:t>-66%</w:t>
            </w:r>
          </w:p>
        </w:tc>
      </w:tr>
      <w:tr w:rsidR="000F3FF2" w14:paraId="3BAC7628" w14:textId="77777777" w:rsidTr="000F3FF2">
        <w:trPr>
          <w:cnfStyle w:val="000000010000" w:firstRow="0" w:lastRow="0" w:firstColumn="0" w:lastColumn="0" w:oddVBand="0" w:evenVBand="0" w:oddHBand="0" w:evenHBand="1" w:firstRowFirstColumn="0" w:firstRowLastColumn="0" w:lastRowFirstColumn="0" w:lastRowLastColumn="0"/>
        </w:trPr>
        <w:tc>
          <w:tcPr>
            <w:tcW w:w="4505" w:type="dxa"/>
            <w:hideMark/>
          </w:tcPr>
          <w:p w14:paraId="34B4AAD2" w14:textId="77777777" w:rsidR="003D18A8" w:rsidRDefault="003D18A8">
            <w:pPr>
              <w:pStyle w:val="NormalWeb"/>
            </w:pPr>
            <w:r>
              <w:t>Pertussis</w:t>
            </w:r>
          </w:p>
        </w:tc>
        <w:tc>
          <w:tcPr>
            <w:tcW w:w="1024" w:type="dxa"/>
            <w:hideMark/>
          </w:tcPr>
          <w:p w14:paraId="120A1807" w14:textId="77777777" w:rsidR="003D18A8" w:rsidRDefault="003D18A8" w:rsidP="00F72EBC">
            <w:pPr>
              <w:pStyle w:val="NormalWeb"/>
              <w:jc w:val="center"/>
            </w:pPr>
            <w:r>
              <w:t>5,711</w:t>
            </w:r>
          </w:p>
        </w:tc>
        <w:tc>
          <w:tcPr>
            <w:tcW w:w="857" w:type="dxa"/>
            <w:hideMark/>
          </w:tcPr>
          <w:p w14:paraId="284880F0" w14:textId="77777777" w:rsidR="003D18A8" w:rsidRDefault="003D18A8" w:rsidP="00F72EBC">
            <w:pPr>
              <w:pStyle w:val="NormalWeb"/>
              <w:jc w:val="center"/>
            </w:pPr>
            <w:r>
              <w:t>3,084</w:t>
            </w:r>
          </w:p>
        </w:tc>
        <w:tc>
          <w:tcPr>
            <w:tcW w:w="1015" w:type="dxa"/>
            <w:hideMark/>
          </w:tcPr>
          <w:p w14:paraId="00873A1A" w14:textId="77777777" w:rsidR="003D18A8" w:rsidRDefault="003D18A8" w:rsidP="00F72EBC">
            <w:pPr>
              <w:pStyle w:val="NormalWeb"/>
              <w:jc w:val="center"/>
            </w:pPr>
            <w:r>
              <w:t>6,941</w:t>
            </w:r>
          </w:p>
        </w:tc>
        <w:tc>
          <w:tcPr>
            <w:tcW w:w="1436" w:type="dxa"/>
            <w:hideMark/>
          </w:tcPr>
          <w:p w14:paraId="5ECCB2C9" w14:textId="77777777" w:rsidR="003D18A8" w:rsidRDefault="003D18A8" w:rsidP="00F72EBC">
            <w:pPr>
              <w:pStyle w:val="NormalWeb"/>
              <w:jc w:val="center"/>
            </w:pPr>
            <w:r>
              <w:t>-46%</w:t>
            </w:r>
          </w:p>
        </w:tc>
        <w:tc>
          <w:tcPr>
            <w:tcW w:w="1629" w:type="dxa"/>
            <w:hideMark/>
          </w:tcPr>
          <w:p w14:paraId="6DF3C3D3" w14:textId="77777777" w:rsidR="003D18A8" w:rsidRDefault="003D18A8" w:rsidP="00F72EBC">
            <w:pPr>
              <w:pStyle w:val="NormalWeb"/>
              <w:jc w:val="center"/>
            </w:pPr>
            <w:r>
              <w:t>-56%</w:t>
            </w:r>
          </w:p>
        </w:tc>
      </w:tr>
      <w:tr w:rsidR="000162A9" w14:paraId="2294316C" w14:textId="77777777" w:rsidTr="000F3FF2">
        <w:tc>
          <w:tcPr>
            <w:tcW w:w="4505" w:type="dxa"/>
            <w:hideMark/>
          </w:tcPr>
          <w:p w14:paraId="623DA3C9" w14:textId="77777777" w:rsidR="003D18A8" w:rsidRDefault="003D18A8">
            <w:pPr>
              <w:pStyle w:val="NormalWeb"/>
            </w:pPr>
            <w:r>
              <w:t>Pneumococcal disease (invasive)</w:t>
            </w:r>
          </w:p>
        </w:tc>
        <w:tc>
          <w:tcPr>
            <w:tcW w:w="1024" w:type="dxa"/>
            <w:hideMark/>
          </w:tcPr>
          <w:p w14:paraId="71C14C41" w14:textId="77777777" w:rsidR="003D18A8" w:rsidRDefault="003D18A8" w:rsidP="00F72EBC">
            <w:pPr>
              <w:pStyle w:val="NormalWeb"/>
              <w:jc w:val="center"/>
            </w:pPr>
            <w:r>
              <w:t>866</w:t>
            </w:r>
          </w:p>
        </w:tc>
        <w:tc>
          <w:tcPr>
            <w:tcW w:w="857" w:type="dxa"/>
            <w:hideMark/>
          </w:tcPr>
          <w:p w14:paraId="1F974B95" w14:textId="77777777" w:rsidR="003D18A8" w:rsidRDefault="003D18A8" w:rsidP="00F72EBC">
            <w:pPr>
              <w:pStyle w:val="NormalWeb"/>
              <w:jc w:val="center"/>
            </w:pPr>
            <w:r>
              <w:t>492</w:t>
            </w:r>
          </w:p>
        </w:tc>
        <w:tc>
          <w:tcPr>
            <w:tcW w:w="1015" w:type="dxa"/>
            <w:hideMark/>
          </w:tcPr>
          <w:p w14:paraId="0A3B5140" w14:textId="77777777" w:rsidR="003D18A8" w:rsidRDefault="003D18A8" w:rsidP="00F72EBC">
            <w:pPr>
              <w:pStyle w:val="NormalWeb"/>
              <w:jc w:val="center"/>
            </w:pPr>
            <w:r>
              <w:t>720</w:t>
            </w:r>
          </w:p>
        </w:tc>
        <w:tc>
          <w:tcPr>
            <w:tcW w:w="1436" w:type="dxa"/>
            <w:hideMark/>
          </w:tcPr>
          <w:p w14:paraId="20A8A79E" w14:textId="77777777" w:rsidR="003D18A8" w:rsidRDefault="003D18A8" w:rsidP="00F72EBC">
            <w:pPr>
              <w:pStyle w:val="NormalWeb"/>
              <w:jc w:val="center"/>
            </w:pPr>
            <w:r>
              <w:t>-43%</w:t>
            </w:r>
          </w:p>
        </w:tc>
        <w:tc>
          <w:tcPr>
            <w:tcW w:w="1629" w:type="dxa"/>
            <w:hideMark/>
          </w:tcPr>
          <w:p w14:paraId="0133280D" w14:textId="77777777" w:rsidR="003D18A8" w:rsidRDefault="003D18A8" w:rsidP="00F72EBC">
            <w:pPr>
              <w:pStyle w:val="NormalWeb"/>
              <w:jc w:val="center"/>
            </w:pPr>
            <w:r>
              <w:t>-32%</w:t>
            </w:r>
          </w:p>
        </w:tc>
      </w:tr>
      <w:tr w:rsidR="000F3FF2" w14:paraId="757306AB" w14:textId="77777777" w:rsidTr="000F3FF2">
        <w:trPr>
          <w:cnfStyle w:val="000000010000" w:firstRow="0" w:lastRow="0" w:firstColumn="0" w:lastColumn="0" w:oddVBand="0" w:evenVBand="0" w:oddHBand="0" w:evenHBand="1" w:firstRowFirstColumn="0" w:firstRowLastColumn="0" w:lastRowFirstColumn="0" w:lastRowLastColumn="0"/>
        </w:trPr>
        <w:tc>
          <w:tcPr>
            <w:tcW w:w="4505" w:type="dxa"/>
            <w:hideMark/>
          </w:tcPr>
          <w:p w14:paraId="2A38C6A4" w14:textId="77777777" w:rsidR="003D18A8" w:rsidRDefault="003D18A8">
            <w:pPr>
              <w:pStyle w:val="NormalWeb"/>
            </w:pPr>
            <w:r>
              <w:t>Rotavirus</w:t>
            </w:r>
          </w:p>
        </w:tc>
        <w:tc>
          <w:tcPr>
            <w:tcW w:w="1024" w:type="dxa"/>
            <w:hideMark/>
          </w:tcPr>
          <w:p w14:paraId="5F294EB7" w14:textId="77777777" w:rsidR="003D18A8" w:rsidRDefault="003D18A8" w:rsidP="00F72EBC">
            <w:pPr>
              <w:pStyle w:val="NormalWeb"/>
              <w:jc w:val="center"/>
            </w:pPr>
            <w:r>
              <w:t>1,347</w:t>
            </w:r>
          </w:p>
        </w:tc>
        <w:tc>
          <w:tcPr>
            <w:tcW w:w="857" w:type="dxa"/>
            <w:hideMark/>
          </w:tcPr>
          <w:p w14:paraId="4EBDAF77" w14:textId="77777777" w:rsidR="003D18A8" w:rsidRDefault="003D18A8" w:rsidP="00F72EBC">
            <w:pPr>
              <w:pStyle w:val="NormalWeb"/>
              <w:jc w:val="center"/>
            </w:pPr>
            <w:r>
              <w:t>1,101</w:t>
            </w:r>
          </w:p>
        </w:tc>
        <w:tc>
          <w:tcPr>
            <w:tcW w:w="1015" w:type="dxa"/>
            <w:hideMark/>
          </w:tcPr>
          <w:p w14:paraId="5E013674" w14:textId="77777777" w:rsidR="003D18A8" w:rsidRDefault="003D18A8" w:rsidP="00F72EBC">
            <w:pPr>
              <w:pStyle w:val="NormalWeb"/>
              <w:jc w:val="center"/>
            </w:pPr>
            <w:r>
              <w:t>1,508</w:t>
            </w:r>
          </w:p>
        </w:tc>
        <w:tc>
          <w:tcPr>
            <w:tcW w:w="1436" w:type="dxa"/>
            <w:hideMark/>
          </w:tcPr>
          <w:p w14:paraId="6F92F241" w14:textId="77777777" w:rsidR="003D18A8" w:rsidRDefault="003D18A8" w:rsidP="00F72EBC">
            <w:pPr>
              <w:pStyle w:val="NormalWeb"/>
              <w:jc w:val="center"/>
            </w:pPr>
            <w:r>
              <w:t>-18%</w:t>
            </w:r>
          </w:p>
        </w:tc>
        <w:tc>
          <w:tcPr>
            <w:tcW w:w="1629" w:type="dxa"/>
            <w:hideMark/>
          </w:tcPr>
          <w:p w14:paraId="736499F3" w14:textId="77777777" w:rsidR="003D18A8" w:rsidRDefault="003D18A8" w:rsidP="00F72EBC">
            <w:pPr>
              <w:pStyle w:val="NormalWeb"/>
              <w:jc w:val="center"/>
            </w:pPr>
            <w:r>
              <w:t>-27%</w:t>
            </w:r>
          </w:p>
        </w:tc>
      </w:tr>
      <w:tr w:rsidR="000162A9" w14:paraId="415B3CF0" w14:textId="77777777" w:rsidTr="000F3FF2">
        <w:tc>
          <w:tcPr>
            <w:tcW w:w="4505" w:type="dxa"/>
            <w:hideMark/>
          </w:tcPr>
          <w:p w14:paraId="58D3D704" w14:textId="77777777" w:rsidR="003D18A8" w:rsidRDefault="003D18A8">
            <w:pPr>
              <w:pStyle w:val="NormalWeb"/>
            </w:pPr>
            <w:r>
              <w:t>Rubella</w:t>
            </w:r>
          </w:p>
        </w:tc>
        <w:tc>
          <w:tcPr>
            <w:tcW w:w="1024" w:type="dxa"/>
            <w:hideMark/>
          </w:tcPr>
          <w:p w14:paraId="51EC88E6" w14:textId="77777777" w:rsidR="003D18A8" w:rsidRDefault="003D18A8" w:rsidP="00F72EBC">
            <w:pPr>
              <w:pStyle w:val="NormalWeb"/>
              <w:jc w:val="center"/>
            </w:pPr>
            <w:r>
              <w:t>21</w:t>
            </w:r>
          </w:p>
        </w:tc>
        <w:tc>
          <w:tcPr>
            <w:tcW w:w="857" w:type="dxa"/>
            <w:hideMark/>
          </w:tcPr>
          <w:p w14:paraId="7A4CAE3A" w14:textId="77777777" w:rsidR="003D18A8" w:rsidRDefault="003D18A8" w:rsidP="00F72EBC">
            <w:pPr>
              <w:pStyle w:val="NormalWeb"/>
              <w:jc w:val="center"/>
            </w:pPr>
            <w:r>
              <w:t>2</w:t>
            </w:r>
          </w:p>
        </w:tc>
        <w:tc>
          <w:tcPr>
            <w:tcW w:w="1015" w:type="dxa"/>
            <w:hideMark/>
          </w:tcPr>
          <w:p w14:paraId="6AC4DCA1" w14:textId="77777777" w:rsidR="003D18A8" w:rsidRDefault="003D18A8" w:rsidP="00F72EBC">
            <w:pPr>
              <w:pStyle w:val="NormalWeb"/>
              <w:jc w:val="center"/>
            </w:pPr>
            <w:r>
              <w:t>11</w:t>
            </w:r>
          </w:p>
        </w:tc>
        <w:tc>
          <w:tcPr>
            <w:tcW w:w="1436" w:type="dxa"/>
            <w:hideMark/>
          </w:tcPr>
          <w:p w14:paraId="1D510C8B" w14:textId="77777777" w:rsidR="003D18A8" w:rsidRDefault="003D18A8" w:rsidP="00F72EBC">
            <w:pPr>
              <w:pStyle w:val="NormalWeb"/>
              <w:jc w:val="center"/>
            </w:pPr>
            <w:r>
              <w:t>-90%</w:t>
            </w:r>
          </w:p>
        </w:tc>
        <w:tc>
          <w:tcPr>
            <w:tcW w:w="1629" w:type="dxa"/>
            <w:hideMark/>
          </w:tcPr>
          <w:p w14:paraId="495AF44E" w14:textId="77777777" w:rsidR="003D18A8" w:rsidRDefault="003D18A8" w:rsidP="00F72EBC">
            <w:pPr>
              <w:pStyle w:val="NormalWeb"/>
              <w:jc w:val="center"/>
            </w:pPr>
            <w:r>
              <w:t>-81%</w:t>
            </w:r>
          </w:p>
        </w:tc>
      </w:tr>
      <w:tr w:rsidR="000F3FF2" w14:paraId="683AEBF2" w14:textId="77777777" w:rsidTr="000F3FF2">
        <w:trPr>
          <w:cnfStyle w:val="000000010000" w:firstRow="0" w:lastRow="0" w:firstColumn="0" w:lastColumn="0" w:oddVBand="0" w:evenVBand="0" w:oddHBand="0" w:evenHBand="1" w:firstRowFirstColumn="0" w:firstRowLastColumn="0" w:lastRowFirstColumn="0" w:lastRowLastColumn="0"/>
        </w:trPr>
        <w:tc>
          <w:tcPr>
            <w:tcW w:w="4505" w:type="dxa"/>
            <w:hideMark/>
          </w:tcPr>
          <w:p w14:paraId="643D8C8A" w14:textId="77777777" w:rsidR="003D18A8" w:rsidRDefault="003D18A8">
            <w:pPr>
              <w:pStyle w:val="NormalWeb"/>
            </w:pPr>
            <w:r>
              <w:t>Tetanus</w:t>
            </w:r>
          </w:p>
        </w:tc>
        <w:tc>
          <w:tcPr>
            <w:tcW w:w="1024" w:type="dxa"/>
            <w:hideMark/>
          </w:tcPr>
          <w:p w14:paraId="284583AB" w14:textId="77777777" w:rsidR="003D18A8" w:rsidRDefault="003D18A8" w:rsidP="00F72EBC">
            <w:pPr>
              <w:pStyle w:val="NormalWeb"/>
              <w:jc w:val="center"/>
            </w:pPr>
            <w:r>
              <w:t>1</w:t>
            </w:r>
          </w:p>
        </w:tc>
        <w:tc>
          <w:tcPr>
            <w:tcW w:w="857" w:type="dxa"/>
            <w:hideMark/>
          </w:tcPr>
          <w:p w14:paraId="0DD9026D" w14:textId="77777777" w:rsidR="003D18A8" w:rsidRDefault="003D18A8" w:rsidP="00F72EBC">
            <w:pPr>
              <w:pStyle w:val="NormalWeb"/>
              <w:jc w:val="center"/>
            </w:pPr>
            <w:r>
              <w:t>2</w:t>
            </w:r>
          </w:p>
        </w:tc>
        <w:tc>
          <w:tcPr>
            <w:tcW w:w="1015" w:type="dxa"/>
            <w:hideMark/>
          </w:tcPr>
          <w:p w14:paraId="593ED821" w14:textId="77777777" w:rsidR="003D18A8" w:rsidRDefault="003D18A8" w:rsidP="00F72EBC">
            <w:pPr>
              <w:pStyle w:val="NormalWeb"/>
              <w:jc w:val="center"/>
            </w:pPr>
            <w:r>
              <w:t>2</w:t>
            </w:r>
          </w:p>
        </w:tc>
        <w:tc>
          <w:tcPr>
            <w:tcW w:w="1436" w:type="dxa"/>
            <w:hideMark/>
          </w:tcPr>
          <w:p w14:paraId="5AF63D3B" w14:textId="77777777" w:rsidR="003D18A8" w:rsidRDefault="003D18A8" w:rsidP="00F72EBC">
            <w:pPr>
              <w:pStyle w:val="NormalWeb"/>
              <w:jc w:val="center"/>
            </w:pPr>
            <w:r>
              <w:t>–</w:t>
            </w:r>
          </w:p>
        </w:tc>
        <w:tc>
          <w:tcPr>
            <w:tcW w:w="1629" w:type="dxa"/>
            <w:hideMark/>
          </w:tcPr>
          <w:p w14:paraId="3397F912" w14:textId="77777777" w:rsidR="003D18A8" w:rsidRDefault="003D18A8" w:rsidP="00F72EBC">
            <w:pPr>
              <w:pStyle w:val="NormalWeb"/>
              <w:jc w:val="center"/>
            </w:pPr>
            <w:r>
              <w:t>0%</w:t>
            </w:r>
          </w:p>
        </w:tc>
      </w:tr>
      <w:tr w:rsidR="000162A9" w14:paraId="6F102AA7" w14:textId="77777777" w:rsidTr="000F3FF2">
        <w:tc>
          <w:tcPr>
            <w:tcW w:w="4505" w:type="dxa"/>
            <w:hideMark/>
          </w:tcPr>
          <w:p w14:paraId="377A9CE6" w14:textId="77777777" w:rsidR="003D18A8" w:rsidRDefault="003D18A8">
            <w:pPr>
              <w:pStyle w:val="NormalWeb"/>
            </w:pPr>
            <w:r>
              <w:t>Varicella zoster (chickenpox)</w:t>
            </w:r>
          </w:p>
        </w:tc>
        <w:tc>
          <w:tcPr>
            <w:tcW w:w="1024" w:type="dxa"/>
            <w:hideMark/>
          </w:tcPr>
          <w:p w14:paraId="75E1F24D" w14:textId="77777777" w:rsidR="003D18A8" w:rsidRDefault="003D18A8" w:rsidP="00F72EBC">
            <w:pPr>
              <w:pStyle w:val="NormalWeb"/>
              <w:jc w:val="center"/>
            </w:pPr>
            <w:r>
              <w:t>1,801</w:t>
            </w:r>
          </w:p>
        </w:tc>
        <w:tc>
          <w:tcPr>
            <w:tcW w:w="857" w:type="dxa"/>
            <w:hideMark/>
          </w:tcPr>
          <w:p w14:paraId="78197080" w14:textId="77777777" w:rsidR="003D18A8" w:rsidRDefault="003D18A8" w:rsidP="00F72EBC">
            <w:pPr>
              <w:pStyle w:val="NormalWeb"/>
              <w:jc w:val="center"/>
            </w:pPr>
            <w:r>
              <w:t>1,203</w:t>
            </w:r>
          </w:p>
        </w:tc>
        <w:tc>
          <w:tcPr>
            <w:tcW w:w="1015" w:type="dxa"/>
            <w:hideMark/>
          </w:tcPr>
          <w:p w14:paraId="02FDDA83" w14:textId="77777777" w:rsidR="003D18A8" w:rsidRDefault="003D18A8" w:rsidP="00F72EBC">
            <w:pPr>
              <w:pStyle w:val="NormalWeb"/>
              <w:jc w:val="center"/>
            </w:pPr>
            <w:r>
              <w:t>1,437</w:t>
            </w:r>
          </w:p>
        </w:tc>
        <w:tc>
          <w:tcPr>
            <w:tcW w:w="1436" w:type="dxa"/>
            <w:hideMark/>
          </w:tcPr>
          <w:p w14:paraId="5FB47861" w14:textId="77777777" w:rsidR="003D18A8" w:rsidRDefault="003D18A8" w:rsidP="00F72EBC">
            <w:pPr>
              <w:pStyle w:val="NormalWeb"/>
              <w:jc w:val="center"/>
            </w:pPr>
            <w:r>
              <w:t>-33%</w:t>
            </w:r>
          </w:p>
        </w:tc>
        <w:tc>
          <w:tcPr>
            <w:tcW w:w="1629" w:type="dxa"/>
            <w:hideMark/>
          </w:tcPr>
          <w:p w14:paraId="297B0233" w14:textId="77777777" w:rsidR="003D18A8" w:rsidRDefault="003D18A8" w:rsidP="00F72EBC">
            <w:pPr>
              <w:pStyle w:val="NormalWeb"/>
              <w:jc w:val="center"/>
            </w:pPr>
            <w:r>
              <w:t>-16%</w:t>
            </w:r>
          </w:p>
        </w:tc>
      </w:tr>
      <w:tr w:rsidR="000F3FF2" w14:paraId="54DB7518" w14:textId="77777777" w:rsidTr="000F3FF2">
        <w:trPr>
          <w:cnfStyle w:val="000000010000" w:firstRow="0" w:lastRow="0" w:firstColumn="0" w:lastColumn="0" w:oddVBand="0" w:evenVBand="0" w:oddHBand="0" w:evenHBand="1" w:firstRowFirstColumn="0" w:firstRowLastColumn="0" w:lastRowFirstColumn="0" w:lastRowLastColumn="0"/>
        </w:trPr>
        <w:tc>
          <w:tcPr>
            <w:tcW w:w="4505" w:type="dxa"/>
            <w:hideMark/>
          </w:tcPr>
          <w:p w14:paraId="5A41377C" w14:textId="77777777" w:rsidR="003D18A8" w:rsidRDefault="003D18A8">
            <w:pPr>
              <w:pStyle w:val="NormalWeb"/>
            </w:pPr>
            <w:r>
              <w:t>Varicella zoster (shingles)</w:t>
            </w:r>
          </w:p>
        </w:tc>
        <w:tc>
          <w:tcPr>
            <w:tcW w:w="1024" w:type="dxa"/>
            <w:hideMark/>
          </w:tcPr>
          <w:p w14:paraId="12FA82C4" w14:textId="77777777" w:rsidR="003D18A8" w:rsidRDefault="003D18A8" w:rsidP="00F72EBC">
            <w:pPr>
              <w:pStyle w:val="NormalWeb"/>
              <w:jc w:val="center"/>
            </w:pPr>
            <w:r>
              <w:t>6,606</w:t>
            </w:r>
          </w:p>
        </w:tc>
        <w:tc>
          <w:tcPr>
            <w:tcW w:w="857" w:type="dxa"/>
            <w:hideMark/>
          </w:tcPr>
          <w:p w14:paraId="2F775034" w14:textId="77777777" w:rsidR="003D18A8" w:rsidRDefault="003D18A8" w:rsidP="00F72EBC">
            <w:pPr>
              <w:pStyle w:val="NormalWeb"/>
              <w:jc w:val="center"/>
            </w:pPr>
            <w:r>
              <w:t>7,138</w:t>
            </w:r>
          </w:p>
        </w:tc>
        <w:tc>
          <w:tcPr>
            <w:tcW w:w="1015" w:type="dxa"/>
            <w:hideMark/>
          </w:tcPr>
          <w:p w14:paraId="0F4C9ACF" w14:textId="77777777" w:rsidR="003D18A8" w:rsidRDefault="003D18A8" w:rsidP="00F72EBC">
            <w:pPr>
              <w:pStyle w:val="NormalWeb"/>
              <w:jc w:val="center"/>
            </w:pPr>
            <w:r>
              <w:t>4,969</w:t>
            </w:r>
          </w:p>
        </w:tc>
        <w:tc>
          <w:tcPr>
            <w:tcW w:w="1436" w:type="dxa"/>
            <w:hideMark/>
          </w:tcPr>
          <w:p w14:paraId="08DBA85B" w14:textId="77777777" w:rsidR="003D18A8" w:rsidRDefault="003D18A8" w:rsidP="00F72EBC">
            <w:pPr>
              <w:pStyle w:val="NormalWeb"/>
              <w:jc w:val="center"/>
            </w:pPr>
            <w:r>
              <w:t>8%</w:t>
            </w:r>
          </w:p>
        </w:tc>
        <w:tc>
          <w:tcPr>
            <w:tcW w:w="1629" w:type="dxa"/>
            <w:hideMark/>
          </w:tcPr>
          <w:p w14:paraId="6DD66487" w14:textId="77777777" w:rsidR="003D18A8" w:rsidRDefault="003D18A8" w:rsidP="00F72EBC">
            <w:pPr>
              <w:pStyle w:val="NormalWeb"/>
              <w:jc w:val="center"/>
            </w:pPr>
            <w:r>
              <w:t>44%</w:t>
            </w:r>
          </w:p>
        </w:tc>
      </w:tr>
      <w:tr w:rsidR="000162A9" w14:paraId="5DF64EF8" w14:textId="77777777" w:rsidTr="000F3FF2">
        <w:tc>
          <w:tcPr>
            <w:tcW w:w="4505" w:type="dxa"/>
            <w:hideMark/>
          </w:tcPr>
          <w:p w14:paraId="022802D9" w14:textId="77777777" w:rsidR="003D18A8" w:rsidRDefault="003D18A8">
            <w:pPr>
              <w:pStyle w:val="NormalWeb"/>
            </w:pPr>
            <w:r>
              <w:t>Varicella zoster (unspecified)</w:t>
            </w:r>
          </w:p>
        </w:tc>
        <w:tc>
          <w:tcPr>
            <w:tcW w:w="1024" w:type="dxa"/>
            <w:hideMark/>
          </w:tcPr>
          <w:p w14:paraId="5401EC3D" w14:textId="77777777" w:rsidR="003D18A8" w:rsidRDefault="003D18A8" w:rsidP="00F72EBC">
            <w:pPr>
              <w:pStyle w:val="NormalWeb"/>
              <w:jc w:val="center"/>
            </w:pPr>
            <w:r>
              <w:t>7,423</w:t>
            </w:r>
          </w:p>
        </w:tc>
        <w:tc>
          <w:tcPr>
            <w:tcW w:w="857" w:type="dxa"/>
            <w:hideMark/>
          </w:tcPr>
          <w:p w14:paraId="68D0BCD9" w14:textId="77777777" w:rsidR="003D18A8" w:rsidRDefault="003D18A8" w:rsidP="00F72EBC">
            <w:pPr>
              <w:pStyle w:val="NormalWeb"/>
              <w:jc w:val="center"/>
            </w:pPr>
            <w:r>
              <w:t>6,021</w:t>
            </w:r>
          </w:p>
        </w:tc>
        <w:tc>
          <w:tcPr>
            <w:tcW w:w="1015" w:type="dxa"/>
            <w:hideMark/>
          </w:tcPr>
          <w:p w14:paraId="2AE9B5C3" w14:textId="77777777" w:rsidR="003D18A8" w:rsidRDefault="003D18A8" w:rsidP="00F72EBC">
            <w:pPr>
              <w:pStyle w:val="NormalWeb"/>
              <w:jc w:val="center"/>
            </w:pPr>
            <w:r>
              <w:t>7,130</w:t>
            </w:r>
          </w:p>
        </w:tc>
        <w:tc>
          <w:tcPr>
            <w:tcW w:w="1436" w:type="dxa"/>
            <w:hideMark/>
          </w:tcPr>
          <w:p w14:paraId="62EEC704" w14:textId="77777777" w:rsidR="003D18A8" w:rsidRDefault="003D18A8" w:rsidP="00F72EBC">
            <w:pPr>
              <w:pStyle w:val="NormalWeb"/>
              <w:jc w:val="center"/>
            </w:pPr>
            <w:r>
              <w:t>-19%</w:t>
            </w:r>
          </w:p>
        </w:tc>
        <w:tc>
          <w:tcPr>
            <w:tcW w:w="1629" w:type="dxa"/>
            <w:hideMark/>
          </w:tcPr>
          <w:p w14:paraId="7D55C1BC" w14:textId="77777777" w:rsidR="003D18A8" w:rsidRDefault="003D18A8" w:rsidP="00F72EBC">
            <w:pPr>
              <w:pStyle w:val="NormalWeb"/>
              <w:jc w:val="center"/>
            </w:pPr>
            <w:r>
              <w:t>-16%</w:t>
            </w:r>
          </w:p>
        </w:tc>
      </w:tr>
      <w:tr w:rsidR="009F2B85" w:rsidRPr="009F2B85" w14:paraId="390BF465" w14:textId="77777777" w:rsidTr="009F2B85">
        <w:trPr>
          <w:cnfStyle w:val="000000010000" w:firstRow="0" w:lastRow="0" w:firstColumn="0" w:lastColumn="0" w:oddVBand="0" w:evenVBand="0" w:oddHBand="0" w:evenHBand="1" w:firstRowFirstColumn="0" w:firstRowLastColumn="0" w:lastRowFirstColumn="0" w:lastRowLastColumn="0"/>
        </w:trPr>
        <w:tc>
          <w:tcPr>
            <w:tcW w:w="0" w:type="auto"/>
            <w:gridSpan w:val="6"/>
            <w:shd w:val="clear" w:color="auto" w:fill="808080" w:themeFill="background1" w:themeFillShade="80"/>
            <w:hideMark/>
          </w:tcPr>
          <w:p w14:paraId="4D405BBB" w14:textId="77777777" w:rsidR="003D18A8" w:rsidRPr="009F2B85" w:rsidRDefault="003D18A8" w:rsidP="009D7A72">
            <w:pPr>
              <w:pStyle w:val="NormalWeb"/>
              <w:rPr>
                <w:b/>
                <w:color w:val="FFFFFF" w:themeColor="background1"/>
              </w:rPr>
            </w:pPr>
            <w:r w:rsidRPr="009F2B85">
              <w:rPr>
                <w:b/>
                <w:color w:val="FFFFFF" w:themeColor="background1"/>
              </w:rPr>
              <w:t>Vectorborne diseases</w:t>
            </w:r>
          </w:p>
        </w:tc>
      </w:tr>
      <w:tr w:rsidR="000162A9" w14:paraId="4D3186E1" w14:textId="77777777" w:rsidTr="000F3FF2">
        <w:tc>
          <w:tcPr>
            <w:tcW w:w="4505" w:type="dxa"/>
            <w:hideMark/>
          </w:tcPr>
          <w:p w14:paraId="1AAB89E8" w14:textId="77777777" w:rsidR="003D18A8" w:rsidRDefault="003D18A8">
            <w:pPr>
              <w:pStyle w:val="NormalWeb"/>
            </w:pPr>
            <w:r>
              <w:t>Barmah Forest virus infection</w:t>
            </w:r>
          </w:p>
        </w:tc>
        <w:tc>
          <w:tcPr>
            <w:tcW w:w="1024" w:type="dxa"/>
            <w:hideMark/>
          </w:tcPr>
          <w:p w14:paraId="41D63A22" w14:textId="77777777" w:rsidR="003D18A8" w:rsidRDefault="003D18A8" w:rsidP="00F72EBC">
            <w:pPr>
              <w:pStyle w:val="NormalWeb"/>
              <w:jc w:val="center"/>
            </w:pPr>
            <w:r>
              <w:t>146</w:t>
            </w:r>
          </w:p>
        </w:tc>
        <w:tc>
          <w:tcPr>
            <w:tcW w:w="857" w:type="dxa"/>
            <w:hideMark/>
          </w:tcPr>
          <w:p w14:paraId="528114AD" w14:textId="77777777" w:rsidR="003D18A8" w:rsidRDefault="003D18A8" w:rsidP="00F72EBC">
            <w:pPr>
              <w:pStyle w:val="NormalWeb"/>
              <w:jc w:val="center"/>
            </w:pPr>
            <w:r>
              <w:t>431</w:t>
            </w:r>
          </w:p>
        </w:tc>
        <w:tc>
          <w:tcPr>
            <w:tcW w:w="1015" w:type="dxa"/>
            <w:hideMark/>
          </w:tcPr>
          <w:p w14:paraId="3D030105" w14:textId="77777777" w:rsidR="003D18A8" w:rsidRDefault="003D18A8" w:rsidP="00F72EBC">
            <w:pPr>
              <w:pStyle w:val="NormalWeb"/>
              <w:jc w:val="center"/>
            </w:pPr>
            <w:r>
              <w:t>260</w:t>
            </w:r>
          </w:p>
        </w:tc>
        <w:tc>
          <w:tcPr>
            <w:tcW w:w="1436" w:type="dxa"/>
            <w:hideMark/>
          </w:tcPr>
          <w:p w14:paraId="374B044B" w14:textId="77777777" w:rsidR="003D18A8" w:rsidRDefault="003D18A8" w:rsidP="00F72EBC">
            <w:pPr>
              <w:pStyle w:val="NormalWeb"/>
              <w:jc w:val="center"/>
            </w:pPr>
            <w:r>
              <w:t>195%</w:t>
            </w:r>
          </w:p>
        </w:tc>
        <w:tc>
          <w:tcPr>
            <w:tcW w:w="1629" w:type="dxa"/>
            <w:hideMark/>
          </w:tcPr>
          <w:p w14:paraId="53F0852A" w14:textId="77777777" w:rsidR="003D18A8" w:rsidRDefault="003D18A8" w:rsidP="00F72EBC">
            <w:pPr>
              <w:pStyle w:val="NormalWeb"/>
              <w:jc w:val="center"/>
            </w:pPr>
            <w:r>
              <w:t>66%</w:t>
            </w:r>
          </w:p>
        </w:tc>
      </w:tr>
      <w:tr w:rsidR="000F3FF2" w14:paraId="0B2A6D38" w14:textId="77777777" w:rsidTr="000F3FF2">
        <w:trPr>
          <w:cnfStyle w:val="000000010000" w:firstRow="0" w:lastRow="0" w:firstColumn="0" w:lastColumn="0" w:oddVBand="0" w:evenVBand="0" w:oddHBand="0" w:evenHBand="1" w:firstRowFirstColumn="0" w:firstRowLastColumn="0" w:lastRowFirstColumn="0" w:lastRowLastColumn="0"/>
        </w:trPr>
        <w:tc>
          <w:tcPr>
            <w:tcW w:w="4505" w:type="dxa"/>
            <w:hideMark/>
          </w:tcPr>
          <w:p w14:paraId="001051CA" w14:textId="77777777" w:rsidR="003D18A8" w:rsidRDefault="003D18A8">
            <w:pPr>
              <w:pStyle w:val="NormalWeb"/>
            </w:pPr>
            <w:r>
              <w:t>Chikungunya virus infection</w:t>
            </w:r>
          </w:p>
        </w:tc>
        <w:tc>
          <w:tcPr>
            <w:tcW w:w="1024" w:type="dxa"/>
            <w:hideMark/>
          </w:tcPr>
          <w:p w14:paraId="0D1E6304" w14:textId="77777777" w:rsidR="003D18A8" w:rsidRDefault="003D18A8" w:rsidP="00F72EBC">
            <w:pPr>
              <w:pStyle w:val="NormalWeb"/>
              <w:jc w:val="center"/>
            </w:pPr>
            <w:r>
              <w:t>25</w:t>
            </w:r>
          </w:p>
        </w:tc>
        <w:tc>
          <w:tcPr>
            <w:tcW w:w="857" w:type="dxa"/>
            <w:hideMark/>
          </w:tcPr>
          <w:p w14:paraId="61C93F82" w14:textId="77777777" w:rsidR="003D18A8" w:rsidRDefault="003D18A8" w:rsidP="00F72EBC">
            <w:pPr>
              <w:pStyle w:val="NormalWeb"/>
              <w:jc w:val="center"/>
            </w:pPr>
            <w:r>
              <w:t>25</w:t>
            </w:r>
          </w:p>
        </w:tc>
        <w:tc>
          <w:tcPr>
            <w:tcW w:w="1015" w:type="dxa"/>
            <w:hideMark/>
          </w:tcPr>
          <w:p w14:paraId="0096486C" w14:textId="77777777" w:rsidR="003D18A8" w:rsidRDefault="003D18A8" w:rsidP="00F72EBC">
            <w:pPr>
              <w:pStyle w:val="NormalWeb"/>
              <w:jc w:val="center"/>
            </w:pPr>
            <w:r>
              <w:t>40</w:t>
            </w:r>
          </w:p>
        </w:tc>
        <w:tc>
          <w:tcPr>
            <w:tcW w:w="1436" w:type="dxa"/>
            <w:hideMark/>
          </w:tcPr>
          <w:p w14:paraId="2065119B" w14:textId="77777777" w:rsidR="003D18A8" w:rsidRDefault="003D18A8" w:rsidP="00F72EBC">
            <w:pPr>
              <w:pStyle w:val="NormalWeb"/>
              <w:jc w:val="center"/>
            </w:pPr>
            <w:r>
              <w:t>0%</w:t>
            </w:r>
          </w:p>
        </w:tc>
        <w:tc>
          <w:tcPr>
            <w:tcW w:w="1629" w:type="dxa"/>
            <w:hideMark/>
          </w:tcPr>
          <w:p w14:paraId="60612DE4" w14:textId="77777777" w:rsidR="003D18A8" w:rsidRDefault="003D18A8" w:rsidP="00F72EBC">
            <w:pPr>
              <w:pStyle w:val="NormalWeb"/>
              <w:jc w:val="center"/>
            </w:pPr>
            <w:r>
              <w:t>-37%</w:t>
            </w:r>
          </w:p>
        </w:tc>
      </w:tr>
      <w:tr w:rsidR="000162A9" w14:paraId="71F32ACB" w14:textId="77777777" w:rsidTr="000F3FF2">
        <w:tc>
          <w:tcPr>
            <w:tcW w:w="4505" w:type="dxa"/>
            <w:hideMark/>
          </w:tcPr>
          <w:p w14:paraId="75ACAFFE" w14:textId="77777777" w:rsidR="003D18A8" w:rsidRDefault="003D18A8">
            <w:pPr>
              <w:pStyle w:val="NormalWeb"/>
            </w:pPr>
            <w:r>
              <w:t>Dengue virus infection</w:t>
            </w:r>
          </w:p>
        </w:tc>
        <w:tc>
          <w:tcPr>
            <w:tcW w:w="1024" w:type="dxa"/>
            <w:hideMark/>
          </w:tcPr>
          <w:p w14:paraId="7CE89B61" w14:textId="77777777" w:rsidR="003D18A8" w:rsidRDefault="003D18A8" w:rsidP="00F72EBC">
            <w:pPr>
              <w:pStyle w:val="NormalWeb"/>
              <w:jc w:val="center"/>
            </w:pPr>
            <w:r>
              <w:t>856</w:t>
            </w:r>
          </w:p>
        </w:tc>
        <w:tc>
          <w:tcPr>
            <w:tcW w:w="857" w:type="dxa"/>
            <w:hideMark/>
          </w:tcPr>
          <w:p w14:paraId="029DDF0A" w14:textId="77777777" w:rsidR="003D18A8" w:rsidRDefault="003D18A8" w:rsidP="00F72EBC">
            <w:pPr>
              <w:pStyle w:val="NormalWeb"/>
              <w:jc w:val="center"/>
            </w:pPr>
            <w:r>
              <w:t>192</w:t>
            </w:r>
          </w:p>
        </w:tc>
        <w:tc>
          <w:tcPr>
            <w:tcW w:w="1015" w:type="dxa"/>
            <w:hideMark/>
          </w:tcPr>
          <w:p w14:paraId="7D822D6A" w14:textId="77777777" w:rsidR="003D18A8" w:rsidRDefault="003D18A8" w:rsidP="00F72EBC">
            <w:pPr>
              <w:pStyle w:val="NormalWeb"/>
              <w:jc w:val="center"/>
            </w:pPr>
            <w:r>
              <w:t>918</w:t>
            </w:r>
          </w:p>
        </w:tc>
        <w:tc>
          <w:tcPr>
            <w:tcW w:w="1436" w:type="dxa"/>
            <w:hideMark/>
          </w:tcPr>
          <w:p w14:paraId="061530DA" w14:textId="77777777" w:rsidR="003D18A8" w:rsidRDefault="003D18A8" w:rsidP="00F72EBC">
            <w:pPr>
              <w:pStyle w:val="NormalWeb"/>
              <w:jc w:val="center"/>
            </w:pPr>
            <w:r>
              <w:t>-78%</w:t>
            </w:r>
          </w:p>
        </w:tc>
        <w:tc>
          <w:tcPr>
            <w:tcW w:w="1629" w:type="dxa"/>
            <w:hideMark/>
          </w:tcPr>
          <w:p w14:paraId="75FFD09E" w14:textId="77777777" w:rsidR="003D18A8" w:rsidRDefault="003D18A8" w:rsidP="00F72EBC">
            <w:pPr>
              <w:pStyle w:val="NormalWeb"/>
              <w:jc w:val="center"/>
            </w:pPr>
            <w:r>
              <w:t>-79%</w:t>
            </w:r>
          </w:p>
        </w:tc>
      </w:tr>
      <w:tr w:rsidR="000F3FF2" w14:paraId="69EE7852" w14:textId="77777777" w:rsidTr="000F3FF2">
        <w:trPr>
          <w:cnfStyle w:val="000000010000" w:firstRow="0" w:lastRow="0" w:firstColumn="0" w:lastColumn="0" w:oddVBand="0" w:evenVBand="0" w:oddHBand="0" w:evenHBand="1" w:firstRowFirstColumn="0" w:firstRowLastColumn="0" w:lastRowFirstColumn="0" w:lastRowLastColumn="0"/>
        </w:trPr>
        <w:tc>
          <w:tcPr>
            <w:tcW w:w="4505" w:type="dxa"/>
            <w:hideMark/>
          </w:tcPr>
          <w:p w14:paraId="18BD8F15" w14:textId="77777777" w:rsidR="003D18A8" w:rsidRDefault="003D18A8">
            <w:pPr>
              <w:pStyle w:val="NormalWeb"/>
            </w:pPr>
            <w:r>
              <w:t>Flavivirus infection (unspecified)</w:t>
            </w:r>
          </w:p>
        </w:tc>
        <w:tc>
          <w:tcPr>
            <w:tcW w:w="1024" w:type="dxa"/>
            <w:hideMark/>
          </w:tcPr>
          <w:p w14:paraId="3B26CA4F" w14:textId="77777777" w:rsidR="003D18A8" w:rsidRDefault="003D18A8" w:rsidP="00F72EBC">
            <w:pPr>
              <w:pStyle w:val="NormalWeb"/>
              <w:jc w:val="center"/>
            </w:pPr>
            <w:r>
              <w:t>2</w:t>
            </w:r>
          </w:p>
        </w:tc>
        <w:tc>
          <w:tcPr>
            <w:tcW w:w="857" w:type="dxa"/>
            <w:hideMark/>
          </w:tcPr>
          <w:p w14:paraId="5A2BFC95" w14:textId="77777777" w:rsidR="003D18A8" w:rsidRDefault="003D18A8" w:rsidP="00F72EBC">
            <w:pPr>
              <w:pStyle w:val="NormalWeb"/>
              <w:jc w:val="center"/>
            </w:pPr>
            <w:r>
              <w:t>16</w:t>
            </w:r>
          </w:p>
        </w:tc>
        <w:tc>
          <w:tcPr>
            <w:tcW w:w="1015" w:type="dxa"/>
            <w:hideMark/>
          </w:tcPr>
          <w:p w14:paraId="6485CFB2" w14:textId="77777777" w:rsidR="003D18A8" w:rsidRDefault="003D18A8" w:rsidP="00F72EBC">
            <w:pPr>
              <w:pStyle w:val="NormalWeb"/>
              <w:jc w:val="center"/>
            </w:pPr>
            <w:r>
              <w:t>19</w:t>
            </w:r>
          </w:p>
        </w:tc>
        <w:tc>
          <w:tcPr>
            <w:tcW w:w="1436" w:type="dxa"/>
            <w:hideMark/>
          </w:tcPr>
          <w:p w14:paraId="7C7DCB42" w14:textId="77777777" w:rsidR="003D18A8" w:rsidRDefault="003D18A8" w:rsidP="00F72EBC">
            <w:pPr>
              <w:pStyle w:val="NormalWeb"/>
              <w:jc w:val="center"/>
            </w:pPr>
            <w:r>
              <w:t>700%</w:t>
            </w:r>
          </w:p>
        </w:tc>
        <w:tc>
          <w:tcPr>
            <w:tcW w:w="1629" w:type="dxa"/>
            <w:hideMark/>
          </w:tcPr>
          <w:p w14:paraId="00EB9CE4" w14:textId="77777777" w:rsidR="003D18A8" w:rsidRDefault="003D18A8" w:rsidP="00F72EBC">
            <w:pPr>
              <w:pStyle w:val="NormalWeb"/>
              <w:jc w:val="center"/>
            </w:pPr>
            <w:r>
              <w:t>-18%</w:t>
            </w:r>
          </w:p>
        </w:tc>
      </w:tr>
      <w:tr w:rsidR="000162A9" w14:paraId="432975E3" w14:textId="77777777" w:rsidTr="000F3FF2">
        <w:tc>
          <w:tcPr>
            <w:tcW w:w="4505" w:type="dxa"/>
            <w:hideMark/>
          </w:tcPr>
          <w:p w14:paraId="7C8AC30B" w14:textId="77777777" w:rsidR="003D18A8" w:rsidRDefault="003D18A8">
            <w:pPr>
              <w:pStyle w:val="NormalWeb"/>
            </w:pPr>
            <w:r>
              <w:t>Japanese encephalitis virus infection</w:t>
            </w:r>
          </w:p>
        </w:tc>
        <w:tc>
          <w:tcPr>
            <w:tcW w:w="1024" w:type="dxa"/>
            <w:hideMark/>
          </w:tcPr>
          <w:p w14:paraId="72697FD1" w14:textId="77777777" w:rsidR="003D18A8" w:rsidRDefault="003D18A8" w:rsidP="00F72EBC">
            <w:pPr>
              <w:pStyle w:val="NormalWeb"/>
              <w:jc w:val="center"/>
            </w:pPr>
            <w:r>
              <w:t>0</w:t>
            </w:r>
          </w:p>
        </w:tc>
        <w:tc>
          <w:tcPr>
            <w:tcW w:w="857" w:type="dxa"/>
            <w:hideMark/>
          </w:tcPr>
          <w:p w14:paraId="54597AD2" w14:textId="77777777" w:rsidR="003D18A8" w:rsidRDefault="003D18A8" w:rsidP="00F72EBC">
            <w:pPr>
              <w:pStyle w:val="NormalWeb"/>
              <w:jc w:val="center"/>
            </w:pPr>
            <w:r>
              <w:t>1</w:t>
            </w:r>
          </w:p>
        </w:tc>
        <w:tc>
          <w:tcPr>
            <w:tcW w:w="1015" w:type="dxa"/>
            <w:hideMark/>
          </w:tcPr>
          <w:p w14:paraId="07C9BAE9" w14:textId="77777777" w:rsidR="003D18A8" w:rsidRDefault="003D18A8" w:rsidP="00F72EBC">
            <w:pPr>
              <w:pStyle w:val="NormalWeb"/>
              <w:jc w:val="center"/>
            </w:pPr>
            <w:r>
              <w:t>1</w:t>
            </w:r>
          </w:p>
        </w:tc>
        <w:tc>
          <w:tcPr>
            <w:tcW w:w="1436" w:type="dxa"/>
            <w:hideMark/>
          </w:tcPr>
          <w:p w14:paraId="61143058" w14:textId="77777777" w:rsidR="003D18A8" w:rsidRDefault="003D18A8" w:rsidP="00F72EBC">
            <w:pPr>
              <w:pStyle w:val="NormalWeb"/>
              <w:jc w:val="center"/>
            </w:pPr>
            <w:r>
              <w:t>–</w:t>
            </w:r>
          </w:p>
        </w:tc>
        <w:tc>
          <w:tcPr>
            <w:tcW w:w="1629" w:type="dxa"/>
            <w:hideMark/>
          </w:tcPr>
          <w:p w14:paraId="5E8F868B" w14:textId="77777777" w:rsidR="003D18A8" w:rsidRDefault="003D18A8" w:rsidP="00F72EBC">
            <w:pPr>
              <w:pStyle w:val="NormalWeb"/>
              <w:jc w:val="center"/>
            </w:pPr>
            <w:r>
              <w:t>67%</w:t>
            </w:r>
          </w:p>
        </w:tc>
      </w:tr>
      <w:tr w:rsidR="000F3FF2" w14:paraId="0CB4A164" w14:textId="77777777" w:rsidTr="000F3FF2">
        <w:trPr>
          <w:cnfStyle w:val="000000010000" w:firstRow="0" w:lastRow="0" w:firstColumn="0" w:lastColumn="0" w:oddVBand="0" w:evenVBand="0" w:oddHBand="0" w:evenHBand="1" w:firstRowFirstColumn="0" w:firstRowLastColumn="0" w:lastRowFirstColumn="0" w:lastRowLastColumn="0"/>
        </w:trPr>
        <w:tc>
          <w:tcPr>
            <w:tcW w:w="4505" w:type="dxa"/>
            <w:hideMark/>
          </w:tcPr>
          <w:p w14:paraId="289C54D1" w14:textId="77777777" w:rsidR="003D18A8" w:rsidRDefault="003D18A8">
            <w:pPr>
              <w:pStyle w:val="NormalWeb"/>
            </w:pPr>
            <w:r>
              <w:t>Malaria</w:t>
            </w:r>
          </w:p>
        </w:tc>
        <w:tc>
          <w:tcPr>
            <w:tcW w:w="1024" w:type="dxa"/>
            <w:hideMark/>
          </w:tcPr>
          <w:p w14:paraId="106E971E" w14:textId="77777777" w:rsidR="003D18A8" w:rsidRDefault="003D18A8" w:rsidP="00F72EBC">
            <w:pPr>
              <w:pStyle w:val="NormalWeb"/>
              <w:jc w:val="center"/>
            </w:pPr>
            <w:r>
              <w:t>175</w:t>
            </w:r>
          </w:p>
        </w:tc>
        <w:tc>
          <w:tcPr>
            <w:tcW w:w="857" w:type="dxa"/>
            <w:hideMark/>
          </w:tcPr>
          <w:p w14:paraId="7DA80E6B" w14:textId="77777777" w:rsidR="003D18A8" w:rsidRDefault="003D18A8" w:rsidP="00F72EBC">
            <w:pPr>
              <w:pStyle w:val="NormalWeb"/>
              <w:jc w:val="center"/>
            </w:pPr>
            <w:r>
              <w:t>116</w:t>
            </w:r>
          </w:p>
        </w:tc>
        <w:tc>
          <w:tcPr>
            <w:tcW w:w="1015" w:type="dxa"/>
            <w:hideMark/>
          </w:tcPr>
          <w:p w14:paraId="333E2BBD" w14:textId="77777777" w:rsidR="003D18A8" w:rsidRDefault="003D18A8" w:rsidP="00F72EBC">
            <w:pPr>
              <w:pStyle w:val="NormalWeb"/>
              <w:jc w:val="center"/>
            </w:pPr>
            <w:r>
              <w:t>161</w:t>
            </w:r>
          </w:p>
        </w:tc>
        <w:tc>
          <w:tcPr>
            <w:tcW w:w="1436" w:type="dxa"/>
            <w:hideMark/>
          </w:tcPr>
          <w:p w14:paraId="7320B7B7" w14:textId="77777777" w:rsidR="003D18A8" w:rsidRDefault="003D18A8" w:rsidP="00F72EBC">
            <w:pPr>
              <w:pStyle w:val="NormalWeb"/>
              <w:jc w:val="center"/>
            </w:pPr>
            <w:r>
              <w:t>-34%</w:t>
            </w:r>
          </w:p>
        </w:tc>
        <w:tc>
          <w:tcPr>
            <w:tcW w:w="1629" w:type="dxa"/>
            <w:hideMark/>
          </w:tcPr>
          <w:p w14:paraId="4934E150" w14:textId="77777777" w:rsidR="003D18A8" w:rsidRDefault="003D18A8" w:rsidP="00F72EBC">
            <w:pPr>
              <w:pStyle w:val="NormalWeb"/>
              <w:jc w:val="center"/>
            </w:pPr>
            <w:r>
              <w:t>-28%</w:t>
            </w:r>
          </w:p>
        </w:tc>
      </w:tr>
      <w:tr w:rsidR="000162A9" w14:paraId="57EA2E83" w14:textId="77777777" w:rsidTr="000F3FF2">
        <w:tc>
          <w:tcPr>
            <w:tcW w:w="4505" w:type="dxa"/>
            <w:hideMark/>
          </w:tcPr>
          <w:p w14:paraId="08A03F51" w14:textId="77777777" w:rsidR="003D18A8" w:rsidRDefault="003D18A8">
            <w:pPr>
              <w:pStyle w:val="NormalWeb"/>
            </w:pPr>
            <w:r>
              <w:t>Murray Valley encephalitis virus infection</w:t>
            </w:r>
          </w:p>
        </w:tc>
        <w:tc>
          <w:tcPr>
            <w:tcW w:w="1024" w:type="dxa"/>
            <w:hideMark/>
          </w:tcPr>
          <w:p w14:paraId="06A9AC91" w14:textId="77777777" w:rsidR="003D18A8" w:rsidRDefault="003D18A8" w:rsidP="00F72EBC">
            <w:pPr>
              <w:pStyle w:val="NormalWeb"/>
              <w:jc w:val="center"/>
            </w:pPr>
            <w:r>
              <w:t>0</w:t>
            </w:r>
          </w:p>
        </w:tc>
        <w:tc>
          <w:tcPr>
            <w:tcW w:w="857" w:type="dxa"/>
            <w:hideMark/>
          </w:tcPr>
          <w:p w14:paraId="364DFB9C" w14:textId="77777777" w:rsidR="003D18A8" w:rsidRDefault="003D18A8" w:rsidP="00F72EBC">
            <w:pPr>
              <w:pStyle w:val="NormalWeb"/>
              <w:jc w:val="center"/>
            </w:pPr>
            <w:r>
              <w:t>0</w:t>
            </w:r>
          </w:p>
        </w:tc>
        <w:tc>
          <w:tcPr>
            <w:tcW w:w="1015" w:type="dxa"/>
            <w:hideMark/>
          </w:tcPr>
          <w:p w14:paraId="68BA6DB4" w14:textId="77777777" w:rsidR="003D18A8" w:rsidRDefault="003D18A8" w:rsidP="00F72EBC">
            <w:pPr>
              <w:pStyle w:val="NormalWeb"/>
              <w:jc w:val="center"/>
            </w:pPr>
            <w:r>
              <w:t>1</w:t>
            </w:r>
          </w:p>
        </w:tc>
        <w:tc>
          <w:tcPr>
            <w:tcW w:w="1436" w:type="dxa"/>
            <w:hideMark/>
          </w:tcPr>
          <w:p w14:paraId="530F9105" w14:textId="77777777" w:rsidR="003D18A8" w:rsidRDefault="003D18A8" w:rsidP="00F72EBC">
            <w:pPr>
              <w:pStyle w:val="NormalWeb"/>
              <w:jc w:val="center"/>
            </w:pPr>
            <w:r>
              <w:t>–</w:t>
            </w:r>
          </w:p>
        </w:tc>
        <w:tc>
          <w:tcPr>
            <w:tcW w:w="1629" w:type="dxa"/>
            <w:hideMark/>
          </w:tcPr>
          <w:p w14:paraId="173B459C" w14:textId="77777777" w:rsidR="003D18A8" w:rsidRDefault="003D18A8" w:rsidP="00F72EBC">
            <w:pPr>
              <w:pStyle w:val="NormalWeb"/>
              <w:jc w:val="center"/>
            </w:pPr>
            <w:r>
              <w:t>–</w:t>
            </w:r>
          </w:p>
        </w:tc>
      </w:tr>
      <w:tr w:rsidR="000F3FF2" w14:paraId="21436310" w14:textId="77777777" w:rsidTr="000F3FF2">
        <w:trPr>
          <w:cnfStyle w:val="000000010000" w:firstRow="0" w:lastRow="0" w:firstColumn="0" w:lastColumn="0" w:oddVBand="0" w:evenVBand="0" w:oddHBand="0" w:evenHBand="1" w:firstRowFirstColumn="0" w:firstRowLastColumn="0" w:lastRowFirstColumn="0" w:lastRowLastColumn="0"/>
        </w:trPr>
        <w:tc>
          <w:tcPr>
            <w:tcW w:w="4505" w:type="dxa"/>
            <w:hideMark/>
          </w:tcPr>
          <w:p w14:paraId="4E07444F" w14:textId="77777777" w:rsidR="003D18A8" w:rsidRDefault="003D18A8">
            <w:pPr>
              <w:pStyle w:val="NormalWeb"/>
            </w:pPr>
            <w:r>
              <w:t>Ross River virus infection</w:t>
            </w:r>
          </w:p>
        </w:tc>
        <w:tc>
          <w:tcPr>
            <w:tcW w:w="1024" w:type="dxa"/>
            <w:hideMark/>
          </w:tcPr>
          <w:p w14:paraId="07D47A0C" w14:textId="77777777" w:rsidR="003D18A8" w:rsidRDefault="003D18A8" w:rsidP="00F72EBC">
            <w:pPr>
              <w:pStyle w:val="NormalWeb"/>
              <w:jc w:val="center"/>
            </w:pPr>
            <w:r>
              <w:t>1,936</w:t>
            </w:r>
          </w:p>
        </w:tc>
        <w:tc>
          <w:tcPr>
            <w:tcW w:w="857" w:type="dxa"/>
            <w:hideMark/>
          </w:tcPr>
          <w:p w14:paraId="7D5ACEAF" w14:textId="77777777" w:rsidR="003D18A8" w:rsidRDefault="003D18A8" w:rsidP="00F72EBC">
            <w:pPr>
              <w:pStyle w:val="NormalWeb"/>
              <w:jc w:val="center"/>
            </w:pPr>
            <w:r>
              <w:t>4,898</w:t>
            </w:r>
          </w:p>
        </w:tc>
        <w:tc>
          <w:tcPr>
            <w:tcW w:w="1015" w:type="dxa"/>
            <w:hideMark/>
          </w:tcPr>
          <w:p w14:paraId="1FB815D9" w14:textId="77777777" w:rsidR="003D18A8" w:rsidRDefault="003D18A8" w:rsidP="00F72EBC">
            <w:pPr>
              <w:pStyle w:val="NormalWeb"/>
              <w:jc w:val="center"/>
            </w:pPr>
            <w:r>
              <w:t>3,958</w:t>
            </w:r>
          </w:p>
        </w:tc>
        <w:tc>
          <w:tcPr>
            <w:tcW w:w="1436" w:type="dxa"/>
            <w:hideMark/>
          </w:tcPr>
          <w:p w14:paraId="742AEC7D" w14:textId="77777777" w:rsidR="003D18A8" w:rsidRDefault="003D18A8" w:rsidP="00F72EBC">
            <w:pPr>
              <w:pStyle w:val="NormalWeb"/>
              <w:jc w:val="center"/>
            </w:pPr>
            <w:r>
              <w:t>153%</w:t>
            </w:r>
          </w:p>
        </w:tc>
        <w:tc>
          <w:tcPr>
            <w:tcW w:w="1629" w:type="dxa"/>
            <w:hideMark/>
          </w:tcPr>
          <w:p w14:paraId="2DBF5C44" w14:textId="77777777" w:rsidR="003D18A8" w:rsidRDefault="003D18A8" w:rsidP="00F72EBC">
            <w:pPr>
              <w:pStyle w:val="NormalWeb"/>
              <w:jc w:val="center"/>
            </w:pPr>
            <w:r>
              <w:t>24%</w:t>
            </w:r>
          </w:p>
        </w:tc>
      </w:tr>
      <w:tr w:rsidR="000162A9" w14:paraId="32A22BCD" w14:textId="77777777" w:rsidTr="000F3FF2">
        <w:tc>
          <w:tcPr>
            <w:tcW w:w="4505" w:type="dxa"/>
            <w:hideMark/>
          </w:tcPr>
          <w:p w14:paraId="313C25CB" w14:textId="77777777" w:rsidR="003D18A8" w:rsidRDefault="003D18A8">
            <w:pPr>
              <w:pStyle w:val="NormalWeb"/>
            </w:pPr>
            <w:r>
              <w:lastRenderedPageBreak/>
              <w:t>West Nile/</w:t>
            </w:r>
            <w:proofErr w:type="spellStart"/>
            <w:r>
              <w:t>Kunjin</w:t>
            </w:r>
            <w:proofErr w:type="spellEnd"/>
            <w:r>
              <w:t xml:space="preserve"> virus infection</w:t>
            </w:r>
          </w:p>
        </w:tc>
        <w:tc>
          <w:tcPr>
            <w:tcW w:w="1024" w:type="dxa"/>
            <w:hideMark/>
          </w:tcPr>
          <w:p w14:paraId="6B82B370" w14:textId="77777777" w:rsidR="003D18A8" w:rsidRDefault="003D18A8" w:rsidP="00F72EBC">
            <w:pPr>
              <w:pStyle w:val="NormalWeb"/>
              <w:jc w:val="center"/>
            </w:pPr>
            <w:r>
              <w:t>1</w:t>
            </w:r>
          </w:p>
        </w:tc>
        <w:tc>
          <w:tcPr>
            <w:tcW w:w="857" w:type="dxa"/>
            <w:hideMark/>
          </w:tcPr>
          <w:p w14:paraId="102AAF99" w14:textId="77777777" w:rsidR="003D18A8" w:rsidRDefault="003D18A8" w:rsidP="00F72EBC">
            <w:pPr>
              <w:pStyle w:val="NormalWeb"/>
              <w:jc w:val="center"/>
            </w:pPr>
            <w:r>
              <w:t>0</w:t>
            </w:r>
          </w:p>
        </w:tc>
        <w:tc>
          <w:tcPr>
            <w:tcW w:w="1015" w:type="dxa"/>
            <w:hideMark/>
          </w:tcPr>
          <w:p w14:paraId="509F473D" w14:textId="77777777" w:rsidR="003D18A8" w:rsidRDefault="003D18A8" w:rsidP="00F72EBC">
            <w:pPr>
              <w:pStyle w:val="NormalWeb"/>
              <w:jc w:val="center"/>
            </w:pPr>
            <w:r>
              <w:t>1</w:t>
            </w:r>
          </w:p>
        </w:tc>
        <w:tc>
          <w:tcPr>
            <w:tcW w:w="1436" w:type="dxa"/>
            <w:hideMark/>
          </w:tcPr>
          <w:p w14:paraId="097CD404" w14:textId="77777777" w:rsidR="003D18A8" w:rsidRDefault="003D18A8" w:rsidP="00F72EBC">
            <w:pPr>
              <w:pStyle w:val="NormalWeb"/>
              <w:jc w:val="center"/>
            </w:pPr>
            <w:r>
              <w:t>–</w:t>
            </w:r>
          </w:p>
        </w:tc>
        <w:tc>
          <w:tcPr>
            <w:tcW w:w="1629" w:type="dxa"/>
            <w:hideMark/>
          </w:tcPr>
          <w:p w14:paraId="14DE63AA" w14:textId="77777777" w:rsidR="003D18A8" w:rsidRDefault="003D18A8" w:rsidP="00F72EBC">
            <w:pPr>
              <w:pStyle w:val="NormalWeb"/>
              <w:jc w:val="center"/>
            </w:pPr>
            <w:r>
              <w:t>–</w:t>
            </w:r>
          </w:p>
        </w:tc>
      </w:tr>
      <w:tr w:rsidR="009F2B85" w:rsidRPr="009F2B85" w14:paraId="026F12F2" w14:textId="77777777" w:rsidTr="009F2B85">
        <w:trPr>
          <w:cnfStyle w:val="000000010000" w:firstRow="0" w:lastRow="0" w:firstColumn="0" w:lastColumn="0" w:oddVBand="0" w:evenVBand="0" w:oddHBand="0" w:evenHBand="1" w:firstRowFirstColumn="0" w:firstRowLastColumn="0" w:lastRowFirstColumn="0" w:lastRowLastColumn="0"/>
        </w:trPr>
        <w:tc>
          <w:tcPr>
            <w:tcW w:w="0" w:type="auto"/>
            <w:gridSpan w:val="6"/>
            <w:shd w:val="clear" w:color="auto" w:fill="808080" w:themeFill="background1" w:themeFillShade="80"/>
            <w:hideMark/>
          </w:tcPr>
          <w:p w14:paraId="12773669" w14:textId="77777777" w:rsidR="003D18A8" w:rsidRPr="009F2B85" w:rsidRDefault="003D18A8" w:rsidP="009D7A72">
            <w:pPr>
              <w:pStyle w:val="NormalWeb"/>
              <w:rPr>
                <w:b/>
                <w:color w:val="FFFFFF" w:themeColor="background1"/>
              </w:rPr>
            </w:pPr>
            <w:r w:rsidRPr="009F2B85">
              <w:rPr>
                <w:b/>
                <w:color w:val="FFFFFF" w:themeColor="background1"/>
              </w:rPr>
              <w:t>Zoonotic diseases</w:t>
            </w:r>
          </w:p>
        </w:tc>
      </w:tr>
      <w:tr w:rsidR="000162A9" w14:paraId="639C6FA3" w14:textId="77777777" w:rsidTr="000F3FF2">
        <w:tc>
          <w:tcPr>
            <w:tcW w:w="4505" w:type="dxa"/>
            <w:hideMark/>
          </w:tcPr>
          <w:p w14:paraId="7A367540" w14:textId="77777777" w:rsidR="003D18A8" w:rsidRDefault="003D18A8">
            <w:pPr>
              <w:pStyle w:val="NormalWeb"/>
            </w:pPr>
            <w:r>
              <w:t>Brucellosis</w:t>
            </w:r>
          </w:p>
        </w:tc>
        <w:tc>
          <w:tcPr>
            <w:tcW w:w="1024" w:type="dxa"/>
            <w:hideMark/>
          </w:tcPr>
          <w:p w14:paraId="163CFFF5" w14:textId="77777777" w:rsidR="003D18A8" w:rsidRDefault="003D18A8" w:rsidP="00F72EBC">
            <w:pPr>
              <w:pStyle w:val="NormalWeb"/>
              <w:jc w:val="center"/>
            </w:pPr>
            <w:r>
              <w:t>3</w:t>
            </w:r>
          </w:p>
        </w:tc>
        <w:tc>
          <w:tcPr>
            <w:tcW w:w="857" w:type="dxa"/>
            <w:hideMark/>
          </w:tcPr>
          <w:p w14:paraId="3D340D2E" w14:textId="77777777" w:rsidR="003D18A8" w:rsidRDefault="003D18A8" w:rsidP="00F72EBC">
            <w:pPr>
              <w:pStyle w:val="NormalWeb"/>
              <w:jc w:val="center"/>
            </w:pPr>
            <w:r>
              <w:t>11</w:t>
            </w:r>
          </w:p>
        </w:tc>
        <w:tc>
          <w:tcPr>
            <w:tcW w:w="1015" w:type="dxa"/>
            <w:hideMark/>
          </w:tcPr>
          <w:p w14:paraId="10EA79E0" w14:textId="77777777" w:rsidR="003D18A8" w:rsidRDefault="003D18A8" w:rsidP="00F72EBC">
            <w:pPr>
              <w:pStyle w:val="NormalWeb"/>
              <w:jc w:val="center"/>
            </w:pPr>
            <w:r>
              <w:t>9</w:t>
            </w:r>
          </w:p>
        </w:tc>
        <w:tc>
          <w:tcPr>
            <w:tcW w:w="1436" w:type="dxa"/>
            <w:hideMark/>
          </w:tcPr>
          <w:p w14:paraId="0E5249E4" w14:textId="77777777" w:rsidR="003D18A8" w:rsidRDefault="003D18A8" w:rsidP="00F72EBC">
            <w:pPr>
              <w:pStyle w:val="NormalWeb"/>
              <w:jc w:val="center"/>
            </w:pPr>
            <w:r>
              <w:t>267%</w:t>
            </w:r>
          </w:p>
        </w:tc>
        <w:tc>
          <w:tcPr>
            <w:tcW w:w="1629" w:type="dxa"/>
            <w:hideMark/>
          </w:tcPr>
          <w:p w14:paraId="05E95632" w14:textId="77777777" w:rsidR="003D18A8" w:rsidRDefault="003D18A8" w:rsidP="00F72EBC">
            <w:pPr>
              <w:pStyle w:val="NormalWeb"/>
              <w:jc w:val="center"/>
            </w:pPr>
            <w:r>
              <w:t>25%</w:t>
            </w:r>
          </w:p>
        </w:tc>
      </w:tr>
      <w:tr w:rsidR="000F3FF2" w14:paraId="6238F1EF" w14:textId="77777777" w:rsidTr="000F3FF2">
        <w:trPr>
          <w:cnfStyle w:val="000000010000" w:firstRow="0" w:lastRow="0" w:firstColumn="0" w:lastColumn="0" w:oddVBand="0" w:evenVBand="0" w:oddHBand="0" w:evenHBand="1" w:firstRowFirstColumn="0" w:firstRowLastColumn="0" w:lastRowFirstColumn="0" w:lastRowLastColumn="0"/>
        </w:trPr>
        <w:tc>
          <w:tcPr>
            <w:tcW w:w="4505" w:type="dxa"/>
            <w:hideMark/>
          </w:tcPr>
          <w:p w14:paraId="0373B841" w14:textId="77777777" w:rsidR="003D18A8" w:rsidRDefault="003D18A8">
            <w:pPr>
              <w:pStyle w:val="NormalWeb"/>
            </w:pPr>
            <w:r>
              <w:t>Leptospirosis</w:t>
            </w:r>
          </w:p>
        </w:tc>
        <w:tc>
          <w:tcPr>
            <w:tcW w:w="1024" w:type="dxa"/>
            <w:hideMark/>
          </w:tcPr>
          <w:p w14:paraId="097048A5" w14:textId="77777777" w:rsidR="003D18A8" w:rsidRDefault="003D18A8" w:rsidP="00F72EBC">
            <w:pPr>
              <w:pStyle w:val="NormalWeb"/>
              <w:jc w:val="center"/>
            </w:pPr>
            <w:r>
              <w:t>56</w:t>
            </w:r>
          </w:p>
        </w:tc>
        <w:tc>
          <w:tcPr>
            <w:tcW w:w="857" w:type="dxa"/>
            <w:hideMark/>
          </w:tcPr>
          <w:p w14:paraId="339F89CE" w14:textId="77777777" w:rsidR="003D18A8" w:rsidRDefault="003D18A8" w:rsidP="00F72EBC">
            <w:pPr>
              <w:pStyle w:val="NormalWeb"/>
              <w:jc w:val="center"/>
            </w:pPr>
            <w:r>
              <w:t>49</w:t>
            </w:r>
          </w:p>
        </w:tc>
        <w:tc>
          <w:tcPr>
            <w:tcW w:w="1015" w:type="dxa"/>
            <w:hideMark/>
          </w:tcPr>
          <w:p w14:paraId="0A766F98" w14:textId="77777777" w:rsidR="003D18A8" w:rsidRDefault="003D18A8" w:rsidP="00F72EBC">
            <w:pPr>
              <w:pStyle w:val="NormalWeb"/>
              <w:jc w:val="center"/>
            </w:pPr>
            <w:r>
              <w:t>77</w:t>
            </w:r>
          </w:p>
        </w:tc>
        <w:tc>
          <w:tcPr>
            <w:tcW w:w="1436" w:type="dxa"/>
            <w:hideMark/>
          </w:tcPr>
          <w:p w14:paraId="7CA3BFD4" w14:textId="77777777" w:rsidR="003D18A8" w:rsidRDefault="003D18A8" w:rsidP="00F72EBC">
            <w:pPr>
              <w:pStyle w:val="NormalWeb"/>
              <w:jc w:val="center"/>
            </w:pPr>
            <w:r>
              <w:t>-13%</w:t>
            </w:r>
          </w:p>
        </w:tc>
        <w:tc>
          <w:tcPr>
            <w:tcW w:w="1629" w:type="dxa"/>
            <w:hideMark/>
          </w:tcPr>
          <w:p w14:paraId="31032F43" w14:textId="77777777" w:rsidR="003D18A8" w:rsidRDefault="003D18A8" w:rsidP="00F72EBC">
            <w:pPr>
              <w:pStyle w:val="NormalWeb"/>
              <w:jc w:val="center"/>
            </w:pPr>
            <w:r>
              <w:t>-36%</w:t>
            </w:r>
          </w:p>
        </w:tc>
      </w:tr>
      <w:tr w:rsidR="000162A9" w14:paraId="6B9A5D8F" w14:textId="77777777" w:rsidTr="000F3FF2">
        <w:tc>
          <w:tcPr>
            <w:tcW w:w="4505" w:type="dxa"/>
            <w:hideMark/>
          </w:tcPr>
          <w:p w14:paraId="3DA63A70" w14:textId="77777777" w:rsidR="003D18A8" w:rsidRDefault="003D18A8">
            <w:pPr>
              <w:pStyle w:val="NormalWeb"/>
            </w:pPr>
            <w:r>
              <w:t>Creutzfeldt-Jakob disease</w:t>
            </w:r>
          </w:p>
        </w:tc>
        <w:tc>
          <w:tcPr>
            <w:tcW w:w="1024" w:type="dxa"/>
            <w:hideMark/>
          </w:tcPr>
          <w:p w14:paraId="2D1CA1A5" w14:textId="77777777" w:rsidR="003D18A8" w:rsidRDefault="003D18A8" w:rsidP="00F72EBC">
            <w:pPr>
              <w:pStyle w:val="NormalWeb"/>
              <w:jc w:val="center"/>
            </w:pPr>
            <w:r>
              <w:t>16</w:t>
            </w:r>
          </w:p>
        </w:tc>
        <w:tc>
          <w:tcPr>
            <w:tcW w:w="857" w:type="dxa"/>
            <w:hideMark/>
          </w:tcPr>
          <w:p w14:paraId="3E72114E" w14:textId="77777777" w:rsidR="003D18A8" w:rsidRDefault="003D18A8" w:rsidP="00F72EBC">
            <w:pPr>
              <w:pStyle w:val="NormalWeb"/>
              <w:jc w:val="center"/>
            </w:pPr>
            <w:r>
              <w:t>4</w:t>
            </w:r>
          </w:p>
        </w:tc>
        <w:tc>
          <w:tcPr>
            <w:tcW w:w="1015" w:type="dxa"/>
            <w:hideMark/>
          </w:tcPr>
          <w:p w14:paraId="390EB96C" w14:textId="77777777" w:rsidR="003D18A8" w:rsidRDefault="003D18A8" w:rsidP="00F72EBC">
            <w:pPr>
              <w:pStyle w:val="NormalWeb"/>
              <w:jc w:val="center"/>
            </w:pPr>
            <w:r>
              <w:t>19</w:t>
            </w:r>
          </w:p>
        </w:tc>
        <w:tc>
          <w:tcPr>
            <w:tcW w:w="1436" w:type="dxa"/>
            <w:hideMark/>
          </w:tcPr>
          <w:p w14:paraId="04EC4725" w14:textId="77777777" w:rsidR="003D18A8" w:rsidRDefault="003D18A8" w:rsidP="00F72EBC">
            <w:pPr>
              <w:pStyle w:val="NormalWeb"/>
              <w:jc w:val="center"/>
            </w:pPr>
            <w:r>
              <w:t>-75%</w:t>
            </w:r>
          </w:p>
        </w:tc>
        <w:tc>
          <w:tcPr>
            <w:tcW w:w="1629" w:type="dxa"/>
            <w:hideMark/>
          </w:tcPr>
          <w:p w14:paraId="777200EC" w14:textId="77777777" w:rsidR="003D18A8" w:rsidRDefault="003D18A8" w:rsidP="00F72EBC">
            <w:pPr>
              <w:pStyle w:val="NormalWeb"/>
              <w:jc w:val="center"/>
            </w:pPr>
            <w:r>
              <w:t>-79%</w:t>
            </w:r>
          </w:p>
        </w:tc>
      </w:tr>
      <w:tr w:rsidR="000F3FF2" w14:paraId="034ACCFF" w14:textId="77777777" w:rsidTr="000F3FF2">
        <w:trPr>
          <w:cnfStyle w:val="000000010000" w:firstRow="0" w:lastRow="0" w:firstColumn="0" w:lastColumn="0" w:oddVBand="0" w:evenVBand="0" w:oddHBand="0" w:evenHBand="1" w:firstRowFirstColumn="0" w:firstRowLastColumn="0" w:lastRowFirstColumn="0" w:lastRowLastColumn="0"/>
        </w:trPr>
        <w:tc>
          <w:tcPr>
            <w:tcW w:w="4505" w:type="dxa"/>
            <w:hideMark/>
          </w:tcPr>
          <w:p w14:paraId="1C0432A9" w14:textId="77777777" w:rsidR="003D18A8" w:rsidRDefault="003D18A8">
            <w:pPr>
              <w:pStyle w:val="NormalWeb"/>
            </w:pPr>
            <w:r>
              <w:t>Ornithosis</w:t>
            </w:r>
          </w:p>
        </w:tc>
        <w:tc>
          <w:tcPr>
            <w:tcW w:w="1024" w:type="dxa"/>
            <w:hideMark/>
          </w:tcPr>
          <w:p w14:paraId="68182CAC" w14:textId="77777777" w:rsidR="003D18A8" w:rsidRDefault="003D18A8" w:rsidP="00F72EBC">
            <w:pPr>
              <w:pStyle w:val="NormalWeb"/>
              <w:jc w:val="center"/>
            </w:pPr>
            <w:r>
              <w:t>9</w:t>
            </w:r>
          </w:p>
        </w:tc>
        <w:tc>
          <w:tcPr>
            <w:tcW w:w="857" w:type="dxa"/>
            <w:hideMark/>
          </w:tcPr>
          <w:p w14:paraId="0276B3EE" w14:textId="77777777" w:rsidR="003D18A8" w:rsidRDefault="003D18A8" w:rsidP="00F72EBC">
            <w:pPr>
              <w:pStyle w:val="NormalWeb"/>
              <w:jc w:val="center"/>
            </w:pPr>
            <w:r>
              <w:t>17</w:t>
            </w:r>
          </w:p>
        </w:tc>
        <w:tc>
          <w:tcPr>
            <w:tcW w:w="1015" w:type="dxa"/>
            <w:hideMark/>
          </w:tcPr>
          <w:p w14:paraId="1EE16517" w14:textId="77777777" w:rsidR="003D18A8" w:rsidRDefault="003D18A8" w:rsidP="00F72EBC">
            <w:pPr>
              <w:pStyle w:val="NormalWeb"/>
              <w:jc w:val="center"/>
            </w:pPr>
            <w:r>
              <w:t>6</w:t>
            </w:r>
          </w:p>
        </w:tc>
        <w:tc>
          <w:tcPr>
            <w:tcW w:w="1436" w:type="dxa"/>
            <w:hideMark/>
          </w:tcPr>
          <w:p w14:paraId="47EFDC9A" w14:textId="77777777" w:rsidR="003D18A8" w:rsidRDefault="003D18A8" w:rsidP="00F72EBC">
            <w:pPr>
              <w:pStyle w:val="NormalWeb"/>
              <w:jc w:val="center"/>
            </w:pPr>
            <w:r>
              <w:t>89%</w:t>
            </w:r>
          </w:p>
        </w:tc>
        <w:tc>
          <w:tcPr>
            <w:tcW w:w="1629" w:type="dxa"/>
            <w:hideMark/>
          </w:tcPr>
          <w:p w14:paraId="57EEE818" w14:textId="77777777" w:rsidR="003D18A8" w:rsidRDefault="003D18A8" w:rsidP="00F72EBC">
            <w:pPr>
              <w:pStyle w:val="NormalWeb"/>
              <w:jc w:val="center"/>
            </w:pPr>
            <w:r>
              <w:t>174%</w:t>
            </w:r>
          </w:p>
        </w:tc>
      </w:tr>
      <w:tr w:rsidR="000162A9" w14:paraId="71160D80" w14:textId="77777777" w:rsidTr="000F3FF2">
        <w:tc>
          <w:tcPr>
            <w:tcW w:w="4505" w:type="dxa"/>
            <w:hideMark/>
          </w:tcPr>
          <w:p w14:paraId="67A6F1CE" w14:textId="77777777" w:rsidR="003D18A8" w:rsidRDefault="003D18A8">
            <w:pPr>
              <w:pStyle w:val="NormalWeb"/>
            </w:pPr>
            <w:r>
              <w:t>Q fever</w:t>
            </w:r>
          </w:p>
        </w:tc>
        <w:tc>
          <w:tcPr>
            <w:tcW w:w="1024" w:type="dxa"/>
            <w:hideMark/>
          </w:tcPr>
          <w:p w14:paraId="0A975B43" w14:textId="77777777" w:rsidR="003D18A8" w:rsidRDefault="003D18A8" w:rsidP="00F72EBC">
            <w:pPr>
              <w:pStyle w:val="NormalWeb"/>
              <w:jc w:val="center"/>
            </w:pPr>
            <w:r>
              <w:t>289</w:t>
            </w:r>
          </w:p>
        </w:tc>
        <w:tc>
          <w:tcPr>
            <w:tcW w:w="857" w:type="dxa"/>
            <w:hideMark/>
          </w:tcPr>
          <w:p w14:paraId="6B94C146" w14:textId="77777777" w:rsidR="003D18A8" w:rsidRDefault="003D18A8" w:rsidP="00F72EBC">
            <w:pPr>
              <w:pStyle w:val="NormalWeb"/>
              <w:jc w:val="center"/>
            </w:pPr>
            <w:r>
              <w:t>236</w:t>
            </w:r>
          </w:p>
        </w:tc>
        <w:tc>
          <w:tcPr>
            <w:tcW w:w="1015" w:type="dxa"/>
            <w:hideMark/>
          </w:tcPr>
          <w:p w14:paraId="44C79384" w14:textId="77777777" w:rsidR="003D18A8" w:rsidRDefault="003D18A8" w:rsidP="00F72EBC">
            <w:pPr>
              <w:pStyle w:val="NormalWeb"/>
              <w:jc w:val="center"/>
            </w:pPr>
            <w:r>
              <w:t>272</w:t>
            </w:r>
          </w:p>
        </w:tc>
        <w:tc>
          <w:tcPr>
            <w:tcW w:w="1436" w:type="dxa"/>
            <w:hideMark/>
          </w:tcPr>
          <w:p w14:paraId="3772F6CF" w14:textId="77777777" w:rsidR="003D18A8" w:rsidRDefault="003D18A8" w:rsidP="00F72EBC">
            <w:pPr>
              <w:pStyle w:val="NormalWeb"/>
              <w:jc w:val="center"/>
            </w:pPr>
            <w:r>
              <w:t>-18%</w:t>
            </w:r>
          </w:p>
        </w:tc>
        <w:tc>
          <w:tcPr>
            <w:tcW w:w="1629" w:type="dxa"/>
            <w:hideMark/>
          </w:tcPr>
          <w:p w14:paraId="50734475" w14:textId="77777777" w:rsidR="003D18A8" w:rsidRDefault="003D18A8" w:rsidP="00F72EBC">
            <w:pPr>
              <w:pStyle w:val="NormalWeb"/>
              <w:jc w:val="center"/>
            </w:pPr>
            <w:r>
              <w:t>-13%</w:t>
            </w:r>
          </w:p>
        </w:tc>
      </w:tr>
      <w:tr w:rsidR="000F3FF2" w14:paraId="265E5D03" w14:textId="77777777" w:rsidTr="000F3FF2">
        <w:trPr>
          <w:cnfStyle w:val="000000010000" w:firstRow="0" w:lastRow="0" w:firstColumn="0" w:lastColumn="0" w:oddVBand="0" w:evenVBand="0" w:oddHBand="0" w:evenHBand="1" w:firstRowFirstColumn="0" w:firstRowLastColumn="0" w:lastRowFirstColumn="0" w:lastRowLastColumn="0"/>
        </w:trPr>
        <w:tc>
          <w:tcPr>
            <w:tcW w:w="4505" w:type="dxa"/>
            <w:hideMark/>
          </w:tcPr>
          <w:p w14:paraId="7610CEE6" w14:textId="77777777" w:rsidR="003D18A8" w:rsidRDefault="003D18A8">
            <w:pPr>
              <w:pStyle w:val="NormalWeb"/>
            </w:pPr>
            <w:r>
              <w:t>Tularaemia</w:t>
            </w:r>
          </w:p>
        </w:tc>
        <w:tc>
          <w:tcPr>
            <w:tcW w:w="1024" w:type="dxa"/>
            <w:hideMark/>
          </w:tcPr>
          <w:p w14:paraId="7DDE40DE" w14:textId="77777777" w:rsidR="003D18A8" w:rsidRDefault="003D18A8" w:rsidP="00F72EBC">
            <w:pPr>
              <w:pStyle w:val="NormalWeb"/>
              <w:jc w:val="center"/>
            </w:pPr>
            <w:r>
              <w:t>0</w:t>
            </w:r>
          </w:p>
        </w:tc>
        <w:tc>
          <w:tcPr>
            <w:tcW w:w="857" w:type="dxa"/>
            <w:hideMark/>
          </w:tcPr>
          <w:p w14:paraId="526B7377" w14:textId="77777777" w:rsidR="003D18A8" w:rsidRDefault="003D18A8" w:rsidP="00F72EBC">
            <w:pPr>
              <w:pStyle w:val="NormalWeb"/>
              <w:jc w:val="center"/>
            </w:pPr>
            <w:r>
              <w:t>2</w:t>
            </w:r>
          </w:p>
        </w:tc>
        <w:tc>
          <w:tcPr>
            <w:tcW w:w="1015" w:type="dxa"/>
            <w:hideMark/>
          </w:tcPr>
          <w:p w14:paraId="7F398EF1" w14:textId="77777777" w:rsidR="003D18A8" w:rsidRDefault="003D18A8" w:rsidP="00F72EBC">
            <w:pPr>
              <w:pStyle w:val="NormalWeb"/>
              <w:jc w:val="center"/>
            </w:pPr>
            <w:r>
              <w:t>0</w:t>
            </w:r>
          </w:p>
        </w:tc>
        <w:tc>
          <w:tcPr>
            <w:tcW w:w="1436" w:type="dxa"/>
            <w:hideMark/>
          </w:tcPr>
          <w:p w14:paraId="5E2DB746" w14:textId="77777777" w:rsidR="003D18A8" w:rsidRDefault="003D18A8" w:rsidP="00F72EBC">
            <w:pPr>
              <w:pStyle w:val="NormalWeb"/>
              <w:jc w:val="center"/>
            </w:pPr>
            <w:r>
              <w:t>–</w:t>
            </w:r>
          </w:p>
        </w:tc>
        <w:tc>
          <w:tcPr>
            <w:tcW w:w="1629" w:type="dxa"/>
            <w:hideMark/>
          </w:tcPr>
          <w:p w14:paraId="1ADCDEDC" w14:textId="77777777" w:rsidR="003D18A8" w:rsidRDefault="003D18A8" w:rsidP="00F72EBC">
            <w:pPr>
              <w:pStyle w:val="NormalWeb"/>
              <w:jc w:val="center"/>
            </w:pPr>
            <w:r>
              <w:t>–</w:t>
            </w:r>
          </w:p>
        </w:tc>
      </w:tr>
      <w:tr w:rsidR="009F2B85" w:rsidRPr="009F2B85" w14:paraId="15B6E104" w14:textId="77777777" w:rsidTr="009F2B85">
        <w:tc>
          <w:tcPr>
            <w:tcW w:w="0" w:type="auto"/>
            <w:gridSpan w:val="6"/>
            <w:shd w:val="clear" w:color="auto" w:fill="808080" w:themeFill="background1" w:themeFillShade="80"/>
            <w:hideMark/>
          </w:tcPr>
          <w:p w14:paraId="0D2313AF" w14:textId="77777777" w:rsidR="003D18A8" w:rsidRPr="009F2B85" w:rsidRDefault="003D18A8" w:rsidP="009D7A72">
            <w:pPr>
              <w:pStyle w:val="NormalWeb"/>
              <w:rPr>
                <w:b/>
                <w:color w:val="FFFFFF" w:themeColor="background1"/>
              </w:rPr>
            </w:pPr>
            <w:r w:rsidRPr="009F2B85">
              <w:rPr>
                <w:b/>
                <w:color w:val="FFFFFF" w:themeColor="background1"/>
              </w:rPr>
              <w:t>Other diseases</w:t>
            </w:r>
          </w:p>
        </w:tc>
      </w:tr>
      <w:tr w:rsidR="000F3FF2" w14:paraId="6277712B" w14:textId="77777777" w:rsidTr="000F3FF2">
        <w:trPr>
          <w:cnfStyle w:val="000000010000" w:firstRow="0" w:lastRow="0" w:firstColumn="0" w:lastColumn="0" w:oddVBand="0" w:evenVBand="0" w:oddHBand="0" w:evenHBand="1" w:firstRowFirstColumn="0" w:firstRowLastColumn="0" w:lastRowFirstColumn="0" w:lastRowLastColumn="0"/>
        </w:trPr>
        <w:tc>
          <w:tcPr>
            <w:tcW w:w="4505" w:type="dxa"/>
            <w:hideMark/>
          </w:tcPr>
          <w:p w14:paraId="23E31206" w14:textId="77777777" w:rsidR="003D18A8" w:rsidRDefault="003D18A8">
            <w:pPr>
              <w:pStyle w:val="NormalWeb"/>
            </w:pPr>
            <w:r>
              <w:t>Legionellosis</w:t>
            </w:r>
          </w:p>
        </w:tc>
        <w:tc>
          <w:tcPr>
            <w:tcW w:w="1024" w:type="dxa"/>
            <w:hideMark/>
          </w:tcPr>
          <w:p w14:paraId="5937332A" w14:textId="77777777" w:rsidR="003D18A8" w:rsidRDefault="003D18A8" w:rsidP="00F72EBC">
            <w:pPr>
              <w:pStyle w:val="NormalWeb"/>
              <w:jc w:val="center"/>
            </w:pPr>
            <w:r>
              <w:t>190</w:t>
            </w:r>
          </w:p>
        </w:tc>
        <w:tc>
          <w:tcPr>
            <w:tcW w:w="857" w:type="dxa"/>
            <w:hideMark/>
          </w:tcPr>
          <w:p w14:paraId="35B2BAEF" w14:textId="77777777" w:rsidR="003D18A8" w:rsidRDefault="003D18A8" w:rsidP="00F72EBC">
            <w:pPr>
              <w:pStyle w:val="NormalWeb"/>
              <w:jc w:val="center"/>
            </w:pPr>
            <w:r>
              <w:t>273</w:t>
            </w:r>
          </w:p>
        </w:tc>
        <w:tc>
          <w:tcPr>
            <w:tcW w:w="1015" w:type="dxa"/>
            <w:hideMark/>
          </w:tcPr>
          <w:p w14:paraId="24BA3326" w14:textId="77777777" w:rsidR="003D18A8" w:rsidRDefault="003D18A8" w:rsidP="00F72EBC">
            <w:pPr>
              <w:pStyle w:val="NormalWeb"/>
              <w:jc w:val="center"/>
            </w:pPr>
            <w:r>
              <w:t>195</w:t>
            </w:r>
          </w:p>
        </w:tc>
        <w:tc>
          <w:tcPr>
            <w:tcW w:w="1436" w:type="dxa"/>
            <w:hideMark/>
          </w:tcPr>
          <w:p w14:paraId="164907DB" w14:textId="77777777" w:rsidR="003D18A8" w:rsidRDefault="003D18A8" w:rsidP="00F72EBC">
            <w:pPr>
              <w:pStyle w:val="NormalWeb"/>
              <w:jc w:val="center"/>
            </w:pPr>
            <w:r>
              <w:t>44%</w:t>
            </w:r>
          </w:p>
        </w:tc>
        <w:tc>
          <w:tcPr>
            <w:tcW w:w="1629" w:type="dxa"/>
            <w:hideMark/>
          </w:tcPr>
          <w:p w14:paraId="0ABF283D" w14:textId="77777777" w:rsidR="003D18A8" w:rsidRDefault="003D18A8" w:rsidP="00F72EBC">
            <w:pPr>
              <w:pStyle w:val="NormalWeb"/>
              <w:jc w:val="center"/>
            </w:pPr>
            <w:r>
              <w:t>40%</w:t>
            </w:r>
          </w:p>
        </w:tc>
      </w:tr>
      <w:tr w:rsidR="000162A9" w14:paraId="4F3A49F4" w14:textId="77777777" w:rsidTr="000F3FF2">
        <w:tc>
          <w:tcPr>
            <w:tcW w:w="4505" w:type="dxa"/>
            <w:hideMark/>
          </w:tcPr>
          <w:p w14:paraId="1B3D63A1" w14:textId="77777777" w:rsidR="003D18A8" w:rsidRDefault="003D18A8">
            <w:pPr>
              <w:pStyle w:val="NormalWeb"/>
            </w:pPr>
            <w:r>
              <w:t>Leprosy</w:t>
            </w:r>
          </w:p>
        </w:tc>
        <w:tc>
          <w:tcPr>
            <w:tcW w:w="1024" w:type="dxa"/>
            <w:hideMark/>
          </w:tcPr>
          <w:p w14:paraId="1D23C546" w14:textId="77777777" w:rsidR="003D18A8" w:rsidRDefault="003D18A8" w:rsidP="00F72EBC">
            <w:pPr>
              <w:pStyle w:val="NormalWeb"/>
              <w:jc w:val="center"/>
            </w:pPr>
            <w:r>
              <w:t>4</w:t>
            </w:r>
          </w:p>
        </w:tc>
        <w:tc>
          <w:tcPr>
            <w:tcW w:w="857" w:type="dxa"/>
            <w:hideMark/>
          </w:tcPr>
          <w:p w14:paraId="0053C13C" w14:textId="77777777" w:rsidR="003D18A8" w:rsidRDefault="003D18A8" w:rsidP="00F72EBC">
            <w:pPr>
              <w:pStyle w:val="NormalWeb"/>
              <w:jc w:val="center"/>
            </w:pPr>
            <w:r>
              <w:t>1</w:t>
            </w:r>
          </w:p>
        </w:tc>
        <w:tc>
          <w:tcPr>
            <w:tcW w:w="1015" w:type="dxa"/>
            <w:hideMark/>
          </w:tcPr>
          <w:p w14:paraId="2828D41E" w14:textId="77777777" w:rsidR="003D18A8" w:rsidRDefault="003D18A8" w:rsidP="00F72EBC">
            <w:pPr>
              <w:pStyle w:val="NormalWeb"/>
              <w:jc w:val="center"/>
            </w:pPr>
            <w:r>
              <w:t>4</w:t>
            </w:r>
          </w:p>
        </w:tc>
        <w:tc>
          <w:tcPr>
            <w:tcW w:w="1436" w:type="dxa"/>
            <w:hideMark/>
          </w:tcPr>
          <w:p w14:paraId="415E5B04" w14:textId="77777777" w:rsidR="003D18A8" w:rsidRDefault="003D18A8" w:rsidP="00F72EBC">
            <w:pPr>
              <w:pStyle w:val="NormalWeb"/>
              <w:jc w:val="center"/>
            </w:pPr>
            <w:r>
              <w:t>-75%</w:t>
            </w:r>
          </w:p>
        </w:tc>
        <w:tc>
          <w:tcPr>
            <w:tcW w:w="1629" w:type="dxa"/>
            <w:hideMark/>
          </w:tcPr>
          <w:p w14:paraId="5BD681B1" w14:textId="77777777" w:rsidR="003D18A8" w:rsidRDefault="003D18A8" w:rsidP="00F72EBC">
            <w:pPr>
              <w:pStyle w:val="NormalWeb"/>
              <w:jc w:val="center"/>
            </w:pPr>
            <w:r>
              <w:t>-76%</w:t>
            </w:r>
          </w:p>
        </w:tc>
      </w:tr>
      <w:tr w:rsidR="000F3FF2" w14:paraId="4C0DCF36" w14:textId="77777777" w:rsidTr="000F3FF2">
        <w:trPr>
          <w:cnfStyle w:val="000000010000" w:firstRow="0" w:lastRow="0" w:firstColumn="0" w:lastColumn="0" w:oddVBand="0" w:evenVBand="0" w:oddHBand="0" w:evenHBand="1" w:firstRowFirstColumn="0" w:firstRowLastColumn="0" w:lastRowFirstColumn="0" w:lastRowLastColumn="0"/>
        </w:trPr>
        <w:tc>
          <w:tcPr>
            <w:tcW w:w="4505" w:type="dxa"/>
            <w:hideMark/>
          </w:tcPr>
          <w:p w14:paraId="0A33E9A4" w14:textId="77777777" w:rsidR="003D18A8" w:rsidRDefault="003D18A8">
            <w:pPr>
              <w:pStyle w:val="NormalWeb"/>
            </w:pPr>
            <w:r>
              <w:t>Meningococcal disease (invasive)</w:t>
            </w:r>
          </w:p>
        </w:tc>
        <w:tc>
          <w:tcPr>
            <w:tcW w:w="1024" w:type="dxa"/>
            <w:hideMark/>
          </w:tcPr>
          <w:p w14:paraId="0496DD72" w14:textId="77777777" w:rsidR="003D18A8" w:rsidRDefault="003D18A8" w:rsidP="00F72EBC">
            <w:pPr>
              <w:pStyle w:val="NormalWeb"/>
              <w:jc w:val="center"/>
            </w:pPr>
            <w:r>
              <w:t>89</w:t>
            </w:r>
          </w:p>
        </w:tc>
        <w:tc>
          <w:tcPr>
            <w:tcW w:w="857" w:type="dxa"/>
            <w:hideMark/>
          </w:tcPr>
          <w:p w14:paraId="2ABA1FFA" w14:textId="77777777" w:rsidR="003D18A8" w:rsidRDefault="003D18A8" w:rsidP="00F72EBC">
            <w:pPr>
              <w:pStyle w:val="NormalWeb"/>
              <w:jc w:val="center"/>
            </w:pPr>
            <w:r>
              <w:t>49</w:t>
            </w:r>
          </w:p>
        </w:tc>
        <w:tc>
          <w:tcPr>
            <w:tcW w:w="1015" w:type="dxa"/>
            <w:hideMark/>
          </w:tcPr>
          <w:p w14:paraId="41699130" w14:textId="77777777" w:rsidR="003D18A8" w:rsidRDefault="003D18A8" w:rsidP="00F72EBC">
            <w:pPr>
              <w:pStyle w:val="NormalWeb"/>
              <w:jc w:val="center"/>
            </w:pPr>
            <w:r>
              <w:t>100</w:t>
            </w:r>
          </w:p>
        </w:tc>
        <w:tc>
          <w:tcPr>
            <w:tcW w:w="1436" w:type="dxa"/>
            <w:hideMark/>
          </w:tcPr>
          <w:p w14:paraId="09F3B056" w14:textId="77777777" w:rsidR="003D18A8" w:rsidRDefault="003D18A8" w:rsidP="00F72EBC">
            <w:pPr>
              <w:pStyle w:val="NormalWeb"/>
              <w:jc w:val="center"/>
            </w:pPr>
            <w:r>
              <w:t>-45%</w:t>
            </w:r>
          </w:p>
        </w:tc>
        <w:tc>
          <w:tcPr>
            <w:tcW w:w="1629" w:type="dxa"/>
            <w:hideMark/>
          </w:tcPr>
          <w:p w14:paraId="64C09B2C" w14:textId="77777777" w:rsidR="003D18A8" w:rsidRDefault="003D18A8" w:rsidP="00F72EBC">
            <w:pPr>
              <w:pStyle w:val="NormalWeb"/>
              <w:jc w:val="center"/>
            </w:pPr>
            <w:r>
              <w:t>-51%</w:t>
            </w:r>
          </w:p>
        </w:tc>
      </w:tr>
      <w:tr w:rsidR="000162A9" w14:paraId="55D3CCF3" w14:textId="77777777" w:rsidTr="000F3FF2">
        <w:tc>
          <w:tcPr>
            <w:tcW w:w="4505" w:type="dxa"/>
            <w:hideMark/>
          </w:tcPr>
          <w:p w14:paraId="48D3177E" w14:textId="77777777" w:rsidR="003D18A8" w:rsidRDefault="003D18A8">
            <w:pPr>
              <w:pStyle w:val="NormalWeb"/>
            </w:pPr>
            <w:r>
              <w:t>Tuberculosis</w:t>
            </w:r>
          </w:p>
        </w:tc>
        <w:tc>
          <w:tcPr>
            <w:tcW w:w="1024" w:type="dxa"/>
            <w:hideMark/>
          </w:tcPr>
          <w:p w14:paraId="6539248C" w14:textId="77777777" w:rsidR="003D18A8" w:rsidRDefault="003D18A8" w:rsidP="00F72EBC">
            <w:pPr>
              <w:pStyle w:val="NormalWeb"/>
              <w:jc w:val="center"/>
            </w:pPr>
            <w:r>
              <w:t>710</w:t>
            </w:r>
          </w:p>
        </w:tc>
        <w:tc>
          <w:tcPr>
            <w:tcW w:w="857" w:type="dxa"/>
            <w:hideMark/>
          </w:tcPr>
          <w:p w14:paraId="5C3BFEA7" w14:textId="77777777" w:rsidR="003D18A8" w:rsidRDefault="003D18A8" w:rsidP="00F72EBC">
            <w:pPr>
              <w:pStyle w:val="NormalWeb"/>
              <w:jc w:val="center"/>
            </w:pPr>
            <w:r>
              <w:t>721</w:t>
            </w:r>
          </w:p>
        </w:tc>
        <w:tc>
          <w:tcPr>
            <w:tcW w:w="1015" w:type="dxa"/>
            <w:hideMark/>
          </w:tcPr>
          <w:p w14:paraId="04A526D0" w14:textId="77777777" w:rsidR="003D18A8" w:rsidRDefault="003D18A8" w:rsidP="00F72EBC">
            <w:pPr>
              <w:pStyle w:val="NormalWeb"/>
              <w:jc w:val="center"/>
            </w:pPr>
            <w:r>
              <w:t>646</w:t>
            </w:r>
          </w:p>
        </w:tc>
        <w:tc>
          <w:tcPr>
            <w:tcW w:w="1436" w:type="dxa"/>
            <w:hideMark/>
          </w:tcPr>
          <w:p w14:paraId="4ECE9A61" w14:textId="77777777" w:rsidR="003D18A8" w:rsidRDefault="003D18A8" w:rsidP="00F72EBC">
            <w:pPr>
              <w:pStyle w:val="NormalWeb"/>
              <w:jc w:val="center"/>
            </w:pPr>
            <w:r>
              <w:t>2%</w:t>
            </w:r>
          </w:p>
        </w:tc>
        <w:tc>
          <w:tcPr>
            <w:tcW w:w="1629" w:type="dxa"/>
            <w:hideMark/>
          </w:tcPr>
          <w:p w14:paraId="67056A81" w14:textId="77777777" w:rsidR="003D18A8" w:rsidRDefault="003D18A8" w:rsidP="00F72EBC">
            <w:pPr>
              <w:pStyle w:val="NormalWeb"/>
              <w:jc w:val="center"/>
            </w:pPr>
            <w:r>
              <w:t>12%</w:t>
            </w:r>
          </w:p>
        </w:tc>
      </w:tr>
      <w:tr w:rsidR="000162A9" w:rsidRPr="006E55D6" w14:paraId="6FEDC00D" w14:textId="77777777" w:rsidTr="000F3FF2">
        <w:trPr>
          <w:cnfStyle w:val="000000010000" w:firstRow="0" w:lastRow="0" w:firstColumn="0" w:lastColumn="0" w:oddVBand="0" w:evenVBand="0" w:oddHBand="0" w:evenHBand="1" w:firstRowFirstColumn="0" w:firstRowLastColumn="0" w:lastRowFirstColumn="0" w:lastRowLastColumn="0"/>
        </w:trPr>
        <w:tc>
          <w:tcPr>
            <w:tcW w:w="4505" w:type="dxa"/>
            <w:shd w:val="clear" w:color="auto" w:fill="FDE9D9" w:themeFill="accent6" w:themeFillTint="33"/>
            <w:hideMark/>
          </w:tcPr>
          <w:p w14:paraId="396A6A4F" w14:textId="77777777" w:rsidR="003D18A8" w:rsidRPr="006E55D6" w:rsidRDefault="003D18A8">
            <w:pPr>
              <w:pStyle w:val="NormalWeb"/>
              <w:rPr>
                <w:b/>
              </w:rPr>
            </w:pPr>
            <w:r w:rsidRPr="006E55D6">
              <w:rPr>
                <w:b/>
              </w:rPr>
              <w:t>Total</w:t>
            </w:r>
          </w:p>
        </w:tc>
        <w:tc>
          <w:tcPr>
            <w:tcW w:w="1024" w:type="dxa"/>
            <w:shd w:val="clear" w:color="auto" w:fill="FDE9D9" w:themeFill="accent6" w:themeFillTint="33"/>
            <w:hideMark/>
          </w:tcPr>
          <w:p w14:paraId="427D1EFB" w14:textId="77777777" w:rsidR="003D18A8" w:rsidRPr="006E55D6" w:rsidRDefault="003D18A8" w:rsidP="00F72EBC">
            <w:pPr>
              <w:pStyle w:val="NormalWeb"/>
              <w:jc w:val="center"/>
              <w:rPr>
                <w:b/>
              </w:rPr>
            </w:pPr>
            <w:r w:rsidRPr="006E55D6">
              <w:rPr>
                <w:b/>
              </w:rPr>
              <w:t>273,782</w:t>
            </w:r>
          </w:p>
        </w:tc>
        <w:tc>
          <w:tcPr>
            <w:tcW w:w="857" w:type="dxa"/>
            <w:shd w:val="clear" w:color="auto" w:fill="FDE9D9" w:themeFill="accent6" w:themeFillTint="33"/>
            <w:hideMark/>
          </w:tcPr>
          <w:p w14:paraId="551A6B8F" w14:textId="77777777" w:rsidR="003D18A8" w:rsidRPr="006E55D6" w:rsidRDefault="003D18A8" w:rsidP="00F72EBC">
            <w:pPr>
              <w:pStyle w:val="NormalWeb"/>
              <w:jc w:val="center"/>
              <w:rPr>
                <w:b/>
              </w:rPr>
            </w:pPr>
            <w:r w:rsidRPr="006E55D6">
              <w:rPr>
                <w:b/>
              </w:rPr>
              <w:t>137,449</w:t>
            </w:r>
          </w:p>
        </w:tc>
        <w:tc>
          <w:tcPr>
            <w:tcW w:w="1015" w:type="dxa"/>
            <w:shd w:val="clear" w:color="auto" w:fill="FDE9D9" w:themeFill="accent6" w:themeFillTint="33"/>
            <w:hideMark/>
          </w:tcPr>
          <w:p w14:paraId="719D27C2" w14:textId="77777777" w:rsidR="003D18A8" w:rsidRPr="006E55D6" w:rsidRDefault="003D18A8" w:rsidP="00F72EBC">
            <w:pPr>
              <w:pStyle w:val="NormalWeb"/>
              <w:jc w:val="center"/>
              <w:rPr>
                <w:b/>
              </w:rPr>
            </w:pPr>
            <w:r w:rsidRPr="006E55D6">
              <w:rPr>
                <w:b/>
              </w:rPr>
              <w:t>172,617</w:t>
            </w:r>
          </w:p>
        </w:tc>
        <w:tc>
          <w:tcPr>
            <w:tcW w:w="1436" w:type="dxa"/>
            <w:shd w:val="clear" w:color="auto" w:fill="FDE9D9" w:themeFill="accent6" w:themeFillTint="33"/>
            <w:hideMark/>
          </w:tcPr>
          <w:p w14:paraId="350B4360" w14:textId="77777777" w:rsidR="003D18A8" w:rsidRPr="006E55D6" w:rsidRDefault="003D18A8" w:rsidP="00F72EBC">
            <w:pPr>
              <w:pStyle w:val="NormalWeb"/>
              <w:jc w:val="center"/>
              <w:rPr>
                <w:b/>
              </w:rPr>
            </w:pPr>
            <w:r w:rsidRPr="006E55D6">
              <w:rPr>
                <w:b/>
              </w:rPr>
              <w:t>-50%</w:t>
            </w:r>
          </w:p>
        </w:tc>
        <w:tc>
          <w:tcPr>
            <w:tcW w:w="1629" w:type="dxa"/>
            <w:shd w:val="clear" w:color="auto" w:fill="FDE9D9" w:themeFill="accent6" w:themeFillTint="33"/>
            <w:hideMark/>
          </w:tcPr>
          <w:p w14:paraId="0C248422" w14:textId="77777777" w:rsidR="003D18A8" w:rsidRPr="006E55D6" w:rsidRDefault="003D18A8" w:rsidP="00F72EBC">
            <w:pPr>
              <w:pStyle w:val="NormalWeb"/>
              <w:jc w:val="center"/>
              <w:rPr>
                <w:b/>
              </w:rPr>
            </w:pPr>
            <w:r w:rsidRPr="006E55D6">
              <w:rPr>
                <w:b/>
              </w:rPr>
              <w:t>-20%</w:t>
            </w:r>
          </w:p>
        </w:tc>
      </w:tr>
    </w:tbl>
    <w:p w14:paraId="0EED994E" w14:textId="77777777" w:rsidR="003D18A8" w:rsidRDefault="003D18A8" w:rsidP="00A51610">
      <w:pPr>
        <w:pStyle w:val="CDIfootnotes"/>
      </w:pPr>
      <w:r>
        <w:t>a</w:t>
      </w:r>
      <w:r>
        <w:tab/>
        <w:t>COVID-19 and diseases with no notifications during the reporting period are excluded.</w:t>
      </w:r>
    </w:p>
    <w:p w14:paraId="4C1EEC13" w14:textId="77777777" w:rsidR="003D18A8" w:rsidRDefault="003D18A8" w:rsidP="00A51610">
      <w:pPr>
        <w:pStyle w:val="CDIfootnotes"/>
      </w:pPr>
      <w:r>
        <w:t>b</w:t>
      </w:r>
      <w:r>
        <w:tab/>
        <w:t>NSW commenced reporting of campylobacteriosis in April 2017.</w:t>
      </w:r>
    </w:p>
    <w:p w14:paraId="59536B38" w14:textId="77777777" w:rsidR="004B7B04" w:rsidRDefault="004B7B04">
      <w:pPr>
        <w:rPr>
          <w:rFonts w:asciiTheme="majorHAnsi" w:eastAsiaTheme="majorEastAsia" w:hAnsiTheme="majorHAnsi" w:cstheme="majorBidi"/>
          <w:b/>
          <w:bCs/>
          <w:sz w:val="32"/>
          <w:szCs w:val="28"/>
        </w:rPr>
      </w:pPr>
      <w:r>
        <w:br w:type="page"/>
      </w:r>
    </w:p>
    <w:p w14:paraId="704526C5" w14:textId="77777777" w:rsidR="003D18A8" w:rsidRPr="00A51610" w:rsidRDefault="003D18A8" w:rsidP="00A51610">
      <w:pPr>
        <w:pStyle w:val="Heading1"/>
      </w:pPr>
      <w:r w:rsidRPr="00A51610">
        <w:lastRenderedPageBreak/>
        <w:t xml:space="preserve">Social diseases </w:t>
      </w:r>
    </w:p>
    <w:p w14:paraId="27ED5532" w14:textId="77777777" w:rsidR="003D18A8" w:rsidRPr="00A51610" w:rsidRDefault="003D18A8" w:rsidP="00A51610">
      <w:pPr>
        <w:pStyle w:val="Heading2"/>
      </w:pPr>
      <w:r w:rsidRPr="00A51610">
        <w:t xml:space="preserve">Influenza </w:t>
      </w:r>
    </w:p>
    <w:p w14:paraId="56EA1BEE" w14:textId="77777777" w:rsidR="003D18A8" w:rsidRDefault="003D18A8" w:rsidP="00A51610">
      <w:r>
        <w:t>In the first half of 2020, overall notifications of laboratory-confirmed influenza (n = 20,794) have been lower compared with the 5-year average (n = 39,467) (Table 1). Between January and February, notifications of laboratory-confirmed influenza displayed a similar trend to that seen in 2019. However, from March 2020 notifications declined substantially, aligning with the implementation of a number of national COVID-19-related public health measures, including physical distancing (Figure 1).</w:t>
      </w:r>
    </w:p>
    <w:p w14:paraId="6E3E5F36" w14:textId="77777777" w:rsidR="003D18A8" w:rsidRDefault="003D18A8" w:rsidP="00A51610">
      <w:pPr>
        <w:pStyle w:val="CDIFigures"/>
      </w:pPr>
      <w:r>
        <w:t>Figure 1: Laboratory-confirmed influenza notifications by year, month, and 5-year average, 1 January to 30 June, 2015-2020</w:t>
      </w:r>
    </w:p>
    <w:p w14:paraId="69D78E14" w14:textId="77777777" w:rsidR="003D18A8" w:rsidRDefault="003D18A8">
      <w:pPr>
        <w:pStyle w:val="NormalWeb"/>
      </w:pPr>
      <w:r>
        <w:rPr>
          <w:noProof/>
        </w:rPr>
        <w:drawing>
          <wp:inline distT="0" distB="0" distL="0" distR="0" wp14:anchorId="312FE14A" wp14:editId="6AF329C2">
            <wp:extent cx="6552526" cy="4352026"/>
            <wp:effectExtent l="0" t="0" r="1270" b="0"/>
            <wp:docPr id="9" name="Picture 9" descr="Compares laboratory-confirmed influenza notifications in January, February, March April, May and June in 2015, 2016, 2017, 2018, 2019 and 2020. Notifications lower in 2020 in compariso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pares laboratory-confirmed influenza notifications in January, February, March April, May and June in 2015, 2016, 2017, 2018, 2019 and 2020. Notifications lower in 2020 in comparison. &#10;"/>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568850" cy="4362868"/>
                    </a:xfrm>
                    <a:prstGeom prst="rect">
                      <a:avLst/>
                    </a:prstGeom>
                  </pic:spPr>
                </pic:pic>
              </a:graphicData>
            </a:graphic>
          </wp:inline>
        </w:drawing>
      </w:r>
    </w:p>
    <w:p w14:paraId="0D729206" w14:textId="77777777" w:rsidR="003D18A8" w:rsidRDefault="003D18A8" w:rsidP="00A51610">
      <w:r>
        <w:t>Notifications of laboratory-confirmed influenza have remained at exceptionally low levels in May and June. For the year to date (1 January to 28 June 2020)</w:t>
      </w:r>
      <w:r w:rsidR="004B41DD">
        <w:rPr>
          <w:rStyle w:val="FootnoteReference"/>
        </w:rPr>
        <w:footnoteReference w:id="2"/>
      </w:r>
      <w:r>
        <w:t xml:space="preserve">, data on testing from the influenza sentinel laboratory surveillance system shows there have been 197,222 tests conducted for influenza, of which 1% (n = 1,968) have been positive for influenza. Influenza tests performed in 2020 were more than double the number performed over the same period in 2019 (n = 74,862), with 21% (n = 15,387) of those tests positive for influenza. </w:t>
      </w:r>
    </w:p>
    <w:p w14:paraId="7F58B436" w14:textId="77777777" w:rsidR="003D18A8" w:rsidRDefault="003D18A8" w:rsidP="00A51610">
      <w:r>
        <w:t>Comprehensive analyses on influenza for 2020 are published fortnightly in the Australian Influenza Surveillance Reports – 2020 Influenza Season in Australia.</w:t>
      </w:r>
      <w:r>
        <w:rPr>
          <w:vertAlign w:val="superscript"/>
        </w:rPr>
        <w:t xml:space="preserve">4 </w:t>
      </w:r>
    </w:p>
    <w:p w14:paraId="09067920" w14:textId="77777777" w:rsidR="003D18A8" w:rsidRPr="00A51610" w:rsidRDefault="003D18A8" w:rsidP="00A51610">
      <w:pPr>
        <w:pStyle w:val="Heading2"/>
      </w:pPr>
      <w:r w:rsidRPr="00A51610">
        <w:lastRenderedPageBreak/>
        <w:t xml:space="preserve">Invasive meningococcal disease (IMD) </w:t>
      </w:r>
    </w:p>
    <w:p w14:paraId="58617DB1" w14:textId="77777777" w:rsidR="003D18A8" w:rsidRDefault="003D18A8" w:rsidP="00A51610">
      <w:r>
        <w:t>There were 49 notifications of IMD reported between 1 January and 30 June 2020, 45% lower than in the same period in 2019 (n = 89) and 51% lower than the 5-year average (n = 100) (Table 1). Since March 2020, IMD notifications have been consistently lower than notifications in the corresponding month for each of the previous 5 years (Table 1, Figure 2).</w:t>
      </w:r>
    </w:p>
    <w:p w14:paraId="2F1FCA91" w14:textId="77777777" w:rsidR="004B7B04" w:rsidRDefault="004B7B04"/>
    <w:p w14:paraId="71AAD94A" w14:textId="77777777" w:rsidR="003D18A8" w:rsidRDefault="003D18A8" w:rsidP="00A51610">
      <w:pPr>
        <w:pStyle w:val="CDIFigures"/>
      </w:pPr>
      <w:r>
        <w:t>Figure 2: IMD notifications by year, month, and 5-year average, 1 January to 30 June, 2015–2020</w:t>
      </w:r>
    </w:p>
    <w:p w14:paraId="425EEA10" w14:textId="77777777" w:rsidR="003D18A8" w:rsidRDefault="003D18A8">
      <w:pPr>
        <w:pStyle w:val="NormalWeb"/>
      </w:pPr>
      <w:r>
        <w:rPr>
          <w:noProof/>
        </w:rPr>
        <w:drawing>
          <wp:inline distT="0" distB="0" distL="0" distR="0" wp14:anchorId="14E2AD5A" wp14:editId="3723940B">
            <wp:extent cx="6674602" cy="4427508"/>
            <wp:effectExtent l="0" t="0" r="0" b="0"/>
            <wp:docPr id="2" name="Picture 2" descr="Compares invasive meningococcal disease notifications in January, February, March April, May and June in 2015, 2016, 2017, 2018, 2019 and 2020. Notifications lower in 2020 in comparis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mpares invasive meningococcal disease notifications in January, February, March April, May and June in 2015, 2016, 2017, 2018, 2019 and 2020. Notifications lower in 2020 in comparison. "/>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79951" cy="4431056"/>
                    </a:xfrm>
                    <a:prstGeom prst="rect">
                      <a:avLst/>
                    </a:prstGeom>
                  </pic:spPr>
                </pic:pic>
              </a:graphicData>
            </a:graphic>
          </wp:inline>
        </w:drawing>
      </w:r>
    </w:p>
    <w:p w14:paraId="4E463D28" w14:textId="77777777" w:rsidR="004B7B04" w:rsidRDefault="004B7B04">
      <w:pPr>
        <w:rPr>
          <w:rFonts w:asciiTheme="majorHAnsi" w:eastAsia="Times New Roman" w:hAnsiTheme="majorHAnsi" w:cstheme="majorBidi"/>
          <w:b/>
          <w:bCs/>
          <w:sz w:val="26"/>
          <w:szCs w:val="26"/>
        </w:rPr>
      </w:pPr>
      <w:r>
        <w:rPr>
          <w:rFonts w:eastAsia="Times New Roman"/>
        </w:rPr>
        <w:br w:type="page"/>
      </w:r>
    </w:p>
    <w:p w14:paraId="77A4FD19" w14:textId="77777777" w:rsidR="003D18A8" w:rsidRDefault="003D18A8">
      <w:pPr>
        <w:pStyle w:val="Heading2"/>
        <w:rPr>
          <w:rFonts w:eastAsia="Times New Roman"/>
        </w:rPr>
      </w:pPr>
      <w:r>
        <w:rPr>
          <w:rFonts w:eastAsia="Times New Roman"/>
        </w:rPr>
        <w:lastRenderedPageBreak/>
        <w:t xml:space="preserve">Chlamydia </w:t>
      </w:r>
    </w:p>
    <w:p w14:paraId="0F8E928F" w14:textId="77777777" w:rsidR="003D18A8" w:rsidRDefault="003D18A8" w:rsidP="00A51610">
      <w:r>
        <w:t>There were 31% fewer notifications of chlamydia reported between 1 January and 30 June 2020 (n = 37,582) than were reported in the same period in 2019 (n = 54,485), and 26% fewer cases than the 5-year average for the same period (n = 50,811) (Table 1, Figure 3). It is important to note that there will be fluctuations in sexually transmissible infection (STI) notifications over time which may reflect changes in screening programs, the use of less invasive and more sensitive diagnostic tests, and periodic public awareness campaigns, rather than changes in overall prevalence.</w:t>
      </w:r>
    </w:p>
    <w:p w14:paraId="6B992FC5" w14:textId="77777777" w:rsidR="003D18A8" w:rsidRDefault="003D18A8" w:rsidP="00A51610">
      <w:pPr>
        <w:pStyle w:val="CDIFigures"/>
      </w:pPr>
      <w:r>
        <w:t>Figure 3: Chlamydia notifications by year, month, and 5-year average, 1 January to 30 June, 2015–2020</w:t>
      </w:r>
    </w:p>
    <w:p w14:paraId="6ECA7EC4" w14:textId="77777777" w:rsidR="003D18A8" w:rsidRDefault="003D18A8">
      <w:pPr>
        <w:pStyle w:val="NormalWeb"/>
      </w:pPr>
      <w:r>
        <w:rPr>
          <w:noProof/>
        </w:rPr>
        <w:drawing>
          <wp:inline distT="0" distB="0" distL="0" distR="0" wp14:anchorId="57210486" wp14:editId="300B28A8">
            <wp:extent cx="6629400" cy="4326974"/>
            <wp:effectExtent l="0" t="0" r="0" b="0"/>
            <wp:docPr id="3" name="Picture 3" descr="Compares chlamydia notifications in January, February, March April, May and June in 2015, 2016, 2017, 2018, 2019 and 2020. Notifications lower in 2020 in comparis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mpares chlamydia notifications in January, February, March April, May and June in 2015, 2016, 2017, 2018, 2019 and 2020. Notifications lower in 2020 in comparison. "/>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632657" cy="4329100"/>
                    </a:xfrm>
                    <a:prstGeom prst="rect">
                      <a:avLst/>
                    </a:prstGeom>
                  </pic:spPr>
                </pic:pic>
              </a:graphicData>
            </a:graphic>
          </wp:inline>
        </w:drawing>
      </w:r>
    </w:p>
    <w:p w14:paraId="696E1C1D" w14:textId="77777777" w:rsidR="003D18A8" w:rsidRDefault="003D18A8" w:rsidP="00A51610">
      <w:r>
        <w:t>The average number of MBS-subsidised tests performed each month to diagnose chlamydia is approximately 121,000. Following the commencement of COVID-19-related public health measures, the number of MBS-subsidised tests declined, from 134,105 tests in March 2020 to 85,567 tests in April 2020, coinciding with the lowest number of cases reported in the first half of 2020. In May 2020</w:t>
      </w:r>
      <w:r w:rsidR="002C7DAF">
        <w:rPr>
          <w:rStyle w:val="FootnoteReference"/>
        </w:rPr>
        <w:footnoteReference w:id="3"/>
      </w:r>
      <w:r>
        <w:t xml:space="preserve">, the number of tests increased by 17% (n = 100,047) from April but was still well below the expected number of monthly tests. Positivity for chlamydia remained stable between March and May at 5%, slightly less than the average (7%). It will be important to monitor these testing trends as new data becomes available. </w:t>
      </w:r>
    </w:p>
    <w:p w14:paraId="40396891" w14:textId="77777777" w:rsidR="004B7B04" w:rsidRDefault="004B7B04">
      <w:pPr>
        <w:rPr>
          <w:rFonts w:asciiTheme="majorHAnsi" w:eastAsiaTheme="majorEastAsia" w:hAnsiTheme="majorHAnsi" w:cstheme="majorBidi"/>
          <w:b/>
          <w:bCs/>
          <w:sz w:val="26"/>
          <w:szCs w:val="26"/>
        </w:rPr>
      </w:pPr>
      <w:r>
        <w:br w:type="page"/>
      </w:r>
    </w:p>
    <w:p w14:paraId="756D48F5" w14:textId="77777777" w:rsidR="003D18A8" w:rsidRPr="00A51610" w:rsidRDefault="003D18A8" w:rsidP="00A51610">
      <w:pPr>
        <w:pStyle w:val="Heading2"/>
      </w:pPr>
      <w:r w:rsidRPr="00A51610">
        <w:lastRenderedPageBreak/>
        <w:t xml:space="preserve">Infectious syphilis </w:t>
      </w:r>
    </w:p>
    <w:p w14:paraId="7C94C760" w14:textId="77777777" w:rsidR="003D18A8" w:rsidRDefault="003D18A8" w:rsidP="00A51610">
      <w:r>
        <w:t>Overall, there were 21% fewer notifications notified between 1 January and 30 June 2020 (n = 2,296) than in the same period in 2019 (n = 2,900). Compared to the 5-year average (n = 2,079), notifications in 2020 were slightly higher (Table 1, Figure 4).</w:t>
      </w:r>
    </w:p>
    <w:p w14:paraId="72B1AF20" w14:textId="77777777" w:rsidR="003D18A8" w:rsidRDefault="003D18A8" w:rsidP="00A51610">
      <w:pPr>
        <w:pStyle w:val="CDIFigures"/>
      </w:pPr>
      <w:r>
        <w:t>Figure 4: Infectious syphilis notifications by year, month, and 5-year average, 1 January to 30 June, 2015–2020</w:t>
      </w:r>
    </w:p>
    <w:p w14:paraId="25984534" w14:textId="77777777" w:rsidR="003D18A8" w:rsidRDefault="003D18A8">
      <w:pPr>
        <w:pStyle w:val="NormalWeb"/>
      </w:pPr>
      <w:r>
        <w:rPr>
          <w:noProof/>
        </w:rPr>
        <w:drawing>
          <wp:inline distT="0" distB="0" distL="0" distR="0" wp14:anchorId="28B776AD" wp14:editId="1D466130">
            <wp:extent cx="6629400" cy="4349098"/>
            <wp:effectExtent l="0" t="0" r="0" b="0"/>
            <wp:docPr id="4" name="Picture 4" descr="Compares infectious syphilis notifications in January, February, March April, May and June in 2015, 2016, 2017, 2018, 2019 and 2020. Notifications lower in 2020 in compariso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mpares infectious syphilis notifications in January, February, March April, May and June in 2015, 2016, 2017, 2018, 2019 and 2020. Notifications lower in 2020 in comparison. &#10;"/>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638444" cy="4355031"/>
                    </a:xfrm>
                    <a:prstGeom prst="rect">
                      <a:avLst/>
                    </a:prstGeom>
                  </pic:spPr>
                </pic:pic>
              </a:graphicData>
            </a:graphic>
          </wp:inline>
        </w:drawing>
      </w:r>
    </w:p>
    <w:p w14:paraId="5DA3A8FE" w14:textId="77777777" w:rsidR="003D18A8" w:rsidRDefault="003D18A8" w:rsidP="00A51610">
      <w:r>
        <w:t>In 2019, the ongoing outbreak in Aboriginal and Torres Strait Islander peoples,</w:t>
      </w:r>
      <w:r w:rsidR="00B52619">
        <w:rPr>
          <w:rStyle w:val="FootnoteReference"/>
        </w:rPr>
        <w:footnoteReference w:id="4"/>
      </w:r>
      <w:r>
        <w:t xml:space="preserve"> rapid increases in notifications in non-Indigenous heterosexual women, and sustained high rates of infectious syphilis in men who have sex with men, all contributed to the highest number of reported cases to the NNDSS since infectious syphilis first became nationally notifiable in 2004.</w:t>
      </w:r>
      <w:r w:rsidR="00607842">
        <w:rPr>
          <w:rStyle w:val="FootnoteReference"/>
        </w:rPr>
        <w:footnoteReference w:id="5"/>
      </w:r>
      <w:r>
        <w:t xml:space="preserve"> By Indigenous status, there were 18% fewer notifications among Aboriginal and Torres Strait Islander peoples in the first half of 2020 (n = 385) than in the same period in 2019 (n = 467). In non-Indigenous people, notifications reported between 1 January and 30 June declined by 27% between 2020 (n = 1,788) and 2019 (n = 2,433). When compared to the 5-year average, notifications in Aboriginal and Torres Strait Islander peoples and non-Indigenous people increased in 2020 by 11% and 2% respectively. As with chlamydia, there will be fluctuations over time in STI notifications as a result of screening programs, testing, and public awareness. Population-level syphilis testing data are not currently available; therefore, exploration of testing trends and inferences of health-seeking behaviours during the first six months of 2020 cannot be reported. However, as noted for other diseases </w:t>
      </w:r>
      <w:r>
        <w:lastRenderedPageBreak/>
        <w:t xml:space="preserve">where testing data are available, some changes in testing and health-seeking behaviours as a result of COVID-19 would be expected. </w:t>
      </w:r>
    </w:p>
    <w:p w14:paraId="6A96EE97" w14:textId="77777777" w:rsidR="003D18A8" w:rsidRDefault="003D18A8" w:rsidP="00A51610">
      <w:r>
        <w:t xml:space="preserve">Despite declines in infectious syphilis notifications in the first 6 months of 2020, the number of congenital syphilis cases reported over the same period (n = 9) was the highest number reported since 2006. Given the 9 month gestation lead time to a congenital syphilis notification, it is unlikely that public health measures such as physical distancing would have an immediate impact on congenital syphilis notifications. The increase in congenital syphilis notifications in 2020 is likely a reflection of sustained high rates reported in preceding years. </w:t>
      </w:r>
    </w:p>
    <w:p w14:paraId="3B4BFA49" w14:textId="77777777" w:rsidR="003D18A8" w:rsidRPr="00A51610" w:rsidRDefault="003D18A8" w:rsidP="00A51610">
      <w:pPr>
        <w:pStyle w:val="Heading2"/>
      </w:pPr>
      <w:r w:rsidRPr="00A51610">
        <w:t xml:space="preserve">Rotavirus </w:t>
      </w:r>
    </w:p>
    <w:p w14:paraId="6CCD9DC8" w14:textId="77777777" w:rsidR="003D18A8" w:rsidRDefault="003D18A8" w:rsidP="00A51610">
      <w:r>
        <w:t>Overall, there were 18% fewer rotavirus notifications between 1 January and 30 June 2020 (n = 1,101) than in the same period in 2019 (n = 1,347), and 27% fewer than the 5-year average (n = 1,508) (Table 1, Figure 5).</w:t>
      </w:r>
    </w:p>
    <w:p w14:paraId="272AE4A3" w14:textId="77777777" w:rsidR="003D18A8" w:rsidRDefault="003D18A8" w:rsidP="00A51610">
      <w:pPr>
        <w:pStyle w:val="CDIFigures"/>
      </w:pPr>
      <w:r>
        <w:t>Figure 5: Rotavirus notifications by year, month, and 5-year average, 1 January to 30 June, 2015–2020</w:t>
      </w:r>
    </w:p>
    <w:p w14:paraId="3392191B" w14:textId="77777777" w:rsidR="003D18A8" w:rsidRDefault="003D18A8">
      <w:pPr>
        <w:pStyle w:val="NormalWeb"/>
      </w:pPr>
      <w:r>
        <w:rPr>
          <w:noProof/>
        </w:rPr>
        <w:drawing>
          <wp:inline distT="0" distB="0" distL="0" distR="0" wp14:anchorId="21509734" wp14:editId="1CD7C8FD">
            <wp:extent cx="6643135" cy="4328304"/>
            <wp:effectExtent l="0" t="0" r="5715" b="0"/>
            <wp:docPr id="5" name="Picture 5" descr="Compares rotavirus notifications in January, February, March April, May and June in 2015, 2016, 2017, 2018, 2019 and 2020. Notifications lower in 2020 in comparis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mpares rotavirus notifications in January, February, March April, May and June in 2015, 2016, 2017, 2018, 2019 and 2020. Notifications lower in 2020 in comparison. "/>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649522" cy="4332466"/>
                    </a:xfrm>
                    <a:prstGeom prst="rect">
                      <a:avLst/>
                    </a:prstGeom>
                  </pic:spPr>
                </pic:pic>
              </a:graphicData>
            </a:graphic>
          </wp:inline>
        </w:drawing>
      </w:r>
    </w:p>
    <w:p w14:paraId="06D9FD20" w14:textId="77777777" w:rsidR="003D18A8" w:rsidRDefault="003D18A8" w:rsidP="00A51610">
      <w:r>
        <w:t xml:space="preserve">The vast majority of notified rotavirus cases are in children aged less than 5 years. Although early childhood centres and schools were not recommended to be closed as part of the COVID-19 public health measures, reductions in the attendance of these facilities during this period is likely to have contributed to a declined of rotavirus transmission. </w:t>
      </w:r>
    </w:p>
    <w:p w14:paraId="73D05FB5" w14:textId="77777777" w:rsidR="004B7B04" w:rsidRDefault="004B7B04">
      <w:pPr>
        <w:rPr>
          <w:rFonts w:asciiTheme="majorHAnsi" w:eastAsiaTheme="majorEastAsia" w:hAnsiTheme="majorHAnsi" w:cstheme="majorBidi"/>
          <w:b/>
          <w:bCs/>
          <w:sz w:val="32"/>
          <w:szCs w:val="28"/>
        </w:rPr>
      </w:pPr>
      <w:r>
        <w:br w:type="page"/>
      </w:r>
    </w:p>
    <w:p w14:paraId="1BF48D9B" w14:textId="77777777" w:rsidR="003D18A8" w:rsidRPr="00A51610" w:rsidRDefault="003D18A8" w:rsidP="00A51610">
      <w:pPr>
        <w:pStyle w:val="Heading1"/>
      </w:pPr>
      <w:r w:rsidRPr="00A51610">
        <w:lastRenderedPageBreak/>
        <w:t xml:space="preserve">Imported diseases </w:t>
      </w:r>
    </w:p>
    <w:p w14:paraId="0FE927B0" w14:textId="77777777" w:rsidR="003D18A8" w:rsidRPr="00A51610" w:rsidRDefault="003D18A8" w:rsidP="00A51610">
      <w:pPr>
        <w:pStyle w:val="Heading2"/>
      </w:pPr>
      <w:r w:rsidRPr="00A51610">
        <w:t xml:space="preserve">Measles </w:t>
      </w:r>
    </w:p>
    <w:p w14:paraId="7EA43D23" w14:textId="77777777" w:rsidR="003D18A8" w:rsidRDefault="003D18A8" w:rsidP="00A51610">
      <w:r>
        <w:t>Measles notifications have substantially decreased in the first 6 months of 2020, with no cases notified since February 2020. Between 1 January and 30 June 2020, 25 cases of measles were notified to the NNDSS, 81% lower than for the same period in 2019 (n = 130) and 63% lower than the 5 year average (n = 67) (Table 1, Figure 6).</w:t>
      </w:r>
    </w:p>
    <w:p w14:paraId="7DCA5C60" w14:textId="77777777" w:rsidR="003D18A8" w:rsidRDefault="003D18A8" w:rsidP="00A51610">
      <w:pPr>
        <w:pStyle w:val="CDIFigures"/>
      </w:pPr>
      <w:r>
        <w:t>Figure 6: Measles notifications by year, month, and 5-year average, 1 January to 30 June, 2015–2020</w:t>
      </w:r>
    </w:p>
    <w:p w14:paraId="5746C808" w14:textId="77777777" w:rsidR="003D18A8" w:rsidRDefault="003D18A8">
      <w:pPr>
        <w:pStyle w:val="NormalWeb"/>
      </w:pPr>
      <w:r>
        <w:rPr>
          <w:noProof/>
        </w:rPr>
        <w:drawing>
          <wp:inline distT="0" distB="0" distL="0" distR="0" wp14:anchorId="2BC55CE4" wp14:editId="04D28F80">
            <wp:extent cx="6631349" cy="4427508"/>
            <wp:effectExtent l="0" t="0" r="0" b="0"/>
            <wp:docPr id="6" name="Picture 6" descr="Compares measles notifications in January, February, March April, May and June in 2015, 2016, 2017, 2018, 2019 and 2020.  Notifications lower in 2020 in comparison. No cases reported in March, April, May and June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mpares measles notifications in January, February, March April, May and June in 2015, 2016, 2017, 2018, 2019 and 2020.  Notifications lower in 2020 in comparison. No cases reported in March, April, May and June 2020."/>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6634685" cy="4429735"/>
                    </a:xfrm>
                    <a:prstGeom prst="rect">
                      <a:avLst/>
                    </a:prstGeom>
                  </pic:spPr>
                </pic:pic>
              </a:graphicData>
            </a:graphic>
          </wp:inline>
        </w:drawing>
      </w:r>
    </w:p>
    <w:p w14:paraId="5174D02B" w14:textId="77777777" w:rsidR="003D18A8" w:rsidRDefault="003D18A8" w:rsidP="004A0772">
      <w:pPr>
        <w:pStyle w:val="NormalWeb"/>
      </w:pPr>
      <w:r>
        <w:t xml:space="preserve"> As Australia achieved endemic measles elimination in 2014, international travel restrictions as part of the COVID-19-related public health measures have likely reduced the number of measles importations occurring in Australia. </w:t>
      </w:r>
    </w:p>
    <w:p w14:paraId="0962E5BB" w14:textId="77777777" w:rsidR="004B7B04" w:rsidRDefault="004B7B04">
      <w:pPr>
        <w:rPr>
          <w:rFonts w:asciiTheme="majorHAnsi" w:eastAsiaTheme="majorEastAsia" w:hAnsiTheme="majorHAnsi" w:cstheme="majorBidi"/>
          <w:b/>
          <w:bCs/>
          <w:sz w:val="26"/>
          <w:szCs w:val="26"/>
        </w:rPr>
      </w:pPr>
      <w:r>
        <w:br w:type="page"/>
      </w:r>
    </w:p>
    <w:p w14:paraId="3213DDD3" w14:textId="77777777" w:rsidR="003D18A8" w:rsidRPr="00A51610" w:rsidRDefault="003D18A8" w:rsidP="00A51610">
      <w:pPr>
        <w:pStyle w:val="Heading2"/>
      </w:pPr>
      <w:r w:rsidRPr="00A51610">
        <w:lastRenderedPageBreak/>
        <w:t xml:space="preserve">Dengue </w:t>
      </w:r>
    </w:p>
    <w:p w14:paraId="3F31A58B" w14:textId="77777777" w:rsidR="003D18A8" w:rsidRDefault="003D18A8" w:rsidP="00A51610">
      <w:r>
        <w:t xml:space="preserve">There were 78% fewer notifications of dengue virus infection in 2020 (n = 192) than in the same period in 2019 (n = 856). Compared to the 5-year average for the same period (n = 918), there were 79% fewer notifications in 2020 (Table 1). </w:t>
      </w:r>
    </w:p>
    <w:p w14:paraId="6EA8A0AE" w14:textId="77777777" w:rsidR="003D18A8" w:rsidRDefault="003D18A8" w:rsidP="00A51610">
      <w:r>
        <w:t>Between April and June 2020, there were 6 cases of dengue reported, 5 of which acquired the infection overseas (Figure 7). Over the same period in 2019 there were 434 cases of dengue reported, 421 of which were acquired</w:t>
      </w:r>
      <w:r w:rsidR="00821474">
        <w:t> </w:t>
      </w:r>
      <w:r>
        <w:t>overseas.</w:t>
      </w:r>
    </w:p>
    <w:p w14:paraId="56293596" w14:textId="77777777" w:rsidR="003D18A8" w:rsidRDefault="003D18A8" w:rsidP="00A51610">
      <w:pPr>
        <w:pStyle w:val="CDIFigures"/>
      </w:pPr>
      <w:r>
        <w:t>Figure 7: Dengue notifications by place of acquisition, year, month, and 5-year average, 1 January to 30 June,</w:t>
      </w:r>
      <w:r w:rsidR="00773A38">
        <w:t> </w:t>
      </w:r>
      <w:r>
        <w:t>2015–2020</w:t>
      </w:r>
    </w:p>
    <w:p w14:paraId="05F9976F" w14:textId="77777777" w:rsidR="003D18A8" w:rsidRDefault="003D18A8">
      <w:pPr>
        <w:pStyle w:val="NormalWeb"/>
      </w:pPr>
      <w:r>
        <w:rPr>
          <w:noProof/>
        </w:rPr>
        <w:drawing>
          <wp:inline distT="0" distB="0" distL="0" distR="0" wp14:anchorId="4D8956BE" wp14:editId="0755E22D">
            <wp:extent cx="6688236" cy="4352026"/>
            <wp:effectExtent l="0" t="0" r="0" b="0"/>
            <wp:docPr id="7" name="Picture 7" descr="Compares dengue notifications in January, February, March April, May and June in 2015, 2016, 2017, 2018, 2019 and 2020. Majority of cases across all years were acquired overseas.  Notifications lower in 2020 in comparison.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mpares dengue notifications in January, February, March April, May and June in 2015, 2016, 2017, 2018, 2019 and 2020. Majority of cases across all years were acquired overseas.  Notifications lower in 2020 in comparison. &#10;&#10;"/>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6691451" cy="4354118"/>
                    </a:xfrm>
                    <a:prstGeom prst="rect">
                      <a:avLst/>
                    </a:prstGeom>
                  </pic:spPr>
                </pic:pic>
              </a:graphicData>
            </a:graphic>
          </wp:inline>
        </w:drawing>
      </w:r>
    </w:p>
    <w:p w14:paraId="53332BEE" w14:textId="77777777" w:rsidR="003D18A8" w:rsidRDefault="003D18A8" w:rsidP="00A51610">
      <w:r>
        <w:t xml:space="preserve">Notifications of dengue virus infection in Australia are predominantly due to diagnosis in returned travellers who acquired their infection overseas. Restrictions in international travel as a result of COVID-19 have likely contributed to the reduction in notified cases. </w:t>
      </w:r>
    </w:p>
    <w:p w14:paraId="6D29228C" w14:textId="77777777" w:rsidR="004B7B04" w:rsidRDefault="004B7B04">
      <w:pPr>
        <w:rPr>
          <w:rFonts w:asciiTheme="majorHAnsi" w:eastAsiaTheme="majorEastAsia" w:hAnsiTheme="majorHAnsi" w:cstheme="majorBidi"/>
          <w:b/>
          <w:bCs/>
          <w:sz w:val="32"/>
          <w:szCs w:val="28"/>
        </w:rPr>
      </w:pPr>
      <w:r>
        <w:br w:type="page"/>
      </w:r>
    </w:p>
    <w:p w14:paraId="5E1F53F0" w14:textId="77777777" w:rsidR="003D18A8" w:rsidRPr="00A51610" w:rsidRDefault="003D18A8" w:rsidP="00A51610">
      <w:pPr>
        <w:pStyle w:val="Heading1"/>
      </w:pPr>
      <w:r w:rsidRPr="00A51610">
        <w:lastRenderedPageBreak/>
        <w:t xml:space="preserve">Foodborne diseases </w:t>
      </w:r>
    </w:p>
    <w:p w14:paraId="72E3FA6C" w14:textId="77777777" w:rsidR="003D18A8" w:rsidRPr="00A51610" w:rsidRDefault="003D18A8" w:rsidP="00A51610">
      <w:pPr>
        <w:pStyle w:val="Heading2"/>
      </w:pPr>
      <w:r w:rsidRPr="00A51610">
        <w:t xml:space="preserve">Salmonellosis </w:t>
      </w:r>
    </w:p>
    <w:p w14:paraId="2F0AF214" w14:textId="77777777" w:rsidR="003D18A8" w:rsidRDefault="003D18A8" w:rsidP="00A51610">
      <w:r>
        <w:t xml:space="preserve">Notifications of salmonellosis between 1 January and 30 June 2020 (n = 7,995) were 17% lower than the 5-year average for the same period (n = 9,578) and 2% lower than notifications for the same period in 2019 (n = 8,126) (Table 1, Figure 8). The majority of salmonellosis cases reported to the NNDSS in the first 6 months of 2020 were caused by </w:t>
      </w:r>
      <w:r w:rsidRPr="00C9281D">
        <w:rPr>
          <w:rStyle w:val="Emphasis"/>
          <w:b w:val="0"/>
        </w:rPr>
        <w:t>Salmonella</w:t>
      </w:r>
      <w:r>
        <w:t xml:space="preserve"> Typhimurium (n = 3,375; compared with the 5-year average of 3,583 </w:t>
      </w:r>
      <w:r w:rsidRPr="00C9281D">
        <w:rPr>
          <w:rStyle w:val="Emphasis"/>
          <w:b w:val="0"/>
        </w:rPr>
        <w:t>Salmonella</w:t>
      </w:r>
      <w:r>
        <w:t xml:space="preserve"> Typhimurium cases for the same period). </w:t>
      </w:r>
    </w:p>
    <w:p w14:paraId="51F5B205" w14:textId="77777777" w:rsidR="003D18A8" w:rsidRDefault="003D18A8" w:rsidP="00A51610">
      <w:pPr>
        <w:pStyle w:val="CDIFigures"/>
      </w:pPr>
      <w:r>
        <w:t>Figure 8: Salmonellosis notifications by year, month, and 5-year average, 1 January to 30 June, 2015–2020</w:t>
      </w:r>
    </w:p>
    <w:p w14:paraId="59BB51F7" w14:textId="77777777" w:rsidR="003D18A8" w:rsidRDefault="003D18A8">
      <w:pPr>
        <w:pStyle w:val="NormalWeb"/>
      </w:pPr>
      <w:r>
        <w:rPr>
          <w:noProof/>
        </w:rPr>
        <w:drawing>
          <wp:inline distT="0" distB="0" distL="0" distR="0" wp14:anchorId="28D18E8B" wp14:editId="43AE0DD8">
            <wp:extent cx="6558915" cy="3688088"/>
            <wp:effectExtent l="0" t="0" r="0" b="7620"/>
            <wp:docPr id="8" name="Picture 8" descr="Compares salmonellosis notifications in January, February, March April, May and June in 2015, 2016, 2017, 2018, 2019 and 2020. Notifications lower in 2020 in comparis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ompares salmonellosis notifications in January, February, March April, May and June in 2015, 2016, 2017, 2018, 2019 and 2020. Notifications lower in 2020 in comparison. "/>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6558915" cy="3688088"/>
                    </a:xfrm>
                    <a:prstGeom prst="rect">
                      <a:avLst/>
                    </a:prstGeom>
                  </pic:spPr>
                </pic:pic>
              </a:graphicData>
            </a:graphic>
          </wp:inline>
        </w:drawing>
      </w:r>
    </w:p>
    <w:p w14:paraId="02445D02" w14:textId="77777777" w:rsidR="003D18A8" w:rsidRDefault="003D18A8" w:rsidP="00A51610">
      <w:r>
        <w:t xml:space="preserve">In February 2020, notifications of salmonellosis to the NNDSS were 61% higher than for the same month in 2019 (n = 2,545 and n = 1,583 respectively) and 36% higher than average notifications for February in the previous 5 years (n = 1,877). This increase is associated with a multi-jurisdictional outbreak of </w:t>
      </w:r>
      <w:r w:rsidRPr="00C9281D">
        <w:rPr>
          <w:rStyle w:val="Emphasis"/>
          <w:b w:val="0"/>
        </w:rPr>
        <w:t>Salmonella</w:t>
      </w:r>
      <w:r>
        <w:t xml:space="preserve"> Typhimurium investigated between late January and May 2020. </w:t>
      </w:r>
    </w:p>
    <w:p w14:paraId="13B0B4E6" w14:textId="77777777" w:rsidR="003D18A8" w:rsidRDefault="003D18A8" w:rsidP="00A51610">
      <w:r>
        <w:t xml:space="preserve">Aside from the increase in salmonellosis cases notified in February 2020, there was a decrease in salmonellosis cases notified compared with previous years observed between March and June 2020 (Figure 9). Declines in notifications of salmonellosis largely followed seasonal trends but were likely magnified by physical distancing measures that saw the closure of dine-in services at food businesses such as restaurants, cafés and bars, and the subsequent increases in people eating at home. In addition to these measures, it is important to acknowledge that changes in testing priorities, including laboratory resourcing for polymerase chain reaction (PCR) testing of faecal specimens shifting to COVID-19 PCR testing, along with changes in health-seeking behaviours and the encouraged use of telehealth services, are all also likely to have contributed to the decline in notified salmonellosis cases. Following the introduction of MBS telehealth items in March 2020, there was a decline in the number of MBS subsidised tests for MBS item number 69345 for culture of faeces for faecal pathogens compared to the 5-year average. The greatest </w:t>
      </w:r>
      <w:r>
        <w:lastRenderedPageBreak/>
        <w:t xml:space="preserve">reduction in the number of tests for this item, compared to the 5-year average, occurred in April 2020 (n = 31,326 versus a 5-year average (2015–2019) of n = 49,992, or a 37.4% decrease). </w:t>
      </w:r>
    </w:p>
    <w:p w14:paraId="7D18A49C" w14:textId="77777777" w:rsidR="004A0772" w:rsidRDefault="004A0772">
      <w:pPr>
        <w:rPr>
          <w:rFonts w:asciiTheme="majorHAnsi" w:eastAsiaTheme="majorEastAsia" w:hAnsiTheme="majorHAnsi" w:cstheme="majorBidi"/>
          <w:b/>
          <w:bCs/>
          <w:sz w:val="32"/>
          <w:szCs w:val="28"/>
        </w:rPr>
      </w:pPr>
    </w:p>
    <w:p w14:paraId="356FE956" w14:textId="77777777" w:rsidR="003D18A8" w:rsidRPr="00A51610" w:rsidRDefault="003D18A8" w:rsidP="00A51610">
      <w:pPr>
        <w:pStyle w:val="Heading1"/>
      </w:pPr>
      <w:r w:rsidRPr="00A51610">
        <w:t xml:space="preserve">Discussion </w:t>
      </w:r>
    </w:p>
    <w:p w14:paraId="21575B0A" w14:textId="77777777" w:rsidR="003D18A8" w:rsidRDefault="003D18A8" w:rsidP="00A51610">
      <w:r>
        <w:t xml:space="preserve">This analysis indicates that COVID-19 public health measures, including physical distancing, an emphasis on hygiene, and travel restrictions, are likely to have affected the number of notifications reported to the NNDSS. It is important to note that this analysis is focused on national trends and it is expected that there will be variability across jurisdictions and over time reflecting locally-applied interventions and staged easing of restrictions. </w:t>
      </w:r>
    </w:p>
    <w:p w14:paraId="2F4C5D75" w14:textId="77777777" w:rsidR="003D18A8" w:rsidRDefault="003D18A8" w:rsidP="00A51610">
      <w:r>
        <w:t xml:space="preserve">Lower-than-expected numbers of laboratory-confirmed influenza, IMD and rotavirus notifications suggest restrictions on common social practices (closures of cafés, restaurants, cinemas, some retail stores, etc.), social and mass gatherings, lower attendance at early childhood centres/schools, and work from home practices may have curbed the incidence of diseases which are associated with close and prolonged contact. Declines in notifications of measles and dengue virus coincided with implementation of initial international travel restrictions and the eventual closure of Australia’s national borders. Closure of international borders will have also effected the influenza notifications, as influenza viruses circulating elsewhere in the world, but not yet in Australia, are less likely to be imported. </w:t>
      </w:r>
    </w:p>
    <w:p w14:paraId="1FAA2EA4" w14:textId="77777777" w:rsidR="003D18A8" w:rsidRDefault="003D18A8" w:rsidP="00A51610">
      <w:r>
        <w:t xml:space="preserve">The rate of testing for influenza is almost three times the rate seen over the same period of 2019. This is likely due to the use of a multiplex respiratory panel (which includes influenza), implemented earlier in 2020, that is being used by a number of jurisdictions for COVID-19 testing. The low influenza positive results seen in the first 6 months of 2020 suggest that influenza is circulating at lower frequency than expected, based on the trends seen in previous years. There is some indication that, due to the surge in requests for COVID-19 tests, testing for other communicable diseases (such as chlamydia) may have decreased since March 2020. As laboratory resources are funnelled into the ongoing COVID-19 response, there have also been delays in testing for regular surveillance programs, such as the Australian Rotavirus Genotyping Surveillance Program, and as a result there may be backlogs in testing still yet to be undertaken. </w:t>
      </w:r>
    </w:p>
    <w:p w14:paraId="5ECC1AF3" w14:textId="77777777" w:rsidR="003D18A8" w:rsidRDefault="003D18A8" w:rsidP="00A51610">
      <w:r>
        <w:t xml:space="preserve">While declines in notifications of salmonellosis reflected seasonal trends, physical distancing measures that saw the closure of dine-in services at food businesses also likely contributed to a reduction in case numbers. However it is also important to note that changes in testing priorities, changes in health-seeking behaviours, and encouraged use of telehealth services are likely to have contributed to the decline in notifications. MBS testing data for a subset of tests performed to diagnose foodborne diseases, such as salmonellosis, showed a decline following the introduction of telehealth items; but it is difficult to determine whether the introduction of telehealth led to fewer faecal samples being collected for testing, or whether there was a true decrease in cases. </w:t>
      </w:r>
    </w:p>
    <w:p w14:paraId="5732C028" w14:textId="77777777" w:rsidR="003D18A8" w:rsidRDefault="003D18A8" w:rsidP="00A51610">
      <w:r>
        <w:t>At the time of writing, there were limited studies in the international arena quantifying reductions in notifiable communicable diseases in 2020 as a result of COVID-19 interventions. Broader global trends in influenza activity were however consistent with Australia, with lower-than-expected detections of influenza reported in 2020 across a number of countries, attributed, at least in part, to physical distancing and improved hygiene.</w:t>
      </w:r>
      <w:r>
        <w:rPr>
          <w:vertAlign w:val="superscript"/>
        </w:rPr>
        <w:t xml:space="preserve">5–7 </w:t>
      </w:r>
    </w:p>
    <w:p w14:paraId="51029D3D" w14:textId="77777777" w:rsidR="003D18A8" w:rsidRDefault="003D18A8" w:rsidP="00A51610">
      <w:r>
        <w:t xml:space="preserve">While initial analyses suggest COVID-19-related public health measures may have had an impact on the transmission of specific communicable diseases within the Australian community, quantifying the magnitude of this effect is not currently feasible. Other factors such as: changes in testing priorities in laboratories; diversion of resources to the </w:t>
      </w:r>
      <w:r>
        <w:lastRenderedPageBreak/>
        <w:t xml:space="preserve">COVID-19 response; changes in health-seeking behaviours; greater utilisation of telehealth practices; and financial impacts such as income loss and ability to afford healthcare, will have also impacted notification numbers, therefore confounding any potential effect of physical distancing. </w:t>
      </w:r>
    </w:p>
    <w:p w14:paraId="6C571DC6" w14:textId="77777777" w:rsidR="003D18A8" w:rsidRPr="00A51610" w:rsidRDefault="003D18A8" w:rsidP="00A51610">
      <w:pPr>
        <w:pStyle w:val="Heading1"/>
      </w:pPr>
      <w:r w:rsidRPr="00A51610">
        <w:t xml:space="preserve">Conclusion </w:t>
      </w:r>
    </w:p>
    <w:p w14:paraId="651E355B" w14:textId="77777777" w:rsidR="003D18A8" w:rsidRDefault="003D18A8" w:rsidP="00A51610">
      <w:r>
        <w:t xml:space="preserve">Overall, nationally notifiable diseases in Australia declined in the first half of 2020, particularly those diseases associated with close contact and travel. Further investigation of COVID-19 public health measures and the impact of confounding factors on notification data is warranted. </w:t>
      </w:r>
    </w:p>
    <w:p w14:paraId="52F1CAC9" w14:textId="77777777" w:rsidR="003D18A8" w:rsidRDefault="003D18A8" w:rsidP="00A51610">
      <w:r>
        <w:t xml:space="preserve">To our knowledge, this is the first report to quantify reductions in notifiable diseases as a result of COVID-19-related public health measures in Australia. </w:t>
      </w:r>
    </w:p>
    <w:p w14:paraId="20FD5BFC" w14:textId="77777777" w:rsidR="003D18A8" w:rsidRPr="00A51610" w:rsidRDefault="003D18A8" w:rsidP="00A51610">
      <w:pPr>
        <w:pStyle w:val="Heading1"/>
      </w:pPr>
      <w:r w:rsidRPr="00A51610">
        <w:t xml:space="preserve">Author details </w:t>
      </w:r>
    </w:p>
    <w:p w14:paraId="32BE99A8" w14:textId="77777777" w:rsidR="003D18A8" w:rsidRDefault="003D18A8" w:rsidP="00A51610">
      <w:r>
        <w:t>Ms Amy Bright</w:t>
      </w:r>
      <w:r>
        <w:rPr>
          <w:vertAlign w:val="superscript"/>
        </w:rPr>
        <w:t xml:space="preserve">1 </w:t>
      </w:r>
    </w:p>
    <w:p w14:paraId="551983F8" w14:textId="77777777" w:rsidR="003D18A8" w:rsidRDefault="003D18A8" w:rsidP="00A51610">
      <w:r>
        <w:t>Ms Anna-Jane Glynn-Robinson</w:t>
      </w:r>
      <w:r>
        <w:rPr>
          <w:vertAlign w:val="superscript"/>
        </w:rPr>
        <w:t xml:space="preserve">1 </w:t>
      </w:r>
    </w:p>
    <w:p w14:paraId="4EE894F0" w14:textId="77777777" w:rsidR="003D18A8" w:rsidRDefault="003D18A8" w:rsidP="00A51610">
      <w:r>
        <w:t>Ms Stacey Kane</w:t>
      </w:r>
      <w:r>
        <w:rPr>
          <w:vertAlign w:val="superscript"/>
        </w:rPr>
        <w:t xml:space="preserve">1 </w:t>
      </w:r>
    </w:p>
    <w:p w14:paraId="4BA69ED7" w14:textId="77777777" w:rsidR="003D18A8" w:rsidRDefault="003D18A8" w:rsidP="00A51610">
      <w:r>
        <w:t>Ms Rose Wright</w:t>
      </w:r>
      <w:r>
        <w:rPr>
          <w:vertAlign w:val="superscript"/>
        </w:rPr>
        <w:t xml:space="preserve">1 </w:t>
      </w:r>
    </w:p>
    <w:p w14:paraId="52288E46" w14:textId="77777777" w:rsidR="003D18A8" w:rsidRDefault="003D18A8" w:rsidP="00A51610">
      <w:r>
        <w:t>Dr Nathan Saul</w:t>
      </w:r>
      <w:r>
        <w:rPr>
          <w:vertAlign w:val="superscript"/>
        </w:rPr>
        <w:t xml:space="preserve">1 </w:t>
      </w:r>
    </w:p>
    <w:p w14:paraId="78E6EA0B" w14:textId="77777777" w:rsidR="003D18A8" w:rsidRPr="00A51610" w:rsidRDefault="003D18A8" w:rsidP="00A51610">
      <w:pPr>
        <w:pStyle w:val="ListParagraph"/>
        <w:numPr>
          <w:ilvl w:val="0"/>
          <w:numId w:val="11"/>
        </w:numPr>
        <w:rPr>
          <w:rFonts w:eastAsia="Times New Roman"/>
        </w:rPr>
      </w:pPr>
      <w:r w:rsidRPr="00A51610">
        <w:rPr>
          <w:rFonts w:eastAsia="Times New Roman"/>
        </w:rPr>
        <w:t xml:space="preserve">Epidemiologist, Office of Health Protection and Response, Australian Government Department of Health, Australia </w:t>
      </w:r>
    </w:p>
    <w:p w14:paraId="4DADA74C" w14:textId="77777777" w:rsidR="003D18A8" w:rsidRPr="00A51610" w:rsidRDefault="003D18A8" w:rsidP="00A51610">
      <w:pPr>
        <w:pStyle w:val="Heading1"/>
      </w:pPr>
      <w:r w:rsidRPr="00A51610">
        <w:t xml:space="preserve">Corresponding author </w:t>
      </w:r>
    </w:p>
    <w:p w14:paraId="19F7FFD4" w14:textId="77777777" w:rsidR="004B7B04" w:rsidRDefault="003D18A8" w:rsidP="00A51610">
      <w:r>
        <w:t xml:space="preserve">Amy Bright </w:t>
      </w:r>
    </w:p>
    <w:p w14:paraId="5A1E2D19" w14:textId="77777777" w:rsidR="004B7B04" w:rsidRDefault="003D18A8" w:rsidP="00A51610">
      <w:r>
        <w:t xml:space="preserve">Office of Health Protection and Response </w:t>
      </w:r>
    </w:p>
    <w:p w14:paraId="52B5040E" w14:textId="77777777" w:rsidR="004B7B04" w:rsidRDefault="003D18A8" w:rsidP="00A51610">
      <w:r>
        <w:t xml:space="preserve">Australian Government Department of Health, Canberra, Australia </w:t>
      </w:r>
    </w:p>
    <w:p w14:paraId="05695D1D" w14:textId="77777777" w:rsidR="003D18A8" w:rsidRDefault="003D18A8" w:rsidP="00A51610">
      <w:r>
        <w:t xml:space="preserve">CDESS@health.gov.au </w:t>
      </w:r>
    </w:p>
    <w:p w14:paraId="3625D4B6" w14:textId="77777777" w:rsidR="004B7B04" w:rsidRDefault="004B7B04">
      <w:pPr>
        <w:rPr>
          <w:rFonts w:asciiTheme="majorHAnsi" w:eastAsiaTheme="majorEastAsia" w:hAnsiTheme="majorHAnsi" w:cstheme="majorBidi"/>
          <w:b/>
          <w:bCs/>
          <w:sz w:val="32"/>
          <w:szCs w:val="28"/>
        </w:rPr>
      </w:pPr>
      <w:r>
        <w:br w:type="page"/>
      </w:r>
    </w:p>
    <w:p w14:paraId="645E2647" w14:textId="77777777" w:rsidR="003D18A8" w:rsidRPr="00A51610" w:rsidRDefault="003D18A8" w:rsidP="00A51610">
      <w:pPr>
        <w:pStyle w:val="Heading1"/>
      </w:pPr>
      <w:r w:rsidRPr="00A51610">
        <w:lastRenderedPageBreak/>
        <w:t xml:space="preserve">References </w:t>
      </w:r>
    </w:p>
    <w:p w14:paraId="0AEF5BAC" w14:textId="77777777" w:rsidR="003D18A8" w:rsidRPr="00A51610" w:rsidRDefault="003D18A8" w:rsidP="00A51610">
      <w:pPr>
        <w:pStyle w:val="ListParagraph"/>
        <w:numPr>
          <w:ilvl w:val="0"/>
          <w:numId w:val="12"/>
        </w:numPr>
        <w:rPr>
          <w:rFonts w:eastAsia="Times New Roman"/>
        </w:rPr>
      </w:pPr>
      <w:r w:rsidRPr="00A51610">
        <w:rPr>
          <w:rFonts w:eastAsia="Times New Roman"/>
        </w:rPr>
        <w:t xml:space="preserve">Australian Government Department of Health. Australian Health Protection Principal Committee (AHPPC). Statements: Coronavirus (COVID-19). [Internet.] Canberra: Australian Government Department of Health; 2020. [Accessed on 29 July 2020.] Available from: https://www.health.gov.au/committees-and-groups/australian-health-protection-principal-committee-ahppc#statements. </w:t>
      </w:r>
    </w:p>
    <w:p w14:paraId="1B9C7BDA" w14:textId="77777777" w:rsidR="003D18A8" w:rsidRPr="00A51610" w:rsidRDefault="003D18A8" w:rsidP="00A51610">
      <w:pPr>
        <w:pStyle w:val="ListParagraph"/>
        <w:numPr>
          <w:ilvl w:val="0"/>
          <w:numId w:val="12"/>
        </w:numPr>
        <w:rPr>
          <w:rFonts w:eastAsia="Times New Roman"/>
        </w:rPr>
      </w:pPr>
      <w:r w:rsidRPr="00A51610">
        <w:rPr>
          <w:rFonts w:eastAsia="Times New Roman"/>
        </w:rPr>
        <w:t xml:space="preserve">Federal register of legislation. </w:t>
      </w:r>
      <w:r w:rsidRPr="00A51610">
        <w:rPr>
          <w:rStyle w:val="Emphasis"/>
          <w:rFonts w:eastAsia="Times New Roman"/>
          <w:b w:val="0"/>
        </w:rPr>
        <w:t>National Health Security Act 2007</w:t>
      </w:r>
      <w:r w:rsidRPr="00A51610">
        <w:rPr>
          <w:rFonts w:eastAsia="Times New Roman"/>
        </w:rPr>
        <w:t xml:space="preserve">. No. 174, 2007. Compilation No. 15. [Legislation.] Canberra: Australian Government Federal Register of Legislation; 19 July 2016. Available from: https://www.legislation.gov.au/Details/C2016C00847. </w:t>
      </w:r>
    </w:p>
    <w:p w14:paraId="5D480DAB" w14:textId="77777777" w:rsidR="003D18A8" w:rsidRPr="00A51610" w:rsidRDefault="003D18A8" w:rsidP="00A51610">
      <w:pPr>
        <w:pStyle w:val="ListParagraph"/>
        <w:numPr>
          <w:ilvl w:val="0"/>
          <w:numId w:val="12"/>
        </w:numPr>
        <w:rPr>
          <w:rFonts w:eastAsia="Times New Roman"/>
        </w:rPr>
      </w:pPr>
      <w:r w:rsidRPr="00A51610">
        <w:rPr>
          <w:rFonts w:eastAsia="Times New Roman"/>
        </w:rPr>
        <w:t xml:space="preserve">Australian Government Services Australia. Medicare item reports. [Internet.] Canberra: Australian Government Services Australia. Available from: http://medicarestatistics.humanservices.gov.au/statistics/mbs_item.jsp. </w:t>
      </w:r>
    </w:p>
    <w:p w14:paraId="30415128" w14:textId="77777777" w:rsidR="003D18A8" w:rsidRPr="00A51610" w:rsidRDefault="003D18A8" w:rsidP="00A51610">
      <w:pPr>
        <w:pStyle w:val="ListParagraph"/>
        <w:numPr>
          <w:ilvl w:val="0"/>
          <w:numId w:val="12"/>
        </w:numPr>
        <w:rPr>
          <w:rFonts w:eastAsia="Times New Roman"/>
        </w:rPr>
      </w:pPr>
      <w:r w:rsidRPr="00A51610">
        <w:rPr>
          <w:rFonts w:eastAsia="Times New Roman"/>
        </w:rPr>
        <w:t xml:space="preserve">Australian Government Department of Health. Australian influenza surveillance report and activity updates. [Internet.] Canberra: Australian Government Department of Health; 2020. Available from: https://www1.health.gov.au/internet/main/publishing.nsf/Content/cda-surveil-ozflu-flucurr.htm. </w:t>
      </w:r>
    </w:p>
    <w:p w14:paraId="54D344EB" w14:textId="77777777" w:rsidR="003D18A8" w:rsidRPr="00A51610" w:rsidRDefault="003D18A8" w:rsidP="00A51610">
      <w:pPr>
        <w:pStyle w:val="ListParagraph"/>
        <w:numPr>
          <w:ilvl w:val="0"/>
          <w:numId w:val="12"/>
        </w:numPr>
        <w:rPr>
          <w:rFonts w:eastAsia="Times New Roman"/>
        </w:rPr>
      </w:pPr>
      <w:r w:rsidRPr="00A51610">
        <w:rPr>
          <w:rFonts w:eastAsia="Times New Roman"/>
        </w:rPr>
        <w:t xml:space="preserve">World Health Organization (WHO). Influenza: surveillance and monitoring. [Internet.] Geneva: WHO; 2020. [Accessed on 29 July 2020.] Available from: https://www.who.int/influenza/surveillance_monitoring/en/. </w:t>
      </w:r>
    </w:p>
    <w:p w14:paraId="4807DFF6" w14:textId="77777777" w:rsidR="003D18A8" w:rsidRPr="00A51610" w:rsidRDefault="003D18A8" w:rsidP="00A51610">
      <w:pPr>
        <w:pStyle w:val="ListParagraph"/>
        <w:numPr>
          <w:ilvl w:val="0"/>
          <w:numId w:val="12"/>
        </w:numPr>
        <w:rPr>
          <w:rFonts w:eastAsia="Times New Roman"/>
        </w:rPr>
      </w:pPr>
      <w:r w:rsidRPr="00A51610">
        <w:rPr>
          <w:rFonts w:eastAsia="Times New Roman"/>
        </w:rPr>
        <w:t xml:space="preserve">Liu M, Deng L, Wang D, Jiang T. Influenza activity during the outbreak of coronavirus disease 2019 in mainland China. </w:t>
      </w:r>
      <w:proofErr w:type="spellStart"/>
      <w:r w:rsidRPr="00A51610">
        <w:rPr>
          <w:rStyle w:val="Emphasis"/>
          <w:rFonts w:eastAsia="Times New Roman"/>
          <w:b w:val="0"/>
        </w:rPr>
        <w:t>Biosaf</w:t>
      </w:r>
      <w:proofErr w:type="spellEnd"/>
      <w:r w:rsidRPr="00A51610">
        <w:rPr>
          <w:rStyle w:val="Emphasis"/>
          <w:rFonts w:eastAsia="Times New Roman"/>
          <w:b w:val="0"/>
        </w:rPr>
        <w:t xml:space="preserve"> Health</w:t>
      </w:r>
      <w:r w:rsidRPr="00A51610">
        <w:rPr>
          <w:rFonts w:eastAsia="Times New Roman"/>
        </w:rPr>
        <w:t xml:space="preserve">. 2020. doi: https://doi.org/10.1016/j.bsheal.2020.08.005. </w:t>
      </w:r>
    </w:p>
    <w:p w14:paraId="7127AC1E" w14:textId="77777777" w:rsidR="003D18A8" w:rsidRPr="00A51610" w:rsidRDefault="003D18A8" w:rsidP="00A51610">
      <w:pPr>
        <w:pStyle w:val="ListParagraph"/>
        <w:numPr>
          <w:ilvl w:val="0"/>
          <w:numId w:val="12"/>
        </w:numPr>
        <w:rPr>
          <w:rFonts w:eastAsia="Times New Roman"/>
        </w:rPr>
      </w:pPr>
      <w:r w:rsidRPr="00A51610">
        <w:rPr>
          <w:rFonts w:eastAsia="Times New Roman"/>
        </w:rPr>
        <w:t xml:space="preserve">Olsen SJ, </w:t>
      </w:r>
      <w:proofErr w:type="spellStart"/>
      <w:r w:rsidRPr="00A51610">
        <w:rPr>
          <w:rFonts w:eastAsia="Times New Roman"/>
        </w:rPr>
        <w:t>Azziz</w:t>
      </w:r>
      <w:proofErr w:type="spellEnd"/>
      <w:r w:rsidRPr="00A51610">
        <w:rPr>
          <w:rFonts w:eastAsia="Times New Roman"/>
        </w:rPr>
        <w:t xml:space="preserve">-Baumgartner E, Budd AP, Brammer L, Sullivan S, Pineda RF et al. Decreased influenza activity during the COVID-19 pandemic – United States, Australia, Chile, and South Africa, 2020. </w:t>
      </w:r>
      <w:r w:rsidRPr="00A51610">
        <w:rPr>
          <w:rStyle w:val="Emphasis"/>
          <w:rFonts w:eastAsia="Times New Roman"/>
          <w:b w:val="0"/>
        </w:rPr>
        <w:t xml:space="preserve">MMWR </w:t>
      </w:r>
      <w:proofErr w:type="spellStart"/>
      <w:r w:rsidRPr="00A51610">
        <w:rPr>
          <w:rStyle w:val="Emphasis"/>
          <w:rFonts w:eastAsia="Times New Roman"/>
          <w:b w:val="0"/>
        </w:rPr>
        <w:t>Morb</w:t>
      </w:r>
      <w:proofErr w:type="spellEnd"/>
      <w:r w:rsidRPr="00A51610">
        <w:rPr>
          <w:rStyle w:val="Emphasis"/>
          <w:rFonts w:eastAsia="Times New Roman"/>
          <w:b w:val="0"/>
        </w:rPr>
        <w:t xml:space="preserve"> Mortal </w:t>
      </w:r>
      <w:proofErr w:type="spellStart"/>
      <w:r w:rsidRPr="00A51610">
        <w:rPr>
          <w:rStyle w:val="Emphasis"/>
          <w:rFonts w:eastAsia="Times New Roman"/>
          <w:b w:val="0"/>
        </w:rPr>
        <w:t>Wkly</w:t>
      </w:r>
      <w:proofErr w:type="spellEnd"/>
      <w:r w:rsidRPr="00A51610">
        <w:rPr>
          <w:rStyle w:val="Emphasis"/>
          <w:rFonts w:eastAsia="Times New Roman"/>
          <w:b w:val="0"/>
        </w:rPr>
        <w:t xml:space="preserve"> Rep</w:t>
      </w:r>
      <w:r w:rsidRPr="00A51610">
        <w:rPr>
          <w:rFonts w:eastAsia="Times New Roman"/>
        </w:rPr>
        <w:t>. 2020;69(37):1305–9.</w:t>
      </w:r>
    </w:p>
    <w:p w14:paraId="1A02ED3E" w14:textId="77777777" w:rsidR="008B5348" w:rsidRDefault="008B5348">
      <w:pPr>
        <w:rPr>
          <w:rStyle w:val="A10"/>
        </w:rPr>
        <w:sectPr w:rsidR="008B5348" w:rsidSect="00A30C37">
          <w:headerReference w:type="default" r:id="rId17"/>
          <w:footerReference w:type="default" r:id="rId18"/>
          <w:footerReference w:type="first" r:id="rId19"/>
          <w:footnotePr>
            <w:numFmt w:val="lowerRoman"/>
          </w:footnotePr>
          <w:pgSz w:w="11906" w:h="16838"/>
          <w:pgMar w:top="720" w:right="720" w:bottom="1134" w:left="720" w:header="709" w:footer="284" w:gutter="0"/>
          <w:cols w:space="708"/>
          <w:titlePg/>
          <w:docGrid w:linePitch="360"/>
        </w:sectPr>
      </w:pPr>
    </w:p>
    <w:p w14:paraId="7D541E30"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1F172042"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553D5187" w14:textId="77777777" w:rsidR="000A5F42" w:rsidRPr="000606CC" w:rsidRDefault="000A5F42" w:rsidP="000A5F42">
      <w:pPr>
        <w:pStyle w:val="NoSpacing"/>
        <w:rPr>
          <w:rStyle w:val="URI"/>
          <w:rFonts w:cstheme="minorHAnsi"/>
          <w:sz w:val="20"/>
          <w:szCs w:val="18"/>
        </w:rPr>
      </w:pPr>
    </w:p>
    <w:p w14:paraId="2C6D81CF"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0019ACE8" w14:textId="77777777" w:rsidR="000A5F42" w:rsidRPr="000606CC" w:rsidRDefault="000A5F42" w:rsidP="000A5F42">
      <w:pPr>
        <w:pStyle w:val="NoSpacing"/>
        <w:rPr>
          <w:rStyle w:val="Strong"/>
          <w:rFonts w:cstheme="minorHAnsi"/>
          <w:sz w:val="20"/>
          <w:szCs w:val="18"/>
        </w:rPr>
      </w:pPr>
    </w:p>
    <w:p w14:paraId="740AF76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C42834">
        <w:rPr>
          <w:rFonts w:cstheme="minorHAnsi"/>
          <w:sz w:val="20"/>
          <w:szCs w:val="18"/>
        </w:rPr>
        <w:t>Tanja Farmer</w:t>
      </w:r>
    </w:p>
    <w:p w14:paraId="63C304D0"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4B9C7C8C"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4D62F0A8"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67B74927" w14:textId="77777777" w:rsidR="000A5F42" w:rsidRPr="000606CC" w:rsidRDefault="000A5F42" w:rsidP="000A5F42">
      <w:pPr>
        <w:pStyle w:val="NoSpacing"/>
        <w:rPr>
          <w:rStyle w:val="Strong"/>
          <w:rFonts w:cstheme="minorHAnsi"/>
          <w:sz w:val="20"/>
          <w:szCs w:val="18"/>
        </w:rPr>
      </w:pPr>
    </w:p>
    <w:p w14:paraId="7D7E3B20" w14:textId="29A75DBD"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20"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6EAF3248" w14:textId="77777777" w:rsidR="000A5F42" w:rsidRPr="000606CC" w:rsidRDefault="000A5F42" w:rsidP="000A5F42">
      <w:pPr>
        <w:pStyle w:val="NoSpacing"/>
        <w:rPr>
          <w:rStyle w:val="Strong"/>
          <w:rFonts w:cstheme="minorHAnsi"/>
          <w:sz w:val="20"/>
          <w:szCs w:val="18"/>
        </w:rPr>
      </w:pPr>
    </w:p>
    <w:p w14:paraId="5228F781"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08ABF9BE" w14:textId="77777777" w:rsidR="000A5F42" w:rsidRPr="000606CC" w:rsidRDefault="000A5F42" w:rsidP="000A5F42">
      <w:pPr>
        <w:pStyle w:val="NoSpacing"/>
        <w:rPr>
          <w:rStyle w:val="Strong"/>
          <w:rFonts w:cstheme="minorHAnsi"/>
          <w:sz w:val="20"/>
          <w:szCs w:val="18"/>
        </w:rPr>
      </w:pPr>
    </w:p>
    <w:p w14:paraId="48989463" w14:textId="6189DC7A"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21"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208173CE" w14:textId="77777777" w:rsidR="000A5F42" w:rsidRPr="000606CC" w:rsidRDefault="000A5F42" w:rsidP="000A5F42">
      <w:pPr>
        <w:pStyle w:val="NoSpacing"/>
        <w:rPr>
          <w:rStyle w:val="Strong"/>
          <w:rFonts w:cstheme="minorHAnsi"/>
          <w:sz w:val="20"/>
          <w:szCs w:val="18"/>
        </w:rPr>
      </w:pPr>
    </w:p>
    <w:p w14:paraId="21447783" w14:textId="58B21201"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22"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5AA98F9D" w14:textId="496AC9AC"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3" w:history="1">
        <w:r w:rsidRPr="000606CC">
          <w:rPr>
            <w:rStyle w:val="Hyperlink"/>
            <w:rFonts w:cstheme="minorHAnsi"/>
            <w:sz w:val="20"/>
            <w:szCs w:val="18"/>
          </w:rPr>
          <w:t>cdi.editor@health.gov.au</w:t>
        </w:r>
      </w:hyperlink>
      <w:r w:rsidRPr="000606CC">
        <w:rPr>
          <w:rFonts w:cstheme="minorHAnsi"/>
          <w:sz w:val="20"/>
          <w:szCs w:val="18"/>
        </w:rPr>
        <w:t>.</w:t>
      </w:r>
    </w:p>
    <w:p w14:paraId="35F76EA0" w14:textId="77777777" w:rsidR="000A5F42" w:rsidRPr="000606CC" w:rsidRDefault="000A5F42" w:rsidP="000A5F42">
      <w:pPr>
        <w:pStyle w:val="NoSpacing"/>
        <w:pBdr>
          <w:bottom w:val="single" w:sz="6" w:space="1" w:color="auto"/>
        </w:pBdr>
        <w:rPr>
          <w:rStyle w:val="Strong"/>
          <w:rFonts w:cstheme="minorHAnsi"/>
          <w:sz w:val="12"/>
          <w:szCs w:val="18"/>
        </w:rPr>
      </w:pPr>
    </w:p>
    <w:p w14:paraId="705BBBE0" w14:textId="77777777" w:rsidR="000A5F42" w:rsidRPr="000606CC" w:rsidRDefault="000A5F42" w:rsidP="000A5F42">
      <w:pPr>
        <w:pStyle w:val="NoSpacing"/>
        <w:rPr>
          <w:rFonts w:cstheme="minorHAnsi"/>
          <w:sz w:val="20"/>
          <w:szCs w:val="18"/>
        </w:rPr>
      </w:pPr>
    </w:p>
    <w:p w14:paraId="0A4372B8"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5894B783" w14:textId="77777777" w:rsidR="000A5F42" w:rsidRPr="000606CC" w:rsidRDefault="000A5F42" w:rsidP="000A5F42">
      <w:pPr>
        <w:pStyle w:val="NoSpacing"/>
        <w:rPr>
          <w:rFonts w:cstheme="minorHAnsi"/>
          <w:sz w:val="20"/>
          <w:szCs w:val="18"/>
        </w:rPr>
      </w:pPr>
    </w:p>
    <w:p w14:paraId="5C50FF0B"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2A553CC3"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2020</w:t>
      </w:r>
      <w:r w:rsidRPr="000606CC">
        <w:rPr>
          <w:rFonts w:cstheme="minorHAnsi"/>
          <w:sz w:val="20"/>
          <w:szCs w:val="18"/>
        </w:rPr>
        <w:t xml:space="preserve"> Commonwealth of Australia as represented by the Department of Health</w:t>
      </w:r>
    </w:p>
    <w:p w14:paraId="2308D0AB" w14:textId="0F637937"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4"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243A0312" w14:textId="77777777" w:rsidR="000A5F42" w:rsidRPr="000606CC" w:rsidRDefault="000A5F42" w:rsidP="000A5F42">
      <w:pPr>
        <w:pStyle w:val="NoSpacing"/>
        <w:rPr>
          <w:rFonts w:cstheme="minorHAnsi"/>
          <w:sz w:val="20"/>
          <w:szCs w:val="18"/>
        </w:rPr>
      </w:pPr>
    </w:p>
    <w:p w14:paraId="60947FEF"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3BFCEF15" w14:textId="054A01EB"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5"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716CCABF"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75AB0495"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3CDBCA6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56F1B301"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116D0D6D" w14:textId="77777777" w:rsidR="000A5F42" w:rsidRPr="000606CC" w:rsidRDefault="000A5F42" w:rsidP="000A5F42">
      <w:pPr>
        <w:pStyle w:val="NoSpacing"/>
        <w:rPr>
          <w:rStyle w:val="Strong"/>
          <w:rFonts w:cstheme="minorHAnsi"/>
          <w:sz w:val="20"/>
          <w:szCs w:val="18"/>
        </w:rPr>
      </w:pPr>
    </w:p>
    <w:p w14:paraId="1FA8BCD5"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2760EDA1" w14:textId="77777777" w:rsidR="000A5F42" w:rsidRPr="000606CC" w:rsidRDefault="000A5F42" w:rsidP="000A5F42">
      <w:pPr>
        <w:pStyle w:val="NoSpacing"/>
        <w:rPr>
          <w:rStyle w:val="Strong"/>
          <w:rFonts w:cstheme="minorHAnsi"/>
          <w:sz w:val="20"/>
          <w:szCs w:val="18"/>
        </w:rPr>
      </w:pPr>
    </w:p>
    <w:p w14:paraId="4C890072" w14:textId="0FC5C68B"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6"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3EE2EFC7" w14:textId="77777777" w:rsidR="000A5F42" w:rsidRPr="000606CC" w:rsidRDefault="000A5F42" w:rsidP="000A5F42">
      <w:pPr>
        <w:pStyle w:val="NoSpacing"/>
        <w:rPr>
          <w:rStyle w:val="URI"/>
          <w:rFonts w:cstheme="minorHAnsi"/>
          <w:sz w:val="20"/>
          <w:szCs w:val="18"/>
        </w:rPr>
      </w:pPr>
    </w:p>
    <w:p w14:paraId="23158162" w14:textId="24B0DA97"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7" w:tooltip="Communicable Diseases Network Australia website" w:history="1">
        <w:r w:rsidRPr="000606CC">
          <w:rPr>
            <w:rStyle w:val="Hyperlink"/>
            <w:rFonts w:cstheme="minorHAnsi"/>
            <w:sz w:val="20"/>
            <w:szCs w:val="18"/>
          </w:rPr>
          <w:t>http://www.health.gov.au/cdna</w:t>
        </w:r>
      </w:hyperlink>
    </w:p>
    <w:p w14:paraId="0B114926" w14:textId="77777777" w:rsidR="001B37B8" w:rsidRPr="00E92237" w:rsidRDefault="001B37B8" w:rsidP="001B37B8">
      <w:pPr>
        <w:rPr>
          <w:rFonts w:cs="Myriad Pro"/>
          <w:color w:val="211D1E"/>
          <w:sz w:val="20"/>
          <w:szCs w:val="20"/>
        </w:rPr>
      </w:pPr>
    </w:p>
    <w:sectPr w:rsidR="001B37B8" w:rsidRPr="00E92237" w:rsidSect="002B75A9">
      <w:headerReference w:type="default" r:id="rId28"/>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6F51EC" w14:textId="77777777" w:rsidR="004B7B04" w:rsidRDefault="004B7B04" w:rsidP="00E54DBA">
      <w:r>
        <w:separator/>
      </w:r>
    </w:p>
    <w:p w14:paraId="18A683AF" w14:textId="77777777" w:rsidR="004B7B04" w:rsidRDefault="004B7B04"/>
    <w:p w14:paraId="471685D9" w14:textId="77777777" w:rsidR="004B7B04" w:rsidRDefault="004B7B04" w:rsidP="008714B0"/>
  </w:endnote>
  <w:endnote w:type="continuationSeparator" w:id="0">
    <w:p w14:paraId="634CC174" w14:textId="77777777" w:rsidR="004B7B04" w:rsidRDefault="004B7B04" w:rsidP="00E54DBA">
      <w:r>
        <w:continuationSeparator/>
      </w:r>
    </w:p>
    <w:p w14:paraId="12A67CB9" w14:textId="77777777" w:rsidR="004B7B04" w:rsidRDefault="004B7B04"/>
    <w:p w14:paraId="180B892B" w14:textId="77777777" w:rsidR="004B7B04" w:rsidRDefault="004B7B04"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Myriad Pro"/>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953BF" w14:textId="77777777" w:rsidR="004B7B04" w:rsidRPr="0042435E" w:rsidRDefault="004B7B04"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345C2F">
      <w:rPr>
        <w:noProof/>
        <w:sz w:val="18"/>
      </w:rPr>
      <w:t>11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345C2F">
      <w:rPr>
        <w:noProof/>
        <w:sz w:val="18"/>
      </w:rPr>
      <w:t>17</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C9281D">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345C2F">
      <w:rPr>
        <w:sz w:val="18"/>
      </w:rPr>
      <w:t>https://doi.org/10.33321/cdi.2020.44.85</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345C2F">
      <w:rPr>
        <w:sz w:val="18"/>
      </w:rPr>
      <w:t>5/11/2020</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02351" w14:textId="77777777" w:rsidR="004B7B04" w:rsidRPr="00BB5378" w:rsidRDefault="004B7B04"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345C2F">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345C2F">
      <w:rPr>
        <w:noProof/>
        <w:sz w:val="18"/>
      </w:rPr>
      <w:t>17</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C9281D">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345C2F">
      <w:rPr>
        <w:sz w:val="18"/>
      </w:rPr>
      <w:t>https://doi.org/10.33321/cdi.2020.44.85</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sidR="00345C2F">
      <w:rPr>
        <w:sz w:val="18"/>
      </w:rPr>
      <w:t>5/11/2020</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623F8" w14:textId="77777777" w:rsidR="004B7B04" w:rsidRDefault="004B7B04" w:rsidP="00E54DBA">
      <w:r>
        <w:separator/>
      </w:r>
    </w:p>
  </w:footnote>
  <w:footnote w:type="continuationSeparator" w:id="0">
    <w:p w14:paraId="375B01A2" w14:textId="77777777" w:rsidR="004B7B04" w:rsidRDefault="004B7B04" w:rsidP="00E54DBA">
      <w:r>
        <w:continuationSeparator/>
      </w:r>
    </w:p>
  </w:footnote>
  <w:footnote w:type="continuationNotice" w:id="1">
    <w:p w14:paraId="5C954380" w14:textId="77777777" w:rsidR="004B7B04" w:rsidRPr="00224EFF" w:rsidRDefault="004B7B04" w:rsidP="00224EFF">
      <w:pPr>
        <w:pStyle w:val="Footer"/>
      </w:pPr>
    </w:p>
  </w:footnote>
  <w:footnote w:id="2">
    <w:p w14:paraId="6F565C7A" w14:textId="77777777" w:rsidR="004B7B04" w:rsidRDefault="004B7B04">
      <w:pPr>
        <w:pStyle w:val="FootnoteText"/>
      </w:pPr>
      <w:r>
        <w:rPr>
          <w:rStyle w:val="FootnoteReference"/>
        </w:rPr>
        <w:footnoteRef/>
      </w:r>
      <w:r>
        <w:tab/>
      </w:r>
      <w:r w:rsidRPr="004B41DD">
        <w:t>The latest data available at time of writing.</w:t>
      </w:r>
    </w:p>
  </w:footnote>
  <w:footnote w:id="3">
    <w:p w14:paraId="5F2699C6" w14:textId="77777777" w:rsidR="004B7B04" w:rsidRDefault="004B7B04">
      <w:pPr>
        <w:pStyle w:val="FootnoteText"/>
      </w:pPr>
      <w:r>
        <w:rPr>
          <w:rStyle w:val="FootnoteReference"/>
        </w:rPr>
        <w:footnoteRef/>
      </w:r>
      <w:r>
        <w:tab/>
      </w:r>
      <w:r w:rsidRPr="002C7DAF">
        <w:t>The latest data available at the time of writing.</w:t>
      </w:r>
    </w:p>
  </w:footnote>
  <w:footnote w:id="4">
    <w:p w14:paraId="66E618AB" w14:textId="77777777" w:rsidR="004B7B04" w:rsidRDefault="004B7B04" w:rsidP="00B52619">
      <w:pPr>
        <w:pStyle w:val="FootnoteText"/>
      </w:pPr>
      <w:r>
        <w:rPr>
          <w:rStyle w:val="FootnoteReference"/>
        </w:rPr>
        <w:footnoteRef/>
      </w:r>
      <w:r>
        <w:tab/>
        <w:t>Infectious syphilis outbreak occurring in Queensland, the Northern Territory, Western Australia and South Australia. https://www1.health.gov.au/internet/main/publishing.nsf/Content/ohp-infectious-syphilis-outbreak.htm.</w:t>
      </w:r>
    </w:p>
  </w:footnote>
  <w:footnote w:id="5">
    <w:p w14:paraId="244D4CDD" w14:textId="77777777" w:rsidR="004B7B04" w:rsidRDefault="004B7B04">
      <w:pPr>
        <w:pStyle w:val="FootnoteText"/>
      </w:pPr>
      <w:r>
        <w:rPr>
          <w:rStyle w:val="FootnoteReference"/>
        </w:rPr>
        <w:footnoteRef/>
      </w:r>
      <w:r>
        <w:tab/>
      </w:r>
      <w:r w:rsidRPr="00607842">
        <w:t>Prior to 2004, syphilis was reported as a single category: ‘syphilis (all)’.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38138" w14:textId="77777777" w:rsidR="004B7B04" w:rsidRPr="00A153B6" w:rsidRDefault="00C11C1F"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4B7B04">
          <w:t>Original article</w:t>
        </w:r>
      </w:sdtContent>
    </w:sdt>
    <w:r w:rsidR="004B7B04">
      <w:ptab w:relativeTo="margin" w:alignment="right" w:leader="none"/>
    </w:r>
    <w:r w:rsidR="004B7B04"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1CE01" w14:textId="77777777" w:rsidR="004B7B04" w:rsidRPr="000A5F42" w:rsidRDefault="004B7B04" w:rsidP="000A5F42">
    <w:pPr>
      <w:pStyle w:val="Header"/>
      <w:jc w:val="center"/>
      <w:rPr>
        <w:b/>
      </w:rPr>
    </w:pPr>
    <w:r w:rsidRPr="00E810C5">
      <w:rPr>
        <w:rFonts w:cs="Myriad Pro"/>
        <w:noProof/>
        <w:color w:val="211D1E"/>
        <w:sz w:val="16"/>
      </w:rPr>
      <w:drawing>
        <wp:inline distT="0" distB="0" distL="0" distR="0" wp14:anchorId="0DA43372"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43BF4"/>
    <w:multiLevelType w:val="hybridMultilevel"/>
    <w:tmpl w:val="2F1CBFA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9C12639"/>
    <w:multiLevelType w:val="multilevel"/>
    <w:tmpl w:val="409281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A177648"/>
    <w:multiLevelType w:val="multilevel"/>
    <w:tmpl w:val="D3E8E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61B60A1"/>
    <w:multiLevelType w:val="hybridMultilevel"/>
    <w:tmpl w:val="ABF438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B3A6BB8"/>
    <w:multiLevelType w:val="hybridMultilevel"/>
    <w:tmpl w:val="2F1CBFA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7E01C1E"/>
    <w:multiLevelType w:val="multilevel"/>
    <w:tmpl w:val="A8DA2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59668500">
    <w:abstractNumId w:val="3"/>
  </w:num>
  <w:num w:numId="2" w16cid:durableId="89472927">
    <w:abstractNumId w:val="5"/>
  </w:num>
  <w:num w:numId="3" w16cid:durableId="431978530">
    <w:abstractNumId w:val="6"/>
  </w:num>
  <w:num w:numId="4" w16cid:durableId="851068420">
    <w:abstractNumId w:val="2"/>
  </w:num>
  <w:num w:numId="5" w16cid:durableId="406610997">
    <w:abstractNumId w:val="8"/>
  </w:num>
  <w:num w:numId="6" w16cid:durableId="1738817623">
    <w:abstractNumId w:val="10"/>
  </w:num>
  <w:num w:numId="7" w16cid:durableId="1021586493">
    <w:abstractNumId w:val="4"/>
  </w:num>
  <w:num w:numId="8" w16cid:durableId="1355229732">
    <w:abstractNumId w:val="1"/>
  </w:num>
  <w:num w:numId="9" w16cid:durableId="453064527">
    <w:abstractNumId w:val="11"/>
  </w:num>
  <w:num w:numId="10" w16cid:durableId="1786730064">
    <w:abstractNumId w:val="7"/>
  </w:num>
  <w:num w:numId="11" w16cid:durableId="48190157">
    <w:abstractNumId w:val="9"/>
  </w:num>
  <w:num w:numId="12" w16cid:durableId="13796206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attachedTemplate r:id="rId1"/>
  <w:defaultTabStop w:val="720"/>
  <w:noPunctuationKerning/>
  <w:characterSpacingControl w:val="doNotCompress"/>
  <w:hdrShapeDefaults>
    <o:shapedefaults v:ext="edit" spidmax="10241"/>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E90"/>
    <w:rsid w:val="00000B5B"/>
    <w:rsid w:val="00001611"/>
    <w:rsid w:val="000104A8"/>
    <w:rsid w:val="0001246E"/>
    <w:rsid w:val="000124B1"/>
    <w:rsid w:val="000162A9"/>
    <w:rsid w:val="00016FE6"/>
    <w:rsid w:val="00031064"/>
    <w:rsid w:val="00031692"/>
    <w:rsid w:val="00032531"/>
    <w:rsid w:val="000471BF"/>
    <w:rsid w:val="00047B68"/>
    <w:rsid w:val="00052600"/>
    <w:rsid w:val="0005643C"/>
    <w:rsid w:val="0006264A"/>
    <w:rsid w:val="00073D77"/>
    <w:rsid w:val="00081655"/>
    <w:rsid w:val="000864E0"/>
    <w:rsid w:val="000969B3"/>
    <w:rsid w:val="000A5F42"/>
    <w:rsid w:val="000C64C6"/>
    <w:rsid w:val="000D4B4D"/>
    <w:rsid w:val="000F3FF2"/>
    <w:rsid w:val="00113D58"/>
    <w:rsid w:val="001200CB"/>
    <w:rsid w:val="00121E7A"/>
    <w:rsid w:val="001378A3"/>
    <w:rsid w:val="00155582"/>
    <w:rsid w:val="00161590"/>
    <w:rsid w:val="00162338"/>
    <w:rsid w:val="00171CC0"/>
    <w:rsid w:val="00175494"/>
    <w:rsid w:val="00175629"/>
    <w:rsid w:val="001830EC"/>
    <w:rsid w:val="00183534"/>
    <w:rsid w:val="001A4A96"/>
    <w:rsid w:val="001A5D05"/>
    <w:rsid w:val="001A796C"/>
    <w:rsid w:val="001B04D5"/>
    <w:rsid w:val="001B2614"/>
    <w:rsid w:val="001B37B8"/>
    <w:rsid w:val="001B4931"/>
    <w:rsid w:val="001B552F"/>
    <w:rsid w:val="001C0893"/>
    <w:rsid w:val="001C1303"/>
    <w:rsid w:val="001C70B2"/>
    <w:rsid w:val="001D37C7"/>
    <w:rsid w:val="001D6888"/>
    <w:rsid w:val="0021033D"/>
    <w:rsid w:val="00212A68"/>
    <w:rsid w:val="00217722"/>
    <w:rsid w:val="00222F3C"/>
    <w:rsid w:val="00224EFF"/>
    <w:rsid w:val="002276DC"/>
    <w:rsid w:val="00227E00"/>
    <w:rsid w:val="002307CB"/>
    <w:rsid w:val="00231046"/>
    <w:rsid w:val="00234F21"/>
    <w:rsid w:val="00242659"/>
    <w:rsid w:val="002428F7"/>
    <w:rsid w:val="0024315F"/>
    <w:rsid w:val="00252C9A"/>
    <w:rsid w:val="00256309"/>
    <w:rsid w:val="00257484"/>
    <w:rsid w:val="00260636"/>
    <w:rsid w:val="00275C78"/>
    <w:rsid w:val="00280594"/>
    <w:rsid w:val="00281EE3"/>
    <w:rsid w:val="00284E4A"/>
    <w:rsid w:val="002A3799"/>
    <w:rsid w:val="002A3BCC"/>
    <w:rsid w:val="002A3E13"/>
    <w:rsid w:val="002A4516"/>
    <w:rsid w:val="002A569F"/>
    <w:rsid w:val="002A7066"/>
    <w:rsid w:val="002B001E"/>
    <w:rsid w:val="002B09B7"/>
    <w:rsid w:val="002B75A9"/>
    <w:rsid w:val="002C21B0"/>
    <w:rsid w:val="002C7DAF"/>
    <w:rsid w:val="002E2FB3"/>
    <w:rsid w:val="002F327B"/>
    <w:rsid w:val="00301626"/>
    <w:rsid w:val="003059EC"/>
    <w:rsid w:val="00316CCD"/>
    <w:rsid w:val="00324F7E"/>
    <w:rsid w:val="003323BC"/>
    <w:rsid w:val="00345C2F"/>
    <w:rsid w:val="00346D42"/>
    <w:rsid w:val="00346E11"/>
    <w:rsid w:val="003601C0"/>
    <w:rsid w:val="003635F5"/>
    <w:rsid w:val="003700A8"/>
    <w:rsid w:val="00372A88"/>
    <w:rsid w:val="00381A0F"/>
    <w:rsid w:val="003A1B3A"/>
    <w:rsid w:val="003A40F5"/>
    <w:rsid w:val="003B5B8C"/>
    <w:rsid w:val="003D18A8"/>
    <w:rsid w:val="003D79B1"/>
    <w:rsid w:val="003E6D05"/>
    <w:rsid w:val="003E74EE"/>
    <w:rsid w:val="003F0552"/>
    <w:rsid w:val="003F3BC2"/>
    <w:rsid w:val="00401ED1"/>
    <w:rsid w:val="0040224C"/>
    <w:rsid w:val="00413EE1"/>
    <w:rsid w:val="004164BB"/>
    <w:rsid w:val="00421ECE"/>
    <w:rsid w:val="00422FEB"/>
    <w:rsid w:val="0042435E"/>
    <w:rsid w:val="004315F5"/>
    <w:rsid w:val="00433456"/>
    <w:rsid w:val="00433DFA"/>
    <w:rsid w:val="00435D67"/>
    <w:rsid w:val="00443066"/>
    <w:rsid w:val="00464A58"/>
    <w:rsid w:val="00473D2D"/>
    <w:rsid w:val="004841C4"/>
    <w:rsid w:val="004A0772"/>
    <w:rsid w:val="004A2125"/>
    <w:rsid w:val="004A38F6"/>
    <w:rsid w:val="004B41DD"/>
    <w:rsid w:val="004B4EB6"/>
    <w:rsid w:val="004B7B04"/>
    <w:rsid w:val="004C083C"/>
    <w:rsid w:val="004C67C6"/>
    <w:rsid w:val="004D29DE"/>
    <w:rsid w:val="00510EAC"/>
    <w:rsid w:val="00521821"/>
    <w:rsid w:val="00540DDE"/>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C5C72"/>
    <w:rsid w:val="005D2465"/>
    <w:rsid w:val="005D271F"/>
    <w:rsid w:val="005E33DD"/>
    <w:rsid w:val="005E4229"/>
    <w:rsid w:val="005E540E"/>
    <w:rsid w:val="005E55FB"/>
    <w:rsid w:val="005F16BB"/>
    <w:rsid w:val="00607115"/>
    <w:rsid w:val="00607842"/>
    <w:rsid w:val="00620768"/>
    <w:rsid w:val="0062594B"/>
    <w:rsid w:val="00631406"/>
    <w:rsid w:val="006324FF"/>
    <w:rsid w:val="006351D6"/>
    <w:rsid w:val="00636E0D"/>
    <w:rsid w:val="0064142F"/>
    <w:rsid w:val="00643CB4"/>
    <w:rsid w:val="00656427"/>
    <w:rsid w:val="00660255"/>
    <w:rsid w:val="006971F3"/>
    <w:rsid w:val="006C74A3"/>
    <w:rsid w:val="006D1381"/>
    <w:rsid w:val="006D31BC"/>
    <w:rsid w:val="006E4D52"/>
    <w:rsid w:val="006E55D6"/>
    <w:rsid w:val="006E6C95"/>
    <w:rsid w:val="006E7943"/>
    <w:rsid w:val="006F24EA"/>
    <w:rsid w:val="00704CA9"/>
    <w:rsid w:val="0071048D"/>
    <w:rsid w:val="00710F86"/>
    <w:rsid w:val="007111A8"/>
    <w:rsid w:val="00731BC3"/>
    <w:rsid w:val="00741192"/>
    <w:rsid w:val="00743A33"/>
    <w:rsid w:val="00746080"/>
    <w:rsid w:val="0075144A"/>
    <w:rsid w:val="00773A38"/>
    <w:rsid w:val="007753A5"/>
    <w:rsid w:val="00786329"/>
    <w:rsid w:val="00792C7D"/>
    <w:rsid w:val="00794A4D"/>
    <w:rsid w:val="007A4E4C"/>
    <w:rsid w:val="007A5234"/>
    <w:rsid w:val="007B7854"/>
    <w:rsid w:val="007C56A1"/>
    <w:rsid w:val="007C6454"/>
    <w:rsid w:val="007E01E0"/>
    <w:rsid w:val="007F0B93"/>
    <w:rsid w:val="007F2ECA"/>
    <w:rsid w:val="00811708"/>
    <w:rsid w:val="00816B90"/>
    <w:rsid w:val="00817799"/>
    <w:rsid w:val="00821474"/>
    <w:rsid w:val="00822F5F"/>
    <w:rsid w:val="00824FD3"/>
    <w:rsid w:val="00826589"/>
    <w:rsid w:val="00834BCC"/>
    <w:rsid w:val="00850D54"/>
    <w:rsid w:val="0085447B"/>
    <w:rsid w:val="008714B0"/>
    <w:rsid w:val="00876331"/>
    <w:rsid w:val="00880726"/>
    <w:rsid w:val="008837D8"/>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446C0"/>
    <w:rsid w:val="009575A7"/>
    <w:rsid w:val="0096082E"/>
    <w:rsid w:val="00961347"/>
    <w:rsid w:val="00967410"/>
    <w:rsid w:val="00967D73"/>
    <w:rsid w:val="0098119A"/>
    <w:rsid w:val="00984AAF"/>
    <w:rsid w:val="0099103D"/>
    <w:rsid w:val="00991B09"/>
    <w:rsid w:val="00993CB2"/>
    <w:rsid w:val="00996748"/>
    <w:rsid w:val="009A5166"/>
    <w:rsid w:val="009A76F8"/>
    <w:rsid w:val="009B2B83"/>
    <w:rsid w:val="009C49F8"/>
    <w:rsid w:val="009D77CC"/>
    <w:rsid w:val="009D7A72"/>
    <w:rsid w:val="009E2423"/>
    <w:rsid w:val="009E55D7"/>
    <w:rsid w:val="009F2B85"/>
    <w:rsid w:val="009F4150"/>
    <w:rsid w:val="009F5665"/>
    <w:rsid w:val="009F5DAD"/>
    <w:rsid w:val="00A01BCA"/>
    <w:rsid w:val="00A10458"/>
    <w:rsid w:val="00A153B6"/>
    <w:rsid w:val="00A164D5"/>
    <w:rsid w:val="00A273C3"/>
    <w:rsid w:val="00A30C37"/>
    <w:rsid w:val="00A36C65"/>
    <w:rsid w:val="00A41BBE"/>
    <w:rsid w:val="00A45BDD"/>
    <w:rsid w:val="00A46A0A"/>
    <w:rsid w:val="00A51610"/>
    <w:rsid w:val="00A553F8"/>
    <w:rsid w:val="00A640A7"/>
    <w:rsid w:val="00A6708F"/>
    <w:rsid w:val="00A71BF6"/>
    <w:rsid w:val="00A84BB5"/>
    <w:rsid w:val="00A86F9A"/>
    <w:rsid w:val="00AA35E6"/>
    <w:rsid w:val="00AA50B6"/>
    <w:rsid w:val="00AB3472"/>
    <w:rsid w:val="00AD0762"/>
    <w:rsid w:val="00AD5A01"/>
    <w:rsid w:val="00AE28AF"/>
    <w:rsid w:val="00AE4452"/>
    <w:rsid w:val="00AE7C38"/>
    <w:rsid w:val="00B01F99"/>
    <w:rsid w:val="00B02B37"/>
    <w:rsid w:val="00B05276"/>
    <w:rsid w:val="00B132DB"/>
    <w:rsid w:val="00B31427"/>
    <w:rsid w:val="00B33861"/>
    <w:rsid w:val="00B40DE2"/>
    <w:rsid w:val="00B50210"/>
    <w:rsid w:val="00B52619"/>
    <w:rsid w:val="00B53955"/>
    <w:rsid w:val="00B55D56"/>
    <w:rsid w:val="00B6408A"/>
    <w:rsid w:val="00B670DB"/>
    <w:rsid w:val="00B714B8"/>
    <w:rsid w:val="00B82C2C"/>
    <w:rsid w:val="00B8720B"/>
    <w:rsid w:val="00B876EF"/>
    <w:rsid w:val="00BA4697"/>
    <w:rsid w:val="00BB266A"/>
    <w:rsid w:val="00BB5378"/>
    <w:rsid w:val="00BB6291"/>
    <w:rsid w:val="00BB7AFB"/>
    <w:rsid w:val="00BC0BD3"/>
    <w:rsid w:val="00BD0107"/>
    <w:rsid w:val="00BE0C33"/>
    <w:rsid w:val="00BE262C"/>
    <w:rsid w:val="00BE6C3D"/>
    <w:rsid w:val="00BF6DFB"/>
    <w:rsid w:val="00C04E7D"/>
    <w:rsid w:val="00C07606"/>
    <w:rsid w:val="00C11C1F"/>
    <w:rsid w:val="00C12542"/>
    <w:rsid w:val="00C24725"/>
    <w:rsid w:val="00C30BA9"/>
    <w:rsid w:val="00C32FA9"/>
    <w:rsid w:val="00C3541E"/>
    <w:rsid w:val="00C36A8F"/>
    <w:rsid w:val="00C42834"/>
    <w:rsid w:val="00C42FFA"/>
    <w:rsid w:val="00C507D8"/>
    <w:rsid w:val="00C62EAC"/>
    <w:rsid w:val="00C63F9F"/>
    <w:rsid w:val="00C7723C"/>
    <w:rsid w:val="00C838F5"/>
    <w:rsid w:val="00C9281D"/>
    <w:rsid w:val="00C97F2E"/>
    <w:rsid w:val="00CA1AF4"/>
    <w:rsid w:val="00CA6068"/>
    <w:rsid w:val="00CB15E1"/>
    <w:rsid w:val="00CB3D46"/>
    <w:rsid w:val="00CD1A87"/>
    <w:rsid w:val="00CD35F3"/>
    <w:rsid w:val="00CD5C93"/>
    <w:rsid w:val="00CE342B"/>
    <w:rsid w:val="00CF320C"/>
    <w:rsid w:val="00CF3A4B"/>
    <w:rsid w:val="00CF4001"/>
    <w:rsid w:val="00CF5633"/>
    <w:rsid w:val="00D05837"/>
    <w:rsid w:val="00D12D8A"/>
    <w:rsid w:val="00D13E0C"/>
    <w:rsid w:val="00D25896"/>
    <w:rsid w:val="00D373A1"/>
    <w:rsid w:val="00D37C0F"/>
    <w:rsid w:val="00D4285D"/>
    <w:rsid w:val="00D45661"/>
    <w:rsid w:val="00D45943"/>
    <w:rsid w:val="00D47D22"/>
    <w:rsid w:val="00D51865"/>
    <w:rsid w:val="00D51D0C"/>
    <w:rsid w:val="00D74140"/>
    <w:rsid w:val="00D9749F"/>
    <w:rsid w:val="00DA6E56"/>
    <w:rsid w:val="00DC24E5"/>
    <w:rsid w:val="00DC6705"/>
    <w:rsid w:val="00DD2DE8"/>
    <w:rsid w:val="00DE38B4"/>
    <w:rsid w:val="00DE5D02"/>
    <w:rsid w:val="00E005A9"/>
    <w:rsid w:val="00E1166E"/>
    <w:rsid w:val="00E24DC0"/>
    <w:rsid w:val="00E2519C"/>
    <w:rsid w:val="00E25F2A"/>
    <w:rsid w:val="00E3129A"/>
    <w:rsid w:val="00E41455"/>
    <w:rsid w:val="00E42AD2"/>
    <w:rsid w:val="00E50856"/>
    <w:rsid w:val="00E538CC"/>
    <w:rsid w:val="00E54DBA"/>
    <w:rsid w:val="00E63D7C"/>
    <w:rsid w:val="00E640D5"/>
    <w:rsid w:val="00E651AC"/>
    <w:rsid w:val="00E66E2E"/>
    <w:rsid w:val="00E67691"/>
    <w:rsid w:val="00E92237"/>
    <w:rsid w:val="00E951EF"/>
    <w:rsid w:val="00EA3D54"/>
    <w:rsid w:val="00EA56D9"/>
    <w:rsid w:val="00EA5CE3"/>
    <w:rsid w:val="00EB51C1"/>
    <w:rsid w:val="00EB5AE1"/>
    <w:rsid w:val="00EB5E0B"/>
    <w:rsid w:val="00EC2171"/>
    <w:rsid w:val="00ED442D"/>
    <w:rsid w:val="00ED70C2"/>
    <w:rsid w:val="00EE18FF"/>
    <w:rsid w:val="00EE489F"/>
    <w:rsid w:val="00EF7307"/>
    <w:rsid w:val="00F0647F"/>
    <w:rsid w:val="00F10CE3"/>
    <w:rsid w:val="00F10E90"/>
    <w:rsid w:val="00F14F3B"/>
    <w:rsid w:val="00F16362"/>
    <w:rsid w:val="00F207C7"/>
    <w:rsid w:val="00F32B62"/>
    <w:rsid w:val="00F36B6D"/>
    <w:rsid w:val="00F43FA3"/>
    <w:rsid w:val="00F55648"/>
    <w:rsid w:val="00F60C9D"/>
    <w:rsid w:val="00F70046"/>
    <w:rsid w:val="00F72EBC"/>
    <w:rsid w:val="00F748C2"/>
    <w:rsid w:val="00F765B9"/>
    <w:rsid w:val="00F76C5C"/>
    <w:rsid w:val="00F81EF3"/>
    <w:rsid w:val="00F84496"/>
    <w:rsid w:val="00F85DCB"/>
    <w:rsid w:val="00F86F9C"/>
    <w:rsid w:val="00F90D76"/>
    <w:rsid w:val="00FB378F"/>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07DDE33"/>
  <w15:docId w15:val="{5AF1E76E-3807-41AF-ADA9-E7DB863FB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styleId="EndnoteText">
    <w:name w:val="endnote text"/>
    <w:basedOn w:val="Normal"/>
    <w:link w:val="EndnoteTextChar"/>
    <w:uiPriority w:val="99"/>
    <w:semiHidden/>
    <w:unhideWhenUsed/>
    <w:rsid w:val="00E651A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651AC"/>
    <w:rPr>
      <w:sz w:val="20"/>
      <w:szCs w:val="20"/>
    </w:rPr>
  </w:style>
  <w:style w:type="character" w:styleId="EndnoteReference">
    <w:name w:val="endnote reference"/>
    <w:basedOn w:val="DefaultParagraphFont"/>
    <w:uiPriority w:val="99"/>
    <w:semiHidden/>
    <w:unhideWhenUsed/>
    <w:rsid w:val="00E651A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1.xml"/><Relationship Id="rId26"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hyperlink" Target="mailto:cdi.editor@health.gov.au"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1.xml"/><Relationship Id="rId25"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hyperlink" Target="http://www.health.gov.au/cdi"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creativecommons.org/licenses/by-nc-nd/4.0/legalcode" TargetMode="Externa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mailto:cdi.editor@health.gov.au" TargetMode="External"/><Relationship Id="rId28"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health.gov.au/cdi" TargetMode="External"/><Relationship Id="rId27" Type="http://schemas.openxmlformats.org/officeDocument/2006/relationships/hyperlink" Target="http://www.health.gov.au/cdna" TargetMode="Externa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9.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0\template-202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CC412B7-7B9C-42DA-947A-3654DACD1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template-2020.dotm</Template>
  <TotalTime>0</TotalTime>
  <Pages>17</Pages>
  <Words>4188</Words>
  <Characters>24941</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Communicable Diseases Intelligence 2020 - The effect of COVID-19 public health measures on nationally notifiable diseases in Australia: preliminary analysis</vt:lpstr>
    </vt:vector>
  </TitlesOfParts>
  <Company>Australian Government, Department of Health</Company>
  <LinksUpToDate>false</LinksUpToDate>
  <CharactersWithSpaces>29071</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2020 - The effect of COVID-19 public health measures on nationally notifiable diseases in Australia: preliminary analysis</dc:title>
  <dc:subject>Since the introduction of COVID-19-related public health measures, notifications for most nationally notifiable diseases have declined when compared to previous years. Physical distancing, travel restrictions, and emphasis on hygiene are likely to have affected the number of expected notifications, with the greatest reductions observed among disease spread via person-to-person contact such as influenza, and among overseas-acquired infections such as dengue virus and measles. However, quantifying the magnitude of the effect of COVID-19 public health measures on communicable diseases in Australia will be difficult, due to confounding factors such as: changes in testing priorities in laboratories; diversion of resources to the COVID-19 response; changes in health-seeking behaviours; greater utilisation of telehealth practices; and financial impacts such as income loss and ability to afford healthcare. It is considered likely that these other factors will have also impacted notification numbers.</dc:subject>
  <dc:creator>Amy Bright;Anna-Jane Glynn-Robinson;Stacey Kane;Rose Wright and Nathan Saul</dc:creator>
  <cp:keywords>Australia; communicable disease; COVID-19</cp:keywords>
  <dc:description>© Commonwealth of Australia CC BY-NC-ND ISSN: 2209-6051 (Online)</dc:description>
  <cp:lastPrinted>2018-05-10T02:19:00Z</cp:lastPrinted>
  <dcterms:created xsi:type="dcterms:W3CDTF">2024-08-29T03:04:00Z</dcterms:created>
  <dcterms:modified xsi:type="dcterms:W3CDTF">2024-08-29T03:04:00Z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5/11/2020</vt:lpwstr>
  </property>
  <property fmtid="{D5CDD505-2E9C-101B-9397-08002B2CF9AE}" pid="5" name="DOI">
    <vt:lpwstr>https://doi.org/10.33321/cdi.2020.44.85</vt:lpwstr>
  </property>
</Properties>
</file>