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A74A" w14:textId="77777777" w:rsidR="00CA5C3C" w:rsidRDefault="00CA5C3C" w:rsidP="00CA5C3C">
      <w:pPr>
        <w:pStyle w:val="Title"/>
        <w:rPr>
          <w:rFonts w:eastAsia="Times New Roman"/>
        </w:rPr>
      </w:pPr>
      <w:r>
        <w:rPr>
          <w:rFonts w:eastAsia="Times New Roman"/>
        </w:rPr>
        <w:t xml:space="preserve">Australian Group on Antimicrobial Resistance (AGAR) Australian Gram-negative Sepsis Outcome Programme (GNSOP) Annual Report 2016 </w:t>
      </w:r>
    </w:p>
    <w:p w14:paraId="6762A682" w14:textId="77777777" w:rsidR="00CA5C3C" w:rsidRDefault="00CA5C3C" w:rsidP="00CA5C3C">
      <w:r>
        <w:t xml:space="preserve">Jan M Bell; Thomas Gottlieb; Denise A Daley and Geoffrey W Coombs </w:t>
      </w:r>
    </w:p>
    <w:p w14:paraId="4E9AC741" w14:textId="77777777" w:rsidR="00CA5C3C" w:rsidRPr="00CA5C3C" w:rsidRDefault="00CA5C3C" w:rsidP="00CA5C3C">
      <w:pPr>
        <w:pStyle w:val="Heading1"/>
      </w:pPr>
      <w:r w:rsidRPr="00CA5C3C">
        <w:t xml:space="preserve">Abstract </w:t>
      </w:r>
    </w:p>
    <w:p w14:paraId="22DAF663" w14:textId="77777777" w:rsidR="00CA5C3C" w:rsidRDefault="00CA5C3C" w:rsidP="00CA5C3C">
      <w:r>
        <w:t xml:space="preserve">The Australian Group on Antimicrobial Resistance (AGAR) performs regular period-prevalence studies to monitor changes in antimicrobial resistance in selected enteric Gram-negative pathogens. The 2016 survey was the fourth year to focus on blood stream infections, and included Enterobacteriaceae, </w:t>
      </w:r>
      <w:r w:rsidRPr="00E03670">
        <w:rPr>
          <w:rStyle w:val="Emphasis"/>
          <w:b w:val="0"/>
        </w:rPr>
        <w:t>Pseudomonas aeruginosa</w:t>
      </w:r>
      <w:r>
        <w:t xml:space="preserve"> and </w:t>
      </w:r>
      <w:r w:rsidRPr="00E03670">
        <w:rPr>
          <w:rStyle w:val="Emphasis"/>
          <w:b w:val="0"/>
        </w:rPr>
        <w:t>Acinetobacter</w:t>
      </w:r>
      <w:r>
        <w:t xml:space="preserve"> species. </w:t>
      </w:r>
    </w:p>
    <w:p w14:paraId="452AEB69" w14:textId="77777777" w:rsidR="00CA5C3C" w:rsidRDefault="00CA5C3C" w:rsidP="00CA5C3C">
      <w:r>
        <w:t xml:space="preserve">Seven thousand five hundred and sixty-five species, comprising Enterobacteriaceae (6,750, 89.2%), </w:t>
      </w:r>
      <w:r w:rsidRPr="00E03670">
        <w:rPr>
          <w:rStyle w:val="Emphasis"/>
          <w:b w:val="0"/>
        </w:rPr>
        <w:t>P. aeruginosa</w:t>
      </w:r>
      <w:r>
        <w:t xml:space="preserve"> (723, 9.6%) and </w:t>
      </w:r>
      <w:r w:rsidRPr="00E03670">
        <w:rPr>
          <w:rStyle w:val="Emphasis"/>
          <w:b w:val="0"/>
        </w:rPr>
        <w:t>Acinetobacter</w:t>
      </w:r>
      <w:r>
        <w:t xml:space="preserve"> species (92, 1.2%), were tested using commercial automated methods (Vitek 2, BioMérieux; Phoenix, BD) and results were analysed using Clinical and Laboratory Standards Institute (CLSI) and European Committee on Antimicrobial Susceptibility Testing (EUCAST) breakpoints (January 2017). Of the key resistances, non-susceptibility to the third-generation cephalosporin, ceftriaxone, was found in 11.8%/11.8% of</w:t>
      </w:r>
      <w:r w:rsidRPr="00E03670">
        <w:rPr>
          <w:rStyle w:val="Emphasis"/>
          <w:b w:val="0"/>
        </w:rPr>
        <w:t xml:space="preserve"> Escherichia coli</w:t>
      </w:r>
      <w:r>
        <w:t xml:space="preserve"> (CLSI/EUCAST criteria) and 7.7%/7.7% of </w:t>
      </w:r>
      <w:r w:rsidRPr="00E03670">
        <w:rPr>
          <w:rStyle w:val="Emphasis"/>
          <w:b w:val="0"/>
        </w:rPr>
        <w:t>Klebsiella pneumoniae</w:t>
      </w:r>
      <w:r>
        <w:t xml:space="preserve">, and 11.1%/11.1% </w:t>
      </w:r>
      <w:r w:rsidRPr="00E03670">
        <w:rPr>
          <w:rStyle w:val="Emphasis"/>
          <w:b w:val="0"/>
        </w:rPr>
        <w:t>K.</w:t>
      </w:r>
      <w:r>
        <w:t> </w:t>
      </w:r>
      <w:proofErr w:type="spellStart"/>
      <w:r w:rsidRPr="00E03670">
        <w:rPr>
          <w:rStyle w:val="Emphasis"/>
          <w:b w:val="0"/>
        </w:rPr>
        <w:t>oxytoca</w:t>
      </w:r>
      <w:proofErr w:type="spellEnd"/>
      <w:r>
        <w:t xml:space="preserve">. Non-susceptibility rates to ciprofloxacin were 12.8%/16.3% for </w:t>
      </w:r>
      <w:r w:rsidR="00FB3A23">
        <w:rPr>
          <w:rStyle w:val="Emphasis"/>
          <w:b w:val="0"/>
        </w:rPr>
        <w:t>E.coli</w:t>
      </w:r>
      <w:r>
        <w:t xml:space="preserve">, 3.8%/10.0% for </w:t>
      </w:r>
      <w:r w:rsidRPr="00E03670">
        <w:rPr>
          <w:rStyle w:val="Emphasis"/>
          <w:b w:val="0"/>
        </w:rPr>
        <w:t>K.</w:t>
      </w:r>
      <w:r>
        <w:t> </w:t>
      </w:r>
      <w:r w:rsidRPr="00E03670">
        <w:rPr>
          <w:rStyle w:val="Emphasis"/>
          <w:b w:val="0"/>
        </w:rPr>
        <w:t xml:space="preserve">pneumoniae, </w:t>
      </w:r>
      <w:r>
        <w:t>0.8%/2.1% for</w:t>
      </w:r>
      <w:r w:rsidRPr="00E03670">
        <w:rPr>
          <w:rStyle w:val="Emphasis"/>
          <w:b w:val="0"/>
        </w:rPr>
        <w:t xml:space="preserve"> K.</w:t>
      </w:r>
      <w:r>
        <w:t> </w:t>
      </w:r>
      <w:proofErr w:type="spellStart"/>
      <w:r w:rsidRPr="00E03670">
        <w:rPr>
          <w:rStyle w:val="Emphasis"/>
          <w:b w:val="0"/>
        </w:rPr>
        <w:t>oxytoca</w:t>
      </w:r>
      <w:proofErr w:type="spellEnd"/>
      <w:r w:rsidRPr="00E03670">
        <w:rPr>
          <w:rStyle w:val="Emphasis"/>
          <w:b w:val="0"/>
        </w:rPr>
        <w:t>,</w:t>
      </w:r>
      <w:r>
        <w:t xml:space="preserve"> 1.8%/5.6% for </w:t>
      </w:r>
      <w:r w:rsidRPr="00E03670">
        <w:rPr>
          <w:rStyle w:val="Emphasis"/>
          <w:b w:val="0"/>
        </w:rPr>
        <w:t>Enterobacter</w:t>
      </w:r>
      <w:r>
        <w:t xml:space="preserve"> </w:t>
      </w:r>
      <w:r w:rsidRPr="00E03670">
        <w:rPr>
          <w:rStyle w:val="Emphasis"/>
          <w:b w:val="0"/>
        </w:rPr>
        <w:t>cloacae</w:t>
      </w:r>
      <w:r>
        <w:t xml:space="preserve"> complex, and 5.5%/9.4% for </w:t>
      </w:r>
      <w:r w:rsidRPr="00E03670">
        <w:rPr>
          <w:rStyle w:val="Emphasis"/>
          <w:b w:val="0"/>
        </w:rPr>
        <w:t>Pseudomonas aeruginosa</w:t>
      </w:r>
      <w:r>
        <w:t xml:space="preserve">. Resistance rates to piperacillin-tazobactam were 3.1%/6.5%, 3.6%/7.1%, 14.1%/14.9%, 19.9%/22.3%, and 5.2%/11.8% for the same 4 species respectively. Twenty-eight isolates were shown to harbour a </w:t>
      </w:r>
      <w:proofErr w:type="spellStart"/>
      <w:r>
        <w:t>carbapenemase</w:t>
      </w:r>
      <w:proofErr w:type="spellEnd"/>
      <w:r>
        <w:t xml:space="preserve"> gene, 14 </w:t>
      </w:r>
      <w:proofErr w:type="spellStart"/>
      <w:r w:rsidRPr="00E03670">
        <w:rPr>
          <w:rStyle w:val="Emphasis"/>
          <w:b w:val="0"/>
        </w:rPr>
        <w:t>bla</w:t>
      </w:r>
      <w:r>
        <w:rPr>
          <w:vertAlign w:val="subscript"/>
        </w:rPr>
        <w:t>IMP</w:t>
      </w:r>
      <w:proofErr w:type="spellEnd"/>
      <w:r>
        <w:t xml:space="preserve">, five </w:t>
      </w:r>
      <w:r w:rsidRPr="00E03670">
        <w:rPr>
          <w:rStyle w:val="Emphasis"/>
          <w:b w:val="0"/>
        </w:rPr>
        <w:t>bla</w:t>
      </w:r>
      <w:r>
        <w:rPr>
          <w:vertAlign w:val="subscript"/>
        </w:rPr>
        <w:t>OXA-23,</w:t>
      </w:r>
      <w:r>
        <w:t xml:space="preserve"> two </w:t>
      </w:r>
      <w:r w:rsidRPr="00E03670">
        <w:rPr>
          <w:rStyle w:val="Emphasis"/>
          <w:b w:val="0"/>
        </w:rPr>
        <w:t>bla</w:t>
      </w:r>
      <w:r>
        <w:rPr>
          <w:vertAlign w:val="subscript"/>
        </w:rPr>
        <w:t>OXA-48-like</w:t>
      </w:r>
      <w:r>
        <w:t xml:space="preserve">, two </w:t>
      </w:r>
      <w:proofErr w:type="spellStart"/>
      <w:r w:rsidRPr="00E03670">
        <w:rPr>
          <w:rStyle w:val="Emphasis"/>
          <w:b w:val="0"/>
        </w:rPr>
        <w:t>bla</w:t>
      </w:r>
      <w:r>
        <w:rPr>
          <w:vertAlign w:val="subscript"/>
        </w:rPr>
        <w:t>NDM</w:t>
      </w:r>
      <w:proofErr w:type="spellEnd"/>
      <w:r>
        <w:rPr>
          <w:vertAlign w:val="subscript"/>
        </w:rPr>
        <w:t>,</w:t>
      </w:r>
      <w:r>
        <w:t xml:space="preserve"> one </w:t>
      </w:r>
      <w:proofErr w:type="spellStart"/>
      <w:r w:rsidRPr="00E03670">
        <w:rPr>
          <w:rStyle w:val="Emphasis"/>
          <w:b w:val="0"/>
        </w:rPr>
        <w:t>bla</w:t>
      </w:r>
      <w:r>
        <w:rPr>
          <w:vertAlign w:val="subscript"/>
        </w:rPr>
        <w:t>KPC</w:t>
      </w:r>
      <w:proofErr w:type="spellEnd"/>
      <w:r>
        <w:t xml:space="preserve">, one </w:t>
      </w:r>
      <w:proofErr w:type="spellStart"/>
      <w:r w:rsidRPr="00E03670">
        <w:rPr>
          <w:rStyle w:val="Emphasis"/>
          <w:b w:val="0"/>
        </w:rPr>
        <w:t>bla</w:t>
      </w:r>
      <w:r>
        <w:rPr>
          <w:vertAlign w:val="subscript"/>
        </w:rPr>
        <w:t>GES</w:t>
      </w:r>
      <w:proofErr w:type="spellEnd"/>
      <w:r>
        <w:t xml:space="preserve">, three </w:t>
      </w:r>
      <w:r w:rsidRPr="00E03670">
        <w:rPr>
          <w:rStyle w:val="Emphasis"/>
          <w:b w:val="0"/>
        </w:rPr>
        <w:t>bla</w:t>
      </w:r>
      <w:r>
        <w:rPr>
          <w:vertAlign w:val="subscript"/>
        </w:rPr>
        <w:t>IMP+OXA-23</w:t>
      </w:r>
      <w:r>
        <w:t xml:space="preserve">. </w:t>
      </w:r>
    </w:p>
    <w:p w14:paraId="1A9604DF" w14:textId="77777777" w:rsidR="00CA5C3C" w:rsidRDefault="00CA5C3C" w:rsidP="00CA5C3C">
      <w:r>
        <w:t>Keywords: Australian Group on Antimicrobial Resistance (AGAR); antib</w:t>
      </w:r>
      <w:r w:rsidR="00B15B8D">
        <w:t>iotic resistance; bacteraemia; G</w:t>
      </w:r>
      <w:r>
        <w:t xml:space="preserve">ram-negative; </w:t>
      </w:r>
      <w:r w:rsidRPr="00E03670">
        <w:rPr>
          <w:rStyle w:val="Emphasis"/>
          <w:b w:val="0"/>
        </w:rPr>
        <w:t>Escherichia coli</w:t>
      </w:r>
      <w:r>
        <w:t xml:space="preserve">; Enterobacter; Klebsiella </w:t>
      </w:r>
    </w:p>
    <w:p w14:paraId="08459DCE" w14:textId="77777777" w:rsidR="00CA5C3C" w:rsidRDefault="00CA5C3C">
      <w:pPr>
        <w:pStyle w:val="Heading1"/>
        <w:rPr>
          <w:rFonts w:eastAsia="Times New Roman"/>
        </w:rPr>
      </w:pPr>
      <w:r>
        <w:rPr>
          <w:rFonts w:eastAsia="Times New Roman"/>
        </w:rPr>
        <w:t xml:space="preserve">Introduction </w:t>
      </w:r>
    </w:p>
    <w:p w14:paraId="71C3A38D" w14:textId="77777777" w:rsidR="00CA5C3C" w:rsidRDefault="00CA5C3C" w:rsidP="00CA5C3C">
      <w:r>
        <w:t xml:space="preserve">Emerging resistance in common pathogenic members of the Enterobacteriaceae is a world-wide </w:t>
      </w:r>
      <w:proofErr w:type="gramStart"/>
      <w:r>
        <w:t>phenomenon, and</w:t>
      </w:r>
      <w:proofErr w:type="gramEnd"/>
      <w:r>
        <w:t xml:space="preserve"> presents therapeutic problems for practitioners in both the community and in hospital practice. The Australian Group on Antimicrobial Resistance (AGAR) commenced surveillance of the key Gram-negative pathogens, </w:t>
      </w:r>
      <w:r w:rsidRPr="00E03670">
        <w:rPr>
          <w:rStyle w:val="Emphasis"/>
          <w:b w:val="0"/>
        </w:rPr>
        <w:t>Escherichia coli</w:t>
      </w:r>
      <w:r>
        <w:t xml:space="preserve"> and </w:t>
      </w:r>
      <w:r w:rsidRPr="00E03670">
        <w:rPr>
          <w:rStyle w:val="Emphasis"/>
          <w:b w:val="0"/>
        </w:rPr>
        <w:t>Klebsiella</w:t>
      </w:r>
      <w:r>
        <w:t xml:space="preserve"> species in 1992. Surveys have been conducted biennially until 2008</w:t>
      </w:r>
      <w:r w:rsidR="00FB3A23">
        <w:t>,</w:t>
      </w:r>
      <w:r>
        <w:t xml:space="preserve"> when annual surveys commenced alternating between community and hospital onset infections (http://www.agargroup.org/surveys). In 2004, another genus of Gram-negative pathogens in which resistance can be of clinical importance, </w:t>
      </w:r>
      <w:r w:rsidRPr="00E03670">
        <w:rPr>
          <w:rStyle w:val="Emphasis"/>
          <w:b w:val="0"/>
        </w:rPr>
        <w:t>Enterobacter</w:t>
      </w:r>
      <w:r>
        <w:t xml:space="preserve"> species, was added. </w:t>
      </w:r>
      <w:r w:rsidRPr="00E03670">
        <w:rPr>
          <w:rStyle w:val="Emphasis"/>
          <w:b w:val="0"/>
        </w:rPr>
        <w:t>E</w:t>
      </w:r>
      <w:r w:rsidR="00FB3A23" w:rsidRPr="00E03670">
        <w:rPr>
          <w:rStyle w:val="Emphasis"/>
          <w:b w:val="0"/>
        </w:rPr>
        <w:t xml:space="preserve"> </w:t>
      </w:r>
      <w:r w:rsidRPr="00E03670">
        <w:rPr>
          <w:rStyle w:val="Emphasis"/>
          <w:b w:val="0"/>
        </w:rPr>
        <w:t>coli</w:t>
      </w:r>
      <w:r>
        <w:t xml:space="preserve"> is the most common cause of community-onset urinary tract infection, while </w:t>
      </w:r>
      <w:r w:rsidRPr="00E03670">
        <w:rPr>
          <w:rStyle w:val="Emphasis"/>
          <w:b w:val="0"/>
        </w:rPr>
        <w:t>Klebsiella</w:t>
      </w:r>
      <w:r>
        <w:t xml:space="preserve"> species are less common but are known to harbour important resistances. </w:t>
      </w:r>
      <w:r w:rsidRPr="00E03670">
        <w:rPr>
          <w:rStyle w:val="Emphasis"/>
          <w:b w:val="0"/>
        </w:rPr>
        <w:t>Enterobacter</w:t>
      </w:r>
      <w:r>
        <w:t xml:space="preserve"> species are less common in the community, but of high importance due to intrinsic resistance to first-line antimicrobials in the community. Taken together, the three groups of species surveyed are considered to be valuable sentinels for multi-resistance and emerging resistance in enteric Gram-negative bacilli. In 2013, AGAR commenced the Enterobacteriaceae Sepsis Outcome Programme (</w:t>
      </w:r>
      <w:proofErr w:type="spellStart"/>
      <w:r>
        <w:t>EnSOP</w:t>
      </w:r>
      <w:proofErr w:type="spellEnd"/>
      <w:r>
        <w:t xml:space="preserve">) which focused on the collection of </w:t>
      </w:r>
      <w:r>
        <w:lastRenderedPageBreak/>
        <w:t xml:space="preserve">resistance and some demographic data on all isolates prospectively from patients with bacteraemia. In 2015, </w:t>
      </w:r>
      <w:r w:rsidRPr="00E03670">
        <w:rPr>
          <w:rStyle w:val="Emphasis"/>
          <w:b w:val="0"/>
        </w:rPr>
        <w:t>Pseudomonas aeruginosa</w:t>
      </w:r>
      <w:r>
        <w:t xml:space="preserve"> and </w:t>
      </w:r>
      <w:r w:rsidRPr="00E03670">
        <w:rPr>
          <w:rStyle w:val="Emphasis"/>
          <w:b w:val="0"/>
        </w:rPr>
        <w:t>Acinetobacter</w:t>
      </w:r>
      <w:r>
        <w:t xml:space="preserve"> species were added, and the program referred to as GNSOP. </w:t>
      </w:r>
    </w:p>
    <w:p w14:paraId="79664F81" w14:textId="77777777" w:rsidR="00CA5C3C" w:rsidRDefault="00CA5C3C" w:rsidP="00CA5C3C">
      <w:r>
        <w:t xml:space="preserve">Resistances of particular interest include resistance to ß-lactams due to ß-lactamases, especially extended-spectrum ß-lactamases, which inactivate the third-generation cephalosporins that are normally considered reserve antimicrobials. Other resistances of interest are to agents important for treatment of these serious infections, such as gentamicin; and resistance to reserve agents such as ciprofloxacin, meropenem and colistin. </w:t>
      </w:r>
    </w:p>
    <w:p w14:paraId="65050EA8" w14:textId="77777777" w:rsidR="00CA5C3C" w:rsidRDefault="00CA5C3C" w:rsidP="00CA5C3C">
      <w:r>
        <w:t xml:space="preserve">The objectives of the 2016 surveillance program were to: </w:t>
      </w:r>
    </w:p>
    <w:p w14:paraId="0E103A8C" w14:textId="77777777" w:rsidR="00CA5C3C" w:rsidRPr="00CA5C3C" w:rsidRDefault="00CA5C3C" w:rsidP="00CA5C3C">
      <w:pPr>
        <w:pStyle w:val="ListParagraph"/>
        <w:numPr>
          <w:ilvl w:val="0"/>
          <w:numId w:val="10"/>
        </w:numPr>
        <w:rPr>
          <w:rFonts w:eastAsia="Times New Roman"/>
        </w:rPr>
      </w:pPr>
      <w:r w:rsidRPr="00CA5C3C">
        <w:rPr>
          <w:rFonts w:eastAsia="Times New Roman"/>
        </w:rPr>
        <w:t xml:space="preserve">monitor resistance in Enterobacteriaceae, </w:t>
      </w:r>
      <w:r w:rsidRPr="00E03670">
        <w:rPr>
          <w:rStyle w:val="Emphasis"/>
          <w:rFonts w:eastAsia="Times New Roman"/>
          <w:b w:val="0"/>
        </w:rPr>
        <w:t>P.</w:t>
      </w:r>
      <w:r w:rsidRPr="00CA5C3C">
        <w:rPr>
          <w:rFonts w:eastAsia="Times New Roman"/>
        </w:rPr>
        <w:t> </w:t>
      </w:r>
      <w:r w:rsidRPr="00E03670">
        <w:rPr>
          <w:rStyle w:val="Emphasis"/>
          <w:rFonts w:eastAsia="Times New Roman"/>
          <w:b w:val="0"/>
        </w:rPr>
        <w:t>aeruginosa</w:t>
      </w:r>
      <w:r w:rsidRPr="00CA5C3C">
        <w:rPr>
          <w:rFonts w:eastAsia="Times New Roman"/>
        </w:rPr>
        <w:t xml:space="preserve"> and </w:t>
      </w:r>
      <w:r w:rsidRPr="00E03670">
        <w:rPr>
          <w:rStyle w:val="Emphasis"/>
          <w:rFonts w:eastAsia="Times New Roman"/>
          <w:b w:val="0"/>
        </w:rPr>
        <w:t xml:space="preserve">Acinetobacter </w:t>
      </w:r>
      <w:r w:rsidRPr="00CA5C3C">
        <w:rPr>
          <w:rFonts w:eastAsia="Times New Roman"/>
        </w:rPr>
        <w:t>species isolated from blood</w:t>
      </w:r>
      <w:r w:rsidR="00FB3A23">
        <w:rPr>
          <w:rFonts w:eastAsia="Times New Roman"/>
        </w:rPr>
        <w:t>,</w:t>
      </w:r>
      <w:r w:rsidRPr="00CA5C3C">
        <w:rPr>
          <w:rFonts w:eastAsia="Times New Roman"/>
        </w:rPr>
        <w:t xml:space="preserve"> cultures taken from patients presenting to the hospital or already in hospital</w:t>
      </w:r>
      <w:r w:rsidR="00FB3A23">
        <w:rPr>
          <w:rFonts w:eastAsia="Times New Roman"/>
        </w:rPr>
        <w:t>,</w:t>
      </w:r>
      <w:r w:rsidRPr="00CA5C3C">
        <w:rPr>
          <w:rFonts w:eastAsia="Times New Roman"/>
        </w:rPr>
        <w:t xml:space="preserve"> </w:t>
      </w:r>
    </w:p>
    <w:p w14:paraId="1FA2B579" w14:textId="77777777" w:rsidR="00CA5C3C" w:rsidRPr="00CA5C3C" w:rsidRDefault="00CA5C3C" w:rsidP="00CA5C3C">
      <w:pPr>
        <w:pStyle w:val="ListParagraph"/>
        <w:numPr>
          <w:ilvl w:val="0"/>
          <w:numId w:val="10"/>
        </w:numPr>
        <w:rPr>
          <w:rFonts w:eastAsia="Times New Roman"/>
        </w:rPr>
      </w:pPr>
      <w:r w:rsidRPr="00CA5C3C">
        <w:rPr>
          <w:rFonts w:eastAsia="Times New Roman"/>
        </w:rPr>
        <w:t>examine the extent of co-resistance and multidrug resistance in the major species</w:t>
      </w:r>
      <w:r w:rsidR="00FB3A23">
        <w:rPr>
          <w:rFonts w:eastAsia="Times New Roman"/>
        </w:rPr>
        <w:t>,</w:t>
      </w:r>
      <w:r w:rsidRPr="00CA5C3C">
        <w:rPr>
          <w:rFonts w:eastAsia="Times New Roman"/>
        </w:rPr>
        <w:t xml:space="preserve"> </w:t>
      </w:r>
    </w:p>
    <w:p w14:paraId="4018A7AB" w14:textId="77777777" w:rsidR="00CA5C3C" w:rsidRPr="00CA5C3C" w:rsidRDefault="00CA5C3C" w:rsidP="00CA5C3C">
      <w:pPr>
        <w:pStyle w:val="ListParagraph"/>
        <w:numPr>
          <w:ilvl w:val="0"/>
          <w:numId w:val="10"/>
        </w:numPr>
        <w:rPr>
          <w:rFonts w:eastAsia="Times New Roman"/>
        </w:rPr>
      </w:pPr>
      <w:r w:rsidRPr="00CA5C3C">
        <w:rPr>
          <w:rFonts w:eastAsia="Times New Roman"/>
        </w:rPr>
        <w:t>detect emerging resistance to newer last-line agents such as carbapenems</w:t>
      </w:r>
      <w:r w:rsidR="00FB3A23">
        <w:rPr>
          <w:rFonts w:eastAsia="Times New Roman"/>
        </w:rPr>
        <w:t>, and</w:t>
      </w:r>
      <w:r w:rsidRPr="00CA5C3C">
        <w:rPr>
          <w:rFonts w:eastAsia="Times New Roman"/>
        </w:rPr>
        <w:t xml:space="preserve"> </w:t>
      </w:r>
    </w:p>
    <w:p w14:paraId="0CE51441" w14:textId="77777777" w:rsidR="00CA5C3C" w:rsidRPr="00CA5C3C" w:rsidRDefault="00CA5C3C" w:rsidP="00CA5C3C">
      <w:pPr>
        <w:pStyle w:val="ListParagraph"/>
        <w:numPr>
          <w:ilvl w:val="0"/>
          <w:numId w:val="10"/>
        </w:numPr>
        <w:rPr>
          <w:rFonts w:eastAsia="Times New Roman"/>
        </w:rPr>
      </w:pPr>
      <w:r w:rsidRPr="00CA5C3C">
        <w:rPr>
          <w:rFonts w:eastAsia="Times New Roman"/>
        </w:rPr>
        <w:t xml:space="preserve">characterise the molecular basis of resistance to third-generation cephalosporins, quinolones, amikacin and </w:t>
      </w:r>
      <w:proofErr w:type="gramStart"/>
      <w:r w:rsidRPr="00CA5C3C">
        <w:rPr>
          <w:rFonts w:eastAsia="Times New Roman"/>
        </w:rPr>
        <w:t>carbapenems</w:t>
      </w:r>
      <w:proofErr w:type="gramEnd"/>
      <w:r w:rsidRPr="00CA5C3C">
        <w:rPr>
          <w:rFonts w:eastAsia="Times New Roman"/>
        </w:rPr>
        <w:t xml:space="preserve"> </w:t>
      </w:r>
    </w:p>
    <w:p w14:paraId="4B46BFE1" w14:textId="77777777" w:rsidR="00CA5C3C" w:rsidRDefault="00CA5C3C">
      <w:pPr>
        <w:pStyle w:val="Heading1"/>
        <w:rPr>
          <w:rFonts w:eastAsia="Times New Roman"/>
        </w:rPr>
      </w:pPr>
      <w:r>
        <w:rPr>
          <w:rFonts w:eastAsia="Times New Roman"/>
        </w:rPr>
        <w:t xml:space="preserve">Methods </w:t>
      </w:r>
    </w:p>
    <w:p w14:paraId="743BF267" w14:textId="77777777" w:rsidR="00CA5C3C" w:rsidRDefault="00CA5C3C">
      <w:pPr>
        <w:pStyle w:val="Heading2"/>
        <w:rPr>
          <w:rFonts w:eastAsia="Times New Roman"/>
        </w:rPr>
      </w:pPr>
      <w:r>
        <w:rPr>
          <w:rFonts w:eastAsia="Times New Roman"/>
        </w:rPr>
        <w:t xml:space="preserve">Study Design </w:t>
      </w:r>
    </w:p>
    <w:p w14:paraId="3ACF4730" w14:textId="77777777" w:rsidR="00CA5C3C" w:rsidRDefault="00CA5C3C" w:rsidP="00CA5C3C">
      <w:r>
        <w:t>From 1</w:t>
      </w:r>
      <w:r>
        <w:rPr>
          <w:vertAlign w:val="superscript"/>
        </w:rPr>
        <w:t>st</w:t>
      </w:r>
      <w:r>
        <w:t xml:space="preserve"> January to 31</w:t>
      </w:r>
      <w:r>
        <w:rPr>
          <w:vertAlign w:val="superscript"/>
        </w:rPr>
        <w:t>st</w:t>
      </w:r>
      <w:r>
        <w:t xml:space="preserve"> December 2016, 32 laboratories across Australia collected either all or up to 200 isolates from different patient episodes of bacteraemia. </w:t>
      </w:r>
    </w:p>
    <w:p w14:paraId="3CEADA53" w14:textId="77777777" w:rsidR="00CA5C3C" w:rsidRDefault="00CA5C3C">
      <w:pPr>
        <w:pStyle w:val="Heading2"/>
        <w:rPr>
          <w:rFonts w:eastAsia="Times New Roman"/>
        </w:rPr>
      </w:pPr>
      <w:r>
        <w:rPr>
          <w:rFonts w:eastAsia="Times New Roman"/>
        </w:rPr>
        <w:t xml:space="preserve">Species identification </w:t>
      </w:r>
    </w:p>
    <w:p w14:paraId="18C66C7C" w14:textId="77777777" w:rsidR="00CA5C3C" w:rsidRDefault="00CA5C3C" w:rsidP="00CA5C3C">
      <w:r>
        <w:t xml:space="preserve">Isolates were identified using the routine method for each institution; Vitek®, Phoenix™ Automated Microbiology System, or where available mass spectrometry (MALDI-TOF). </w:t>
      </w:r>
    </w:p>
    <w:p w14:paraId="0F3C8BB8" w14:textId="77777777" w:rsidR="00CA5C3C" w:rsidRDefault="00CA5C3C">
      <w:pPr>
        <w:pStyle w:val="Heading2"/>
        <w:rPr>
          <w:rFonts w:eastAsia="Times New Roman"/>
        </w:rPr>
      </w:pPr>
      <w:r>
        <w:rPr>
          <w:rFonts w:eastAsia="Times New Roman"/>
        </w:rPr>
        <w:t xml:space="preserve">Susceptibility testing </w:t>
      </w:r>
    </w:p>
    <w:p w14:paraId="20C8CDF0" w14:textId="77777777" w:rsidR="00CA5C3C" w:rsidRDefault="00CA5C3C" w:rsidP="00CA5C3C">
      <w:r>
        <w:t>Testing was performed by two commercial semi-automated methods, Vitek 2 (BioMérieux) or Phoenix (BD), which are calibrated to the ISO reference standard method of broth microdilution. Commercially available Vitek AST-N246 and AST-N247, or Phoenix NMIC-203 cards were utilized by all participants throughout the survey period. The CLSI M100</w:t>
      </w:r>
      <w:r>
        <w:rPr>
          <w:vertAlign w:val="superscript"/>
        </w:rPr>
        <w:t>1</w:t>
      </w:r>
      <w:r>
        <w:t xml:space="preserve"> and EUCAST v7.0</w:t>
      </w:r>
      <w:r>
        <w:rPr>
          <w:vertAlign w:val="superscript"/>
        </w:rPr>
        <w:t>2</w:t>
      </w:r>
      <w:r>
        <w:t xml:space="preserve"> breakpoints from January 2017 have been employed in the analysis. For analysis of cefazolin, breakpoints of ≤4 for susceptible, ≥8 for resistant were applied due to the restricted minimum inhibitory concentration (MIC) range available on the commercial cards, recognising that the January 2017 breakpoint is actually susceptible ≤2 mg/L. </w:t>
      </w:r>
    </w:p>
    <w:p w14:paraId="52913D96" w14:textId="77777777" w:rsidR="00CA5C3C" w:rsidRDefault="00CA5C3C">
      <w:pPr>
        <w:pStyle w:val="Heading2"/>
        <w:rPr>
          <w:rFonts w:eastAsia="Times New Roman"/>
        </w:rPr>
      </w:pPr>
      <w:r>
        <w:rPr>
          <w:rFonts w:eastAsia="Times New Roman"/>
        </w:rPr>
        <w:t xml:space="preserve">Molecular confirmation of resistances </w:t>
      </w:r>
    </w:p>
    <w:p w14:paraId="28F495AF" w14:textId="77777777" w:rsidR="00CA5C3C" w:rsidRDefault="00FB3A23" w:rsidP="00CA5C3C">
      <w:r>
        <w:rPr>
          <w:rStyle w:val="Emphasis"/>
          <w:b w:val="0"/>
        </w:rPr>
        <w:t>E.coli</w:t>
      </w:r>
      <w:r w:rsidR="00CA5C3C">
        <w:t xml:space="preserve">, </w:t>
      </w:r>
      <w:r w:rsidR="00CA5C3C" w:rsidRPr="00E03670">
        <w:rPr>
          <w:rStyle w:val="Emphasis"/>
          <w:b w:val="0"/>
        </w:rPr>
        <w:t>Klebsiella</w:t>
      </w:r>
      <w:r w:rsidR="00CA5C3C">
        <w:t xml:space="preserve"> spp., </w:t>
      </w:r>
      <w:r w:rsidR="00CA5C3C" w:rsidRPr="00E03670">
        <w:rPr>
          <w:rStyle w:val="Emphasis"/>
          <w:b w:val="0"/>
        </w:rPr>
        <w:t>Proteus</w:t>
      </w:r>
      <w:r w:rsidR="00CA5C3C">
        <w:t xml:space="preserve"> spp. and </w:t>
      </w:r>
      <w:r w:rsidR="00CA5C3C" w:rsidRPr="00E03670">
        <w:rPr>
          <w:rStyle w:val="Emphasis"/>
          <w:b w:val="0"/>
        </w:rPr>
        <w:t>Salmonella</w:t>
      </w:r>
      <w:r w:rsidR="00CA5C3C">
        <w:t xml:space="preserve"> spp. with ceftazidime or ceftriaxone MIC &gt; 1 mg/L, or cefoxitin MIC &gt; 8 mg/L; any other Enterobacteriaceae with cefepime MIC &gt; 1 mg/L; all isolates with ciprofloxacin MIC &gt; 0.25 mg/L; all isolates with meropenem MIC &gt; 0.25 mg/L; all isolates with amikacin MIC &gt; 32 mg/L, and all isolates with colistin MIC &gt; 2 mg/L were referred to a central laboratory (University of Adelaide) for molecular confirmation of resistance. </w:t>
      </w:r>
    </w:p>
    <w:p w14:paraId="4A1F2D85" w14:textId="77777777" w:rsidR="00CA5C3C" w:rsidRDefault="00CA5C3C" w:rsidP="00CA5C3C">
      <w:r>
        <w:t xml:space="preserve">All referred isolates were screened using real-time polymerase chain reaction (PCR) platform (LC-480) and published primers for the presence of </w:t>
      </w:r>
      <w:proofErr w:type="spellStart"/>
      <w:r w:rsidRPr="00E03670">
        <w:rPr>
          <w:rStyle w:val="Emphasis"/>
          <w:b w:val="0"/>
        </w:rPr>
        <w:t>bla</w:t>
      </w:r>
      <w:r>
        <w:rPr>
          <w:vertAlign w:val="subscript"/>
        </w:rPr>
        <w:t>TEM</w:t>
      </w:r>
      <w:proofErr w:type="spellEnd"/>
      <w:r>
        <w:t xml:space="preserve"> and </w:t>
      </w:r>
      <w:proofErr w:type="spellStart"/>
      <w:r w:rsidRPr="00E03670">
        <w:rPr>
          <w:rStyle w:val="Emphasis"/>
          <w:b w:val="0"/>
        </w:rPr>
        <w:t>bla</w:t>
      </w:r>
      <w:r>
        <w:rPr>
          <w:vertAlign w:val="subscript"/>
        </w:rPr>
        <w:t>SHV</w:t>
      </w:r>
      <w:proofErr w:type="spellEnd"/>
      <w:r>
        <w:t xml:space="preserve">, CTX-M-type genes (groups 1, 2, 9, 8/25), plasmid-borne </w:t>
      </w:r>
      <w:proofErr w:type="spellStart"/>
      <w:r>
        <w:t>AmpC</w:t>
      </w:r>
      <w:proofErr w:type="spellEnd"/>
      <w:r>
        <w:t xml:space="preserve"> (</w:t>
      </w:r>
      <w:proofErr w:type="spellStart"/>
      <w:r w:rsidRPr="00E03670">
        <w:rPr>
          <w:rStyle w:val="Emphasis"/>
          <w:b w:val="0"/>
        </w:rPr>
        <w:t>bla</w:t>
      </w:r>
      <w:r>
        <w:rPr>
          <w:vertAlign w:val="subscript"/>
        </w:rPr>
        <w:t>CIT</w:t>
      </w:r>
      <w:proofErr w:type="spellEnd"/>
      <w:r>
        <w:t xml:space="preserve">, </w:t>
      </w:r>
      <w:proofErr w:type="spellStart"/>
      <w:r w:rsidRPr="00E03670">
        <w:rPr>
          <w:rStyle w:val="Emphasis"/>
          <w:b w:val="0"/>
        </w:rPr>
        <w:t>bla</w:t>
      </w:r>
      <w:r>
        <w:rPr>
          <w:vertAlign w:val="subscript"/>
        </w:rPr>
        <w:t>DHA</w:t>
      </w:r>
      <w:proofErr w:type="spellEnd"/>
      <w:r>
        <w:t xml:space="preserve">, </w:t>
      </w:r>
      <w:proofErr w:type="spellStart"/>
      <w:r w:rsidRPr="00E03670">
        <w:rPr>
          <w:rStyle w:val="Emphasis"/>
          <w:b w:val="0"/>
        </w:rPr>
        <w:t>bla</w:t>
      </w:r>
      <w:r>
        <w:rPr>
          <w:vertAlign w:val="subscript"/>
        </w:rPr>
        <w:t>EBC</w:t>
      </w:r>
      <w:proofErr w:type="spellEnd"/>
      <w:r>
        <w:t xml:space="preserve">, </w:t>
      </w:r>
      <w:proofErr w:type="spellStart"/>
      <w:r w:rsidRPr="00E03670">
        <w:rPr>
          <w:rStyle w:val="Emphasis"/>
          <w:b w:val="0"/>
        </w:rPr>
        <w:t>bla</w:t>
      </w:r>
      <w:r>
        <w:rPr>
          <w:vertAlign w:val="subscript"/>
        </w:rPr>
        <w:t>ACC</w:t>
      </w:r>
      <w:proofErr w:type="spellEnd"/>
      <w:r>
        <w:t xml:space="preserve">, </w:t>
      </w:r>
      <w:proofErr w:type="spellStart"/>
      <w:r w:rsidRPr="00E03670">
        <w:rPr>
          <w:rStyle w:val="Emphasis"/>
          <w:b w:val="0"/>
        </w:rPr>
        <w:t>bla</w:t>
      </w:r>
      <w:r>
        <w:rPr>
          <w:vertAlign w:val="subscript"/>
        </w:rPr>
        <w:t>FOX</w:t>
      </w:r>
      <w:proofErr w:type="spellEnd"/>
      <w:r>
        <w:t xml:space="preserve">, </w:t>
      </w:r>
      <w:proofErr w:type="spellStart"/>
      <w:r w:rsidRPr="00E03670">
        <w:rPr>
          <w:rStyle w:val="Emphasis"/>
          <w:b w:val="0"/>
        </w:rPr>
        <w:t>bla</w:t>
      </w:r>
      <w:r>
        <w:rPr>
          <w:vertAlign w:val="subscript"/>
        </w:rPr>
        <w:t>MOX</w:t>
      </w:r>
      <w:proofErr w:type="spellEnd"/>
      <w:r>
        <w:t xml:space="preserve">), and </w:t>
      </w:r>
      <w:proofErr w:type="spellStart"/>
      <w:r>
        <w:t>carbapenemases</w:t>
      </w:r>
      <w:proofErr w:type="spellEnd"/>
      <w:r>
        <w:t xml:space="preserve"> genes (</w:t>
      </w:r>
      <w:proofErr w:type="spellStart"/>
      <w:r w:rsidRPr="00E03670">
        <w:rPr>
          <w:rStyle w:val="Emphasis"/>
          <w:b w:val="0"/>
        </w:rPr>
        <w:t>bla</w:t>
      </w:r>
      <w:r>
        <w:rPr>
          <w:vertAlign w:val="subscript"/>
        </w:rPr>
        <w:t>IMP</w:t>
      </w:r>
      <w:proofErr w:type="spellEnd"/>
      <w:r>
        <w:t xml:space="preserve">, </w:t>
      </w:r>
      <w:proofErr w:type="spellStart"/>
      <w:r w:rsidRPr="00E03670">
        <w:rPr>
          <w:rStyle w:val="Emphasis"/>
          <w:b w:val="0"/>
        </w:rPr>
        <w:t>bla</w:t>
      </w:r>
      <w:r>
        <w:rPr>
          <w:vertAlign w:val="subscript"/>
        </w:rPr>
        <w:t>NDM</w:t>
      </w:r>
      <w:proofErr w:type="spellEnd"/>
      <w:r>
        <w:t xml:space="preserve">, </w:t>
      </w:r>
      <w:proofErr w:type="spellStart"/>
      <w:r w:rsidRPr="00E03670">
        <w:rPr>
          <w:rStyle w:val="Emphasis"/>
          <w:b w:val="0"/>
        </w:rPr>
        <w:t>bla</w:t>
      </w:r>
      <w:r>
        <w:rPr>
          <w:vertAlign w:val="subscript"/>
        </w:rPr>
        <w:t>KPC</w:t>
      </w:r>
      <w:proofErr w:type="spellEnd"/>
      <w:r>
        <w:t xml:space="preserve">, </w:t>
      </w:r>
      <w:r w:rsidRPr="00E03670">
        <w:rPr>
          <w:rStyle w:val="Emphasis"/>
          <w:b w:val="0"/>
        </w:rPr>
        <w:t>bla</w:t>
      </w:r>
      <w:r>
        <w:rPr>
          <w:vertAlign w:val="subscript"/>
        </w:rPr>
        <w:t>OXA-48-like</w:t>
      </w:r>
      <w:r>
        <w:t xml:space="preserve">, </w:t>
      </w:r>
      <w:proofErr w:type="spellStart"/>
      <w:r w:rsidRPr="00E03670">
        <w:rPr>
          <w:rStyle w:val="Emphasis"/>
          <w:b w:val="0"/>
        </w:rPr>
        <w:t>bla</w:t>
      </w:r>
      <w:r>
        <w:rPr>
          <w:vertAlign w:val="subscript"/>
        </w:rPr>
        <w:t>VIM</w:t>
      </w:r>
      <w:proofErr w:type="spellEnd"/>
      <w:r>
        <w:t xml:space="preserve">, </w:t>
      </w:r>
      <w:proofErr w:type="spellStart"/>
      <w:r w:rsidRPr="00E03670">
        <w:rPr>
          <w:rStyle w:val="Emphasis"/>
          <w:b w:val="0"/>
        </w:rPr>
        <w:t>bla</w:t>
      </w:r>
      <w:r>
        <w:rPr>
          <w:vertAlign w:val="subscript"/>
        </w:rPr>
        <w:t>GES</w:t>
      </w:r>
      <w:proofErr w:type="spellEnd"/>
      <w:r>
        <w:t xml:space="preserve">, </w:t>
      </w:r>
      <w:proofErr w:type="spellStart"/>
      <w:r w:rsidRPr="00E03670">
        <w:rPr>
          <w:rStyle w:val="Emphasis"/>
          <w:b w:val="0"/>
        </w:rPr>
        <w:t>bla</w:t>
      </w:r>
      <w:r>
        <w:rPr>
          <w:vertAlign w:val="subscript"/>
        </w:rPr>
        <w:t>SME</w:t>
      </w:r>
      <w:proofErr w:type="spellEnd"/>
      <w:r>
        <w:t xml:space="preserve">, </w:t>
      </w:r>
      <w:proofErr w:type="spellStart"/>
      <w:r w:rsidRPr="00E03670">
        <w:rPr>
          <w:rStyle w:val="Emphasis"/>
          <w:b w:val="0"/>
        </w:rPr>
        <w:t>bla</w:t>
      </w:r>
      <w:r>
        <w:rPr>
          <w:vertAlign w:val="subscript"/>
        </w:rPr>
        <w:t>IMI</w:t>
      </w:r>
      <w:proofErr w:type="spellEnd"/>
      <w:r>
        <w:t>).</w:t>
      </w:r>
      <w:r>
        <w:rPr>
          <w:vertAlign w:val="superscript"/>
        </w:rPr>
        <w:t>3-</w:t>
      </w:r>
      <w:proofErr w:type="gramStart"/>
      <w:r>
        <w:rPr>
          <w:vertAlign w:val="superscript"/>
        </w:rPr>
        <w:t>5</w:t>
      </w:r>
      <w:proofErr w:type="gramEnd"/>
      <w:r>
        <w:rPr>
          <w:vertAlign w:val="superscript"/>
        </w:rPr>
        <w:t xml:space="preserve"> </w:t>
      </w:r>
    </w:p>
    <w:p w14:paraId="29222414" w14:textId="77777777" w:rsidR="00CA5C3C" w:rsidRDefault="00CA5C3C" w:rsidP="00CA5C3C">
      <w:r>
        <w:lastRenderedPageBreak/>
        <w:t>PCRs were also used to detect</w:t>
      </w:r>
      <w:r w:rsidRPr="00E03670">
        <w:rPr>
          <w:rStyle w:val="Emphasis"/>
          <w:b w:val="0"/>
        </w:rPr>
        <w:t xml:space="preserve"> </w:t>
      </w:r>
      <w:proofErr w:type="spellStart"/>
      <w:r w:rsidRPr="00E03670">
        <w:rPr>
          <w:rStyle w:val="Emphasis"/>
          <w:b w:val="0"/>
        </w:rPr>
        <w:t>bla</w:t>
      </w:r>
      <w:r>
        <w:rPr>
          <w:vertAlign w:val="subscript"/>
        </w:rPr>
        <w:t>IMP</w:t>
      </w:r>
      <w:proofErr w:type="spellEnd"/>
      <w:r>
        <w:t xml:space="preserve"> types, known plasmid-mediated quinolone resistance mechanisms (</w:t>
      </w:r>
      <w:proofErr w:type="spellStart"/>
      <w:r w:rsidRPr="00E03670">
        <w:rPr>
          <w:rStyle w:val="Emphasis"/>
          <w:b w:val="0"/>
        </w:rPr>
        <w:t>qnr</w:t>
      </w:r>
      <w:proofErr w:type="spellEnd"/>
      <w:r>
        <w:t>, efflux [</w:t>
      </w:r>
      <w:proofErr w:type="spellStart"/>
      <w:r w:rsidRPr="00E03670">
        <w:rPr>
          <w:rStyle w:val="Emphasis"/>
          <w:b w:val="0"/>
        </w:rPr>
        <w:t>qepA</w:t>
      </w:r>
      <w:proofErr w:type="spellEnd"/>
      <w:r>
        <w:t xml:space="preserve">, </w:t>
      </w:r>
      <w:proofErr w:type="spellStart"/>
      <w:r w:rsidRPr="00E03670">
        <w:rPr>
          <w:rStyle w:val="Emphasis"/>
          <w:b w:val="0"/>
        </w:rPr>
        <w:t>oqxAB</w:t>
      </w:r>
      <w:proofErr w:type="spellEnd"/>
      <w:r>
        <w:t xml:space="preserve">] and </w:t>
      </w:r>
      <w:proofErr w:type="spellStart"/>
      <w:r w:rsidRPr="00E03670">
        <w:rPr>
          <w:rStyle w:val="Emphasis"/>
          <w:b w:val="0"/>
        </w:rPr>
        <w:t>aac</w:t>
      </w:r>
      <w:proofErr w:type="spellEnd"/>
      <w:r w:rsidRPr="00E03670">
        <w:rPr>
          <w:rStyle w:val="Emphasis"/>
          <w:b w:val="0"/>
        </w:rPr>
        <w:t xml:space="preserve"> </w:t>
      </w:r>
      <w:r>
        <w:t>(</w:t>
      </w:r>
      <w:r w:rsidRPr="00E03670">
        <w:rPr>
          <w:rStyle w:val="Emphasis"/>
          <w:b w:val="0"/>
        </w:rPr>
        <w:t>6’)-</w:t>
      </w:r>
      <w:proofErr w:type="spellStart"/>
      <w:r w:rsidRPr="00E03670">
        <w:rPr>
          <w:rStyle w:val="Emphasis"/>
          <w:b w:val="0"/>
        </w:rPr>
        <w:t>Ib-cr</w:t>
      </w:r>
      <w:proofErr w:type="spellEnd"/>
      <w:r>
        <w:t xml:space="preserve">), aminoglycoside ribosomal </w:t>
      </w:r>
      <w:proofErr w:type="spellStart"/>
      <w:r>
        <w:t>methytransferases</w:t>
      </w:r>
      <w:proofErr w:type="spellEnd"/>
      <w:r>
        <w:t xml:space="preserve"> (</w:t>
      </w:r>
      <w:proofErr w:type="spellStart"/>
      <w:r>
        <w:t>armA</w:t>
      </w:r>
      <w:proofErr w:type="spellEnd"/>
      <w:r>
        <w:t xml:space="preserve">, </w:t>
      </w:r>
      <w:proofErr w:type="spellStart"/>
      <w:r>
        <w:t>rmtB</w:t>
      </w:r>
      <w:proofErr w:type="spellEnd"/>
      <w:r>
        <w:t xml:space="preserve">, </w:t>
      </w:r>
      <w:proofErr w:type="spellStart"/>
      <w:r>
        <w:t>rmtC</w:t>
      </w:r>
      <w:proofErr w:type="spellEnd"/>
      <w:r>
        <w:t xml:space="preserve">, </w:t>
      </w:r>
      <w:proofErr w:type="spellStart"/>
      <w:r>
        <w:t>rmtF</w:t>
      </w:r>
      <w:proofErr w:type="spellEnd"/>
      <w:r>
        <w:t>), and mobile colistin resistance genes (mcr-1, mcr-2, cr-3).</w:t>
      </w:r>
      <w:r>
        <w:rPr>
          <w:vertAlign w:val="superscript"/>
        </w:rPr>
        <w:t>6-11</w:t>
      </w:r>
      <w:r>
        <w:t xml:space="preserve"> All referred </w:t>
      </w:r>
      <w:r w:rsidR="00FB3A23">
        <w:rPr>
          <w:rStyle w:val="Emphasis"/>
          <w:b w:val="0"/>
        </w:rPr>
        <w:t>E.coli</w:t>
      </w:r>
      <w:r w:rsidRPr="00E03670">
        <w:rPr>
          <w:rStyle w:val="Emphasis"/>
          <w:b w:val="0"/>
        </w:rPr>
        <w:t xml:space="preserve"> </w:t>
      </w:r>
      <w:r>
        <w:t>were examined for membership of the O25b-ST131 clone.</w:t>
      </w:r>
      <w:r>
        <w:rPr>
          <w:vertAlign w:val="superscript"/>
        </w:rPr>
        <w:t>12</w:t>
      </w:r>
      <w:r>
        <w:t xml:space="preserve"> All isolates with demonstrated </w:t>
      </w:r>
      <w:proofErr w:type="spellStart"/>
      <w:r>
        <w:t>carbapenemase</w:t>
      </w:r>
      <w:proofErr w:type="spellEnd"/>
      <w:r>
        <w:t xml:space="preserve"> activity and any amikacin resistant isolates were also screened for OXA-23-like, -24, and -58 carbapenemases.</w:t>
      </w:r>
      <w:r>
        <w:rPr>
          <w:vertAlign w:val="superscript"/>
        </w:rPr>
        <w:t>13</w:t>
      </w:r>
      <w:r>
        <w:t xml:space="preserve"> </w:t>
      </w:r>
    </w:p>
    <w:p w14:paraId="1DCEE829" w14:textId="77777777" w:rsidR="00CA5C3C" w:rsidRDefault="00CA5C3C" w:rsidP="00CA5C3C">
      <w:r>
        <w:t xml:space="preserve">All isolates with </w:t>
      </w:r>
      <w:proofErr w:type="spellStart"/>
      <w:r>
        <w:t>carbapenemase</w:t>
      </w:r>
      <w:proofErr w:type="spellEnd"/>
      <w:r>
        <w:t xml:space="preserve"> activity were subjected to whole genome sequencing using the Illumina </w:t>
      </w:r>
      <w:proofErr w:type="spellStart"/>
      <w:r>
        <w:t>MiSeq</w:t>
      </w:r>
      <w:proofErr w:type="spellEnd"/>
      <w:r>
        <w:t xml:space="preserve"> platform. Data were analysed using the Nullarbor bioinformatic pipeline.</w:t>
      </w:r>
      <w:r>
        <w:rPr>
          <w:vertAlign w:val="superscript"/>
        </w:rPr>
        <w:t>14</w:t>
      </w:r>
      <w:r>
        <w:t xml:space="preserve"> The pipeline was used to identify the multi-locus sequence type and the </w:t>
      </w:r>
      <w:proofErr w:type="spellStart"/>
      <w:r>
        <w:t>resistome</w:t>
      </w:r>
      <w:proofErr w:type="spellEnd"/>
      <w:r>
        <w:t xml:space="preserve">. </w:t>
      </w:r>
    </w:p>
    <w:p w14:paraId="25AD3F05" w14:textId="77777777" w:rsidR="00CA5C3C" w:rsidRDefault="00CA5C3C">
      <w:pPr>
        <w:pStyle w:val="Heading1"/>
        <w:rPr>
          <w:rFonts w:eastAsia="Times New Roman"/>
        </w:rPr>
      </w:pPr>
      <w:r>
        <w:rPr>
          <w:rFonts w:eastAsia="Times New Roman"/>
        </w:rPr>
        <w:t xml:space="preserve">Results </w:t>
      </w:r>
    </w:p>
    <w:p w14:paraId="0257594B" w14:textId="77777777" w:rsidR="00CA5C3C" w:rsidRDefault="00CA5C3C" w:rsidP="00CA5C3C">
      <w:r>
        <w:t xml:space="preserve">The species isolated, and the numbers of each, are listed in Table 1. Enterobacteriaceae accounted for 89.2%, followed by </w:t>
      </w:r>
      <w:r w:rsidRPr="00E03670">
        <w:rPr>
          <w:rStyle w:val="Emphasis"/>
          <w:b w:val="0"/>
        </w:rPr>
        <w:t>P.</w:t>
      </w:r>
      <w:r>
        <w:t> </w:t>
      </w:r>
      <w:r w:rsidRPr="00E03670">
        <w:rPr>
          <w:rStyle w:val="Emphasis"/>
          <w:b w:val="0"/>
        </w:rPr>
        <w:t>aeruginosa</w:t>
      </w:r>
      <w:r>
        <w:t xml:space="preserve"> (9.6%) and </w:t>
      </w:r>
      <w:r w:rsidRPr="00E03670">
        <w:rPr>
          <w:rStyle w:val="Emphasis"/>
          <w:b w:val="0"/>
        </w:rPr>
        <w:t>Acinetobacter</w:t>
      </w:r>
      <w:r>
        <w:t xml:space="preserve"> species (1.2%). Of the Enterobacteriaceae, three genera -</w:t>
      </w:r>
      <w:r w:rsidRPr="00E03670">
        <w:rPr>
          <w:rStyle w:val="Emphasis"/>
          <w:b w:val="0"/>
        </w:rPr>
        <w:t xml:space="preserve"> Escherichia</w:t>
      </w:r>
      <w:r>
        <w:t xml:space="preserve"> (60.9%), </w:t>
      </w:r>
      <w:r w:rsidRPr="00E03670">
        <w:rPr>
          <w:rStyle w:val="Emphasis"/>
          <w:b w:val="0"/>
        </w:rPr>
        <w:t>Klebsiella</w:t>
      </w:r>
      <w:r>
        <w:t xml:space="preserve"> (18.2%) and </w:t>
      </w:r>
      <w:r w:rsidRPr="00E03670">
        <w:rPr>
          <w:rStyle w:val="Emphasis"/>
          <w:b w:val="0"/>
        </w:rPr>
        <w:t>Enterobacte</w:t>
      </w:r>
      <w:r>
        <w:t xml:space="preserve">r (8.2%) - contributed 87.2% of all isolates. Major resistances and non-susceptibilities for the top six ranked species are listed in Table 2. Non-susceptibility, (which includes both intermediately resistant and resistant strains), has been included for some agents because these figures provide information about important emerging acquired resistances. Multiple acquired resistances by species are shown in Table 3. Multi-resistance was detected in 21.2% of </w:t>
      </w:r>
      <w:r w:rsidR="00FB3A23">
        <w:rPr>
          <w:rStyle w:val="Emphasis"/>
          <w:b w:val="0"/>
        </w:rPr>
        <w:t>E.coli</w:t>
      </w:r>
      <w:r w:rsidRPr="00E03670">
        <w:rPr>
          <w:rStyle w:val="Emphasis"/>
          <w:b w:val="0"/>
        </w:rPr>
        <w:t xml:space="preserve"> </w:t>
      </w:r>
      <w:r>
        <w:t xml:space="preserve">isolates, 9.9% of </w:t>
      </w:r>
      <w:r w:rsidRPr="00E03670">
        <w:rPr>
          <w:rStyle w:val="Emphasis"/>
          <w:b w:val="0"/>
        </w:rPr>
        <w:t>K. pneumoniae</w:t>
      </w:r>
      <w:r>
        <w:t xml:space="preserve">, and 17.1% of </w:t>
      </w:r>
      <w:r w:rsidRPr="00E03670">
        <w:rPr>
          <w:rStyle w:val="Emphasis"/>
          <w:b w:val="0"/>
        </w:rPr>
        <w:t>E. cloacae</w:t>
      </w:r>
      <w:r>
        <w:t xml:space="preserve"> complex. A more detailed breakdown of resistances and non-</w:t>
      </w:r>
      <w:proofErr w:type="spellStart"/>
      <w:r>
        <w:t>susceptibilites</w:t>
      </w:r>
      <w:proofErr w:type="spellEnd"/>
      <w:r>
        <w:t xml:space="preserve"> by state and territory is provided in the online report from the group (http://www.agargroup.org/surveys).</w:t>
      </w:r>
    </w:p>
    <w:p w14:paraId="6C0947BE" w14:textId="77777777" w:rsidR="00D22403" w:rsidRDefault="00D22403">
      <w:pPr>
        <w:rPr>
          <w:rFonts w:eastAsia="Times New Roman"/>
          <w:b/>
        </w:rPr>
      </w:pPr>
      <w:r>
        <w:rPr>
          <w:rFonts w:eastAsia="Times New Roman"/>
        </w:rPr>
        <w:br w:type="page"/>
      </w:r>
    </w:p>
    <w:p w14:paraId="3B123864" w14:textId="77777777" w:rsidR="00CA5C3C" w:rsidRDefault="00CA5C3C" w:rsidP="00CA5C3C">
      <w:pPr>
        <w:pStyle w:val="CDIFigures"/>
        <w:rPr>
          <w:rFonts w:eastAsia="Times New Roman"/>
        </w:rPr>
      </w:pPr>
      <w:r>
        <w:rPr>
          <w:rFonts w:eastAsia="Times New Roman"/>
        </w:rPr>
        <w:lastRenderedPageBreak/>
        <w:t xml:space="preserve">Table 1. Species, blood cultures, 2016 </w:t>
      </w:r>
    </w:p>
    <w:tbl>
      <w:tblPr>
        <w:tblStyle w:val="CDI-StandardTable"/>
        <w:tblW w:w="0" w:type="auto"/>
        <w:tblInd w:w="12" w:type="dxa"/>
        <w:tblCellMar>
          <w:top w:w="57" w:type="dxa"/>
          <w:left w:w="57" w:type="dxa"/>
          <w:bottom w:w="57" w:type="dxa"/>
          <w:right w:w="57" w:type="dxa"/>
        </w:tblCellMar>
        <w:tblLook w:val="04A0" w:firstRow="1" w:lastRow="0" w:firstColumn="1" w:lastColumn="0" w:noHBand="0" w:noVBand="1"/>
        <w:tblCaption w:val="Table 1. Species, blood cultures, 2016 "/>
        <w:tblDescription w:val="The number and proportion of Gram-negative species  reported in the 2016 Australian Gram negative Sepsis Outcome Program"/>
      </w:tblPr>
      <w:tblGrid>
        <w:gridCol w:w="7196"/>
        <w:gridCol w:w="1701"/>
        <w:gridCol w:w="1663"/>
      </w:tblGrid>
      <w:tr w:rsidR="00CE1008" w:rsidRPr="00CE1008" w14:paraId="25309A00" w14:textId="77777777" w:rsidTr="00CE1008">
        <w:trPr>
          <w:cnfStyle w:val="100000000000" w:firstRow="1" w:lastRow="0" w:firstColumn="0" w:lastColumn="0" w:oddVBand="0" w:evenVBand="0" w:oddHBand="0" w:evenHBand="0" w:firstRowFirstColumn="0" w:firstRowLastColumn="0" w:lastRowFirstColumn="0" w:lastRowLastColumn="0"/>
          <w:tblHeader/>
        </w:trPr>
        <w:tc>
          <w:tcPr>
            <w:tcW w:w="7196" w:type="dxa"/>
            <w:hideMark/>
          </w:tcPr>
          <w:p w14:paraId="450A222E" w14:textId="77777777" w:rsidR="00CA5C3C" w:rsidRPr="00CE1008" w:rsidRDefault="00CA5C3C">
            <w:pPr>
              <w:rPr>
                <w:rFonts w:eastAsia="Times New Roman"/>
                <w:color w:val="FFFFFF" w:themeColor="background1"/>
                <w:sz w:val="24"/>
                <w:szCs w:val="24"/>
              </w:rPr>
            </w:pPr>
            <w:r w:rsidRPr="00CE1008">
              <w:rPr>
                <w:rFonts w:eastAsia="Times New Roman"/>
                <w:color w:val="FFFFFF" w:themeColor="background1"/>
              </w:rPr>
              <w:t xml:space="preserve">Species </w:t>
            </w:r>
          </w:p>
        </w:tc>
        <w:tc>
          <w:tcPr>
            <w:tcW w:w="1701" w:type="dxa"/>
            <w:hideMark/>
          </w:tcPr>
          <w:p w14:paraId="30CE0DFC" w14:textId="77777777" w:rsidR="00CA5C3C" w:rsidRPr="00CE1008" w:rsidRDefault="00CA5C3C">
            <w:pPr>
              <w:rPr>
                <w:rFonts w:eastAsia="Times New Roman"/>
                <w:color w:val="FFFFFF" w:themeColor="background1"/>
                <w:sz w:val="24"/>
                <w:szCs w:val="24"/>
              </w:rPr>
            </w:pPr>
            <w:r w:rsidRPr="00CE1008">
              <w:rPr>
                <w:rFonts w:eastAsia="Times New Roman"/>
                <w:color w:val="FFFFFF" w:themeColor="background1"/>
              </w:rPr>
              <w:t xml:space="preserve">Total </w:t>
            </w:r>
          </w:p>
        </w:tc>
        <w:tc>
          <w:tcPr>
            <w:tcW w:w="1663" w:type="dxa"/>
            <w:hideMark/>
          </w:tcPr>
          <w:p w14:paraId="6BFB5D21" w14:textId="77777777" w:rsidR="00CA5C3C" w:rsidRPr="00CE1008" w:rsidRDefault="00CA5C3C">
            <w:pPr>
              <w:rPr>
                <w:rFonts w:eastAsia="Times New Roman"/>
                <w:color w:val="FFFFFF" w:themeColor="background1"/>
                <w:sz w:val="24"/>
                <w:szCs w:val="24"/>
              </w:rPr>
            </w:pPr>
          </w:p>
        </w:tc>
      </w:tr>
      <w:tr w:rsidR="00CA5C3C" w14:paraId="36B9283D" w14:textId="77777777" w:rsidTr="00CE1008">
        <w:tc>
          <w:tcPr>
            <w:tcW w:w="7196" w:type="dxa"/>
            <w:hideMark/>
          </w:tcPr>
          <w:p w14:paraId="5490B1C3" w14:textId="77777777" w:rsidR="00CA5C3C" w:rsidRDefault="00CA5C3C">
            <w:pPr>
              <w:rPr>
                <w:rFonts w:eastAsia="Times New Roman"/>
                <w:sz w:val="24"/>
                <w:szCs w:val="24"/>
              </w:rPr>
            </w:pPr>
            <w:r>
              <w:rPr>
                <w:rFonts w:eastAsia="Times New Roman"/>
              </w:rPr>
              <w:t xml:space="preserve">Escherichia coli </w:t>
            </w:r>
          </w:p>
        </w:tc>
        <w:tc>
          <w:tcPr>
            <w:tcW w:w="1701" w:type="dxa"/>
            <w:hideMark/>
          </w:tcPr>
          <w:p w14:paraId="4E0075C8" w14:textId="77777777" w:rsidR="00CA5C3C" w:rsidRDefault="00CA5C3C">
            <w:pPr>
              <w:rPr>
                <w:rFonts w:eastAsia="Times New Roman"/>
                <w:sz w:val="24"/>
                <w:szCs w:val="24"/>
              </w:rPr>
            </w:pPr>
            <w:r>
              <w:rPr>
                <w:rFonts w:eastAsia="Times New Roman"/>
              </w:rPr>
              <w:t xml:space="preserve">4,106 </w:t>
            </w:r>
          </w:p>
        </w:tc>
        <w:tc>
          <w:tcPr>
            <w:tcW w:w="1663" w:type="dxa"/>
            <w:hideMark/>
          </w:tcPr>
          <w:p w14:paraId="02B361BC" w14:textId="77777777" w:rsidR="00CA5C3C" w:rsidRDefault="00CA5C3C">
            <w:pPr>
              <w:rPr>
                <w:rFonts w:eastAsia="Times New Roman"/>
                <w:sz w:val="24"/>
                <w:szCs w:val="24"/>
              </w:rPr>
            </w:pPr>
            <w:r>
              <w:rPr>
                <w:rFonts w:eastAsia="Times New Roman"/>
              </w:rPr>
              <w:t xml:space="preserve">54.3% </w:t>
            </w:r>
          </w:p>
        </w:tc>
      </w:tr>
      <w:tr w:rsidR="00CA5C3C" w14:paraId="085D0A1C"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784975D0" w14:textId="77777777" w:rsidR="00CA5C3C" w:rsidRDefault="00CA5C3C">
            <w:pPr>
              <w:rPr>
                <w:rFonts w:eastAsia="Times New Roman"/>
                <w:sz w:val="24"/>
                <w:szCs w:val="24"/>
              </w:rPr>
            </w:pPr>
            <w:r>
              <w:rPr>
                <w:rFonts w:eastAsia="Times New Roman"/>
              </w:rPr>
              <w:t xml:space="preserve">Klebsiella pneumoniae </w:t>
            </w:r>
          </w:p>
        </w:tc>
        <w:tc>
          <w:tcPr>
            <w:tcW w:w="1701" w:type="dxa"/>
            <w:hideMark/>
          </w:tcPr>
          <w:p w14:paraId="3539B29C" w14:textId="77777777" w:rsidR="00CA5C3C" w:rsidRDefault="00CA5C3C">
            <w:pPr>
              <w:rPr>
                <w:rFonts w:eastAsia="Times New Roman"/>
                <w:sz w:val="24"/>
                <w:szCs w:val="24"/>
              </w:rPr>
            </w:pPr>
            <w:r>
              <w:rPr>
                <w:rFonts w:eastAsia="Times New Roman"/>
              </w:rPr>
              <w:t xml:space="preserve">955 </w:t>
            </w:r>
          </w:p>
        </w:tc>
        <w:tc>
          <w:tcPr>
            <w:tcW w:w="1663" w:type="dxa"/>
            <w:hideMark/>
          </w:tcPr>
          <w:p w14:paraId="0185E2DE" w14:textId="77777777" w:rsidR="00CA5C3C" w:rsidRDefault="00CA5C3C">
            <w:pPr>
              <w:rPr>
                <w:rFonts w:eastAsia="Times New Roman"/>
                <w:sz w:val="24"/>
                <w:szCs w:val="24"/>
              </w:rPr>
            </w:pPr>
            <w:r>
              <w:rPr>
                <w:rFonts w:eastAsia="Times New Roman"/>
              </w:rPr>
              <w:t xml:space="preserve">12.6% </w:t>
            </w:r>
          </w:p>
        </w:tc>
      </w:tr>
      <w:tr w:rsidR="00CA5C3C" w14:paraId="149AE47F" w14:textId="77777777" w:rsidTr="00CE1008">
        <w:tc>
          <w:tcPr>
            <w:tcW w:w="7196" w:type="dxa"/>
            <w:hideMark/>
          </w:tcPr>
          <w:p w14:paraId="74599522" w14:textId="77777777" w:rsidR="00CA5C3C" w:rsidRDefault="00CA5C3C">
            <w:pPr>
              <w:rPr>
                <w:rFonts w:eastAsia="Times New Roman"/>
                <w:sz w:val="24"/>
                <w:szCs w:val="24"/>
              </w:rPr>
            </w:pPr>
            <w:r>
              <w:rPr>
                <w:rFonts w:eastAsia="Times New Roman"/>
              </w:rPr>
              <w:t xml:space="preserve">Pseudomonas aeruginosa </w:t>
            </w:r>
          </w:p>
        </w:tc>
        <w:tc>
          <w:tcPr>
            <w:tcW w:w="1701" w:type="dxa"/>
            <w:hideMark/>
          </w:tcPr>
          <w:p w14:paraId="2BBB3133" w14:textId="77777777" w:rsidR="00CA5C3C" w:rsidRDefault="00CA5C3C">
            <w:pPr>
              <w:rPr>
                <w:rFonts w:eastAsia="Times New Roman"/>
                <w:sz w:val="24"/>
                <w:szCs w:val="24"/>
              </w:rPr>
            </w:pPr>
            <w:r>
              <w:rPr>
                <w:rFonts w:eastAsia="Times New Roman"/>
              </w:rPr>
              <w:t xml:space="preserve">723 </w:t>
            </w:r>
          </w:p>
        </w:tc>
        <w:tc>
          <w:tcPr>
            <w:tcW w:w="1663" w:type="dxa"/>
            <w:hideMark/>
          </w:tcPr>
          <w:p w14:paraId="475B4CB7" w14:textId="77777777" w:rsidR="00CA5C3C" w:rsidRDefault="00CA5C3C">
            <w:pPr>
              <w:rPr>
                <w:rFonts w:eastAsia="Times New Roman"/>
                <w:sz w:val="24"/>
                <w:szCs w:val="24"/>
              </w:rPr>
            </w:pPr>
            <w:r>
              <w:rPr>
                <w:rFonts w:eastAsia="Times New Roman"/>
              </w:rPr>
              <w:t xml:space="preserve">9.6% </w:t>
            </w:r>
          </w:p>
        </w:tc>
      </w:tr>
      <w:tr w:rsidR="00CA5C3C" w14:paraId="274E7759"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153C91B7" w14:textId="77777777" w:rsidR="00CA5C3C" w:rsidRDefault="00CA5C3C">
            <w:pPr>
              <w:rPr>
                <w:rFonts w:eastAsia="Times New Roman"/>
                <w:sz w:val="24"/>
                <w:szCs w:val="24"/>
              </w:rPr>
            </w:pPr>
            <w:r>
              <w:rPr>
                <w:rFonts w:eastAsia="Times New Roman"/>
              </w:rPr>
              <w:t xml:space="preserve">Enterobacter cloacae complex </w:t>
            </w:r>
          </w:p>
        </w:tc>
        <w:tc>
          <w:tcPr>
            <w:tcW w:w="1701" w:type="dxa"/>
            <w:hideMark/>
          </w:tcPr>
          <w:p w14:paraId="4FAEC816" w14:textId="77777777" w:rsidR="00CA5C3C" w:rsidRDefault="00CA5C3C">
            <w:pPr>
              <w:rPr>
                <w:rFonts w:eastAsia="Times New Roman"/>
                <w:sz w:val="24"/>
                <w:szCs w:val="24"/>
              </w:rPr>
            </w:pPr>
            <w:r>
              <w:rPr>
                <w:rFonts w:eastAsia="Times New Roman"/>
              </w:rPr>
              <w:t xml:space="preserve">396 </w:t>
            </w:r>
          </w:p>
        </w:tc>
        <w:tc>
          <w:tcPr>
            <w:tcW w:w="1663" w:type="dxa"/>
            <w:hideMark/>
          </w:tcPr>
          <w:p w14:paraId="7F3ECD14" w14:textId="77777777" w:rsidR="00CA5C3C" w:rsidRDefault="00CA5C3C">
            <w:pPr>
              <w:rPr>
                <w:rFonts w:eastAsia="Times New Roman"/>
                <w:sz w:val="24"/>
                <w:szCs w:val="24"/>
              </w:rPr>
            </w:pPr>
            <w:r>
              <w:rPr>
                <w:rFonts w:eastAsia="Times New Roman"/>
              </w:rPr>
              <w:t xml:space="preserve">5.2% </w:t>
            </w:r>
          </w:p>
        </w:tc>
      </w:tr>
      <w:tr w:rsidR="00CA5C3C" w14:paraId="71705221" w14:textId="77777777" w:rsidTr="00CE1008">
        <w:tc>
          <w:tcPr>
            <w:tcW w:w="7196" w:type="dxa"/>
            <w:hideMark/>
          </w:tcPr>
          <w:p w14:paraId="08454736" w14:textId="77777777" w:rsidR="00CA5C3C" w:rsidRDefault="00CA5C3C">
            <w:pPr>
              <w:rPr>
                <w:rFonts w:eastAsia="Times New Roman"/>
                <w:sz w:val="24"/>
                <w:szCs w:val="24"/>
              </w:rPr>
            </w:pPr>
            <w:r>
              <w:rPr>
                <w:rFonts w:eastAsia="Times New Roman"/>
              </w:rPr>
              <w:t xml:space="preserve">Klebsiella </w:t>
            </w:r>
            <w:proofErr w:type="spellStart"/>
            <w:r>
              <w:rPr>
                <w:rFonts w:eastAsia="Times New Roman"/>
              </w:rPr>
              <w:t>oxytoca</w:t>
            </w:r>
            <w:proofErr w:type="spellEnd"/>
            <w:r>
              <w:rPr>
                <w:rFonts w:eastAsia="Times New Roman"/>
              </w:rPr>
              <w:t xml:space="preserve"> </w:t>
            </w:r>
          </w:p>
        </w:tc>
        <w:tc>
          <w:tcPr>
            <w:tcW w:w="1701" w:type="dxa"/>
            <w:hideMark/>
          </w:tcPr>
          <w:p w14:paraId="64C986BB" w14:textId="77777777" w:rsidR="00CA5C3C" w:rsidRDefault="00CA5C3C">
            <w:pPr>
              <w:rPr>
                <w:rFonts w:eastAsia="Times New Roman"/>
                <w:sz w:val="24"/>
                <w:szCs w:val="24"/>
              </w:rPr>
            </w:pPr>
            <w:r>
              <w:rPr>
                <w:rFonts w:eastAsia="Times New Roman"/>
              </w:rPr>
              <w:t xml:space="preserve">243 </w:t>
            </w:r>
          </w:p>
        </w:tc>
        <w:tc>
          <w:tcPr>
            <w:tcW w:w="1663" w:type="dxa"/>
            <w:hideMark/>
          </w:tcPr>
          <w:p w14:paraId="2242A2E8" w14:textId="77777777" w:rsidR="00CA5C3C" w:rsidRDefault="00CA5C3C">
            <w:pPr>
              <w:rPr>
                <w:rFonts w:eastAsia="Times New Roman"/>
                <w:sz w:val="24"/>
                <w:szCs w:val="24"/>
              </w:rPr>
            </w:pPr>
            <w:r>
              <w:rPr>
                <w:rFonts w:eastAsia="Times New Roman"/>
              </w:rPr>
              <w:t xml:space="preserve">3.2% </w:t>
            </w:r>
          </w:p>
        </w:tc>
      </w:tr>
      <w:tr w:rsidR="00CA5C3C" w14:paraId="46999AB0"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7D0BB080" w14:textId="77777777" w:rsidR="00CA5C3C" w:rsidRDefault="00CA5C3C">
            <w:pPr>
              <w:rPr>
                <w:rFonts w:eastAsia="Times New Roman"/>
                <w:sz w:val="24"/>
                <w:szCs w:val="24"/>
              </w:rPr>
            </w:pPr>
            <w:r>
              <w:rPr>
                <w:rFonts w:eastAsia="Times New Roman"/>
              </w:rPr>
              <w:t xml:space="preserve">Proteus mirabilis </w:t>
            </w:r>
          </w:p>
        </w:tc>
        <w:tc>
          <w:tcPr>
            <w:tcW w:w="1701" w:type="dxa"/>
            <w:hideMark/>
          </w:tcPr>
          <w:p w14:paraId="447F09B9" w14:textId="77777777" w:rsidR="00CA5C3C" w:rsidRDefault="00CA5C3C">
            <w:pPr>
              <w:rPr>
                <w:rFonts w:eastAsia="Times New Roman"/>
                <w:sz w:val="24"/>
                <w:szCs w:val="24"/>
              </w:rPr>
            </w:pPr>
            <w:r>
              <w:rPr>
                <w:rFonts w:eastAsia="Times New Roman"/>
              </w:rPr>
              <w:t xml:space="preserve">226 </w:t>
            </w:r>
          </w:p>
        </w:tc>
        <w:tc>
          <w:tcPr>
            <w:tcW w:w="1663" w:type="dxa"/>
            <w:hideMark/>
          </w:tcPr>
          <w:p w14:paraId="58A4D559" w14:textId="77777777" w:rsidR="00CA5C3C" w:rsidRDefault="00CA5C3C">
            <w:pPr>
              <w:rPr>
                <w:rFonts w:eastAsia="Times New Roman"/>
                <w:sz w:val="24"/>
                <w:szCs w:val="24"/>
              </w:rPr>
            </w:pPr>
            <w:r>
              <w:rPr>
                <w:rFonts w:eastAsia="Times New Roman"/>
              </w:rPr>
              <w:t xml:space="preserve">3.0% </w:t>
            </w:r>
          </w:p>
        </w:tc>
      </w:tr>
      <w:tr w:rsidR="00CA5C3C" w14:paraId="32675F7C" w14:textId="77777777" w:rsidTr="00CE1008">
        <w:tc>
          <w:tcPr>
            <w:tcW w:w="7196" w:type="dxa"/>
            <w:hideMark/>
          </w:tcPr>
          <w:p w14:paraId="0DD0263C" w14:textId="77777777" w:rsidR="00CA5C3C" w:rsidRDefault="00CA5C3C">
            <w:pPr>
              <w:rPr>
                <w:rFonts w:eastAsia="Times New Roman"/>
                <w:sz w:val="24"/>
                <w:szCs w:val="24"/>
              </w:rPr>
            </w:pPr>
            <w:r>
              <w:rPr>
                <w:rFonts w:eastAsia="Times New Roman"/>
              </w:rPr>
              <w:t xml:space="preserve">Serratia marcescens </w:t>
            </w:r>
          </w:p>
        </w:tc>
        <w:tc>
          <w:tcPr>
            <w:tcW w:w="1701" w:type="dxa"/>
            <w:hideMark/>
          </w:tcPr>
          <w:p w14:paraId="05578C8A" w14:textId="77777777" w:rsidR="00CA5C3C" w:rsidRDefault="00CA5C3C">
            <w:pPr>
              <w:rPr>
                <w:rFonts w:eastAsia="Times New Roman"/>
                <w:sz w:val="24"/>
                <w:szCs w:val="24"/>
              </w:rPr>
            </w:pPr>
            <w:r>
              <w:rPr>
                <w:rFonts w:eastAsia="Times New Roman"/>
              </w:rPr>
              <w:t xml:space="preserve">175 </w:t>
            </w:r>
          </w:p>
        </w:tc>
        <w:tc>
          <w:tcPr>
            <w:tcW w:w="1663" w:type="dxa"/>
            <w:hideMark/>
          </w:tcPr>
          <w:p w14:paraId="0AB73B37" w14:textId="77777777" w:rsidR="00CA5C3C" w:rsidRDefault="00CA5C3C">
            <w:pPr>
              <w:rPr>
                <w:rFonts w:eastAsia="Times New Roman"/>
                <w:sz w:val="24"/>
                <w:szCs w:val="24"/>
              </w:rPr>
            </w:pPr>
            <w:r>
              <w:rPr>
                <w:rFonts w:eastAsia="Times New Roman"/>
              </w:rPr>
              <w:t xml:space="preserve">2.3% </w:t>
            </w:r>
          </w:p>
        </w:tc>
      </w:tr>
      <w:tr w:rsidR="00CA5C3C" w14:paraId="497E316C"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42C6DBDB" w14:textId="77777777" w:rsidR="00CA5C3C" w:rsidRDefault="00CA5C3C">
            <w:pPr>
              <w:rPr>
                <w:rFonts w:eastAsia="Times New Roman"/>
                <w:sz w:val="24"/>
                <w:szCs w:val="24"/>
              </w:rPr>
            </w:pPr>
            <w:r>
              <w:rPr>
                <w:rFonts w:eastAsia="Times New Roman"/>
              </w:rPr>
              <w:t xml:space="preserve">Enterobacter aerogenes </w:t>
            </w:r>
          </w:p>
        </w:tc>
        <w:tc>
          <w:tcPr>
            <w:tcW w:w="1701" w:type="dxa"/>
            <w:hideMark/>
          </w:tcPr>
          <w:p w14:paraId="61ED4928" w14:textId="77777777" w:rsidR="00CA5C3C" w:rsidRDefault="00CA5C3C">
            <w:pPr>
              <w:rPr>
                <w:rFonts w:eastAsia="Times New Roman"/>
                <w:sz w:val="24"/>
                <w:szCs w:val="24"/>
              </w:rPr>
            </w:pPr>
            <w:r>
              <w:rPr>
                <w:rFonts w:eastAsia="Times New Roman"/>
              </w:rPr>
              <w:t xml:space="preserve">127 </w:t>
            </w:r>
          </w:p>
        </w:tc>
        <w:tc>
          <w:tcPr>
            <w:tcW w:w="1663" w:type="dxa"/>
            <w:hideMark/>
          </w:tcPr>
          <w:p w14:paraId="671C733F" w14:textId="77777777" w:rsidR="00CA5C3C" w:rsidRDefault="00CA5C3C">
            <w:pPr>
              <w:rPr>
                <w:rFonts w:eastAsia="Times New Roman"/>
                <w:sz w:val="24"/>
                <w:szCs w:val="24"/>
              </w:rPr>
            </w:pPr>
            <w:r>
              <w:rPr>
                <w:rFonts w:eastAsia="Times New Roman"/>
              </w:rPr>
              <w:t xml:space="preserve">1.7% </w:t>
            </w:r>
          </w:p>
        </w:tc>
      </w:tr>
      <w:tr w:rsidR="00CA5C3C" w14:paraId="51667AA2" w14:textId="77777777" w:rsidTr="00CE1008">
        <w:tc>
          <w:tcPr>
            <w:tcW w:w="7196" w:type="dxa"/>
            <w:hideMark/>
          </w:tcPr>
          <w:p w14:paraId="093AC78A" w14:textId="77777777" w:rsidR="00CA5C3C" w:rsidRDefault="00CA5C3C">
            <w:pPr>
              <w:rPr>
                <w:rFonts w:eastAsia="Times New Roman"/>
                <w:sz w:val="24"/>
                <w:szCs w:val="24"/>
              </w:rPr>
            </w:pPr>
            <w:r>
              <w:rPr>
                <w:rFonts w:eastAsia="Times New Roman"/>
              </w:rPr>
              <w:t xml:space="preserve">Salmonella species (non-typhoidal) </w:t>
            </w:r>
          </w:p>
        </w:tc>
        <w:tc>
          <w:tcPr>
            <w:tcW w:w="1701" w:type="dxa"/>
            <w:hideMark/>
          </w:tcPr>
          <w:p w14:paraId="2F05C1AA" w14:textId="77777777" w:rsidR="00CA5C3C" w:rsidRDefault="00CA5C3C">
            <w:pPr>
              <w:rPr>
                <w:rFonts w:eastAsia="Times New Roman"/>
                <w:sz w:val="24"/>
                <w:szCs w:val="24"/>
              </w:rPr>
            </w:pPr>
            <w:r>
              <w:rPr>
                <w:rFonts w:eastAsia="Times New Roman"/>
              </w:rPr>
              <w:t xml:space="preserve">116 </w:t>
            </w:r>
          </w:p>
        </w:tc>
        <w:tc>
          <w:tcPr>
            <w:tcW w:w="1663" w:type="dxa"/>
            <w:hideMark/>
          </w:tcPr>
          <w:p w14:paraId="0AE36A02" w14:textId="77777777" w:rsidR="00CA5C3C" w:rsidRDefault="00CA5C3C">
            <w:pPr>
              <w:rPr>
                <w:rFonts w:eastAsia="Times New Roman"/>
                <w:sz w:val="24"/>
                <w:szCs w:val="24"/>
              </w:rPr>
            </w:pPr>
            <w:r>
              <w:rPr>
                <w:rFonts w:eastAsia="Times New Roman"/>
              </w:rPr>
              <w:t xml:space="preserve">1.5% </w:t>
            </w:r>
          </w:p>
        </w:tc>
      </w:tr>
      <w:tr w:rsidR="00CA5C3C" w14:paraId="76728EE1"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637B839F" w14:textId="77777777" w:rsidR="00CA5C3C" w:rsidRDefault="00CA5C3C">
            <w:pPr>
              <w:rPr>
                <w:rFonts w:eastAsia="Times New Roman"/>
                <w:sz w:val="24"/>
                <w:szCs w:val="24"/>
              </w:rPr>
            </w:pPr>
            <w:r>
              <w:rPr>
                <w:rFonts w:eastAsia="Times New Roman"/>
              </w:rPr>
              <w:t xml:space="preserve">Citrobacter </w:t>
            </w:r>
            <w:proofErr w:type="spellStart"/>
            <w:r>
              <w:rPr>
                <w:rFonts w:eastAsia="Times New Roman"/>
              </w:rPr>
              <w:t>freundii</w:t>
            </w:r>
            <w:proofErr w:type="spellEnd"/>
            <w:r>
              <w:rPr>
                <w:rFonts w:eastAsia="Times New Roman"/>
              </w:rPr>
              <w:t xml:space="preserve"> </w:t>
            </w:r>
          </w:p>
        </w:tc>
        <w:tc>
          <w:tcPr>
            <w:tcW w:w="1701" w:type="dxa"/>
            <w:hideMark/>
          </w:tcPr>
          <w:p w14:paraId="147564BF" w14:textId="77777777" w:rsidR="00CA5C3C" w:rsidRDefault="00CA5C3C">
            <w:pPr>
              <w:rPr>
                <w:rFonts w:eastAsia="Times New Roman"/>
                <w:sz w:val="24"/>
                <w:szCs w:val="24"/>
              </w:rPr>
            </w:pPr>
            <w:r>
              <w:rPr>
                <w:rFonts w:eastAsia="Times New Roman"/>
              </w:rPr>
              <w:t xml:space="preserve">77 </w:t>
            </w:r>
          </w:p>
        </w:tc>
        <w:tc>
          <w:tcPr>
            <w:tcW w:w="1663" w:type="dxa"/>
            <w:hideMark/>
          </w:tcPr>
          <w:p w14:paraId="76A6C222" w14:textId="77777777" w:rsidR="00CA5C3C" w:rsidRDefault="00CA5C3C">
            <w:pPr>
              <w:rPr>
                <w:rFonts w:eastAsia="Times New Roman"/>
                <w:sz w:val="24"/>
                <w:szCs w:val="24"/>
              </w:rPr>
            </w:pPr>
            <w:r>
              <w:rPr>
                <w:rFonts w:eastAsia="Times New Roman"/>
              </w:rPr>
              <w:t xml:space="preserve">1.0% </w:t>
            </w:r>
          </w:p>
        </w:tc>
      </w:tr>
      <w:tr w:rsidR="00CA5C3C" w14:paraId="05AAE7FF" w14:textId="77777777" w:rsidTr="00CE1008">
        <w:tc>
          <w:tcPr>
            <w:tcW w:w="7196" w:type="dxa"/>
            <w:hideMark/>
          </w:tcPr>
          <w:p w14:paraId="23E049BF" w14:textId="77777777" w:rsidR="00CA5C3C" w:rsidRDefault="00CA5C3C">
            <w:pPr>
              <w:rPr>
                <w:rFonts w:eastAsia="Times New Roman"/>
                <w:sz w:val="24"/>
                <w:szCs w:val="24"/>
              </w:rPr>
            </w:pPr>
            <w:proofErr w:type="spellStart"/>
            <w:r>
              <w:rPr>
                <w:rFonts w:eastAsia="Times New Roman"/>
              </w:rPr>
              <w:t>Morganella</w:t>
            </w:r>
            <w:proofErr w:type="spellEnd"/>
            <w:r>
              <w:rPr>
                <w:rFonts w:eastAsia="Times New Roman"/>
              </w:rPr>
              <w:t xml:space="preserve"> morganii </w:t>
            </w:r>
          </w:p>
        </w:tc>
        <w:tc>
          <w:tcPr>
            <w:tcW w:w="1701" w:type="dxa"/>
            <w:hideMark/>
          </w:tcPr>
          <w:p w14:paraId="6E79EF8A" w14:textId="77777777" w:rsidR="00CA5C3C" w:rsidRDefault="00CA5C3C">
            <w:pPr>
              <w:rPr>
                <w:rFonts w:eastAsia="Times New Roman"/>
                <w:sz w:val="24"/>
                <w:szCs w:val="24"/>
              </w:rPr>
            </w:pPr>
            <w:r>
              <w:rPr>
                <w:rFonts w:eastAsia="Times New Roman"/>
              </w:rPr>
              <w:t xml:space="preserve">69 </w:t>
            </w:r>
          </w:p>
        </w:tc>
        <w:tc>
          <w:tcPr>
            <w:tcW w:w="1663" w:type="dxa"/>
            <w:hideMark/>
          </w:tcPr>
          <w:p w14:paraId="56E76217" w14:textId="77777777" w:rsidR="00CA5C3C" w:rsidRDefault="00CA5C3C">
            <w:pPr>
              <w:rPr>
                <w:rFonts w:eastAsia="Times New Roman"/>
                <w:sz w:val="24"/>
                <w:szCs w:val="24"/>
              </w:rPr>
            </w:pPr>
            <w:r>
              <w:rPr>
                <w:rFonts w:eastAsia="Times New Roman"/>
              </w:rPr>
              <w:t xml:space="preserve">0.9% </w:t>
            </w:r>
          </w:p>
        </w:tc>
      </w:tr>
      <w:tr w:rsidR="00CA5C3C" w14:paraId="31CC8C60"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0892DABC" w14:textId="77777777" w:rsidR="00CA5C3C" w:rsidRDefault="00CA5C3C">
            <w:pPr>
              <w:rPr>
                <w:rFonts w:eastAsia="Times New Roman"/>
                <w:sz w:val="24"/>
                <w:szCs w:val="24"/>
              </w:rPr>
            </w:pPr>
            <w:r>
              <w:rPr>
                <w:rFonts w:eastAsia="Times New Roman"/>
              </w:rPr>
              <w:t xml:space="preserve">Citrobacter </w:t>
            </w:r>
            <w:proofErr w:type="spellStart"/>
            <w:r>
              <w:rPr>
                <w:rFonts w:eastAsia="Times New Roman"/>
              </w:rPr>
              <w:t>koseri</w:t>
            </w:r>
            <w:proofErr w:type="spellEnd"/>
            <w:r>
              <w:rPr>
                <w:rFonts w:eastAsia="Times New Roman"/>
              </w:rPr>
              <w:t xml:space="preserve"> </w:t>
            </w:r>
          </w:p>
        </w:tc>
        <w:tc>
          <w:tcPr>
            <w:tcW w:w="1701" w:type="dxa"/>
            <w:hideMark/>
          </w:tcPr>
          <w:p w14:paraId="04DE2183" w14:textId="77777777" w:rsidR="00CA5C3C" w:rsidRDefault="00CA5C3C">
            <w:pPr>
              <w:rPr>
                <w:rFonts w:eastAsia="Times New Roman"/>
                <w:sz w:val="24"/>
                <w:szCs w:val="24"/>
              </w:rPr>
            </w:pPr>
            <w:r>
              <w:rPr>
                <w:rFonts w:eastAsia="Times New Roman"/>
              </w:rPr>
              <w:t xml:space="preserve">51 </w:t>
            </w:r>
          </w:p>
        </w:tc>
        <w:tc>
          <w:tcPr>
            <w:tcW w:w="1663" w:type="dxa"/>
            <w:hideMark/>
          </w:tcPr>
          <w:p w14:paraId="58B84F71" w14:textId="77777777" w:rsidR="00CA5C3C" w:rsidRDefault="00CA5C3C">
            <w:pPr>
              <w:rPr>
                <w:rFonts w:eastAsia="Times New Roman"/>
                <w:sz w:val="24"/>
                <w:szCs w:val="24"/>
              </w:rPr>
            </w:pPr>
            <w:r>
              <w:rPr>
                <w:rFonts w:eastAsia="Times New Roman"/>
              </w:rPr>
              <w:t xml:space="preserve">0.7% </w:t>
            </w:r>
          </w:p>
        </w:tc>
      </w:tr>
      <w:tr w:rsidR="00CA5C3C" w14:paraId="0ED74505" w14:textId="77777777" w:rsidTr="00CE1008">
        <w:tc>
          <w:tcPr>
            <w:tcW w:w="7196" w:type="dxa"/>
            <w:hideMark/>
          </w:tcPr>
          <w:p w14:paraId="0F320F0D" w14:textId="77777777" w:rsidR="00CA5C3C" w:rsidRDefault="00CA5C3C">
            <w:pPr>
              <w:rPr>
                <w:rFonts w:eastAsia="Times New Roman"/>
                <w:sz w:val="24"/>
                <w:szCs w:val="24"/>
              </w:rPr>
            </w:pPr>
            <w:r>
              <w:rPr>
                <w:rFonts w:eastAsia="Times New Roman"/>
              </w:rPr>
              <w:t xml:space="preserve">Acinetobacter baumannii complex </w:t>
            </w:r>
          </w:p>
        </w:tc>
        <w:tc>
          <w:tcPr>
            <w:tcW w:w="1701" w:type="dxa"/>
            <w:hideMark/>
          </w:tcPr>
          <w:p w14:paraId="0E7826D7" w14:textId="77777777" w:rsidR="00CA5C3C" w:rsidRDefault="00CA5C3C">
            <w:pPr>
              <w:rPr>
                <w:rFonts w:eastAsia="Times New Roman"/>
                <w:sz w:val="24"/>
                <w:szCs w:val="24"/>
              </w:rPr>
            </w:pPr>
            <w:r>
              <w:rPr>
                <w:rFonts w:eastAsia="Times New Roman"/>
              </w:rPr>
              <w:t xml:space="preserve">48 </w:t>
            </w:r>
          </w:p>
        </w:tc>
        <w:tc>
          <w:tcPr>
            <w:tcW w:w="1663" w:type="dxa"/>
            <w:hideMark/>
          </w:tcPr>
          <w:p w14:paraId="3276B3AA" w14:textId="77777777" w:rsidR="00CA5C3C" w:rsidRDefault="00CA5C3C">
            <w:pPr>
              <w:rPr>
                <w:rFonts w:eastAsia="Times New Roman"/>
                <w:sz w:val="24"/>
                <w:szCs w:val="24"/>
              </w:rPr>
            </w:pPr>
            <w:r>
              <w:rPr>
                <w:rFonts w:eastAsia="Times New Roman"/>
              </w:rPr>
              <w:t xml:space="preserve">0.6% </w:t>
            </w:r>
          </w:p>
        </w:tc>
      </w:tr>
      <w:tr w:rsidR="00CA5C3C" w14:paraId="66496A35"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737F967F" w14:textId="77777777" w:rsidR="00CA5C3C" w:rsidRDefault="00CA5C3C">
            <w:pPr>
              <w:rPr>
                <w:rFonts w:eastAsia="Times New Roman"/>
                <w:sz w:val="24"/>
                <w:szCs w:val="24"/>
              </w:rPr>
            </w:pPr>
            <w:r>
              <w:rPr>
                <w:rFonts w:eastAsia="Times New Roman"/>
              </w:rPr>
              <w:t xml:space="preserve">Salmonella species (typhoidal) </w:t>
            </w:r>
          </w:p>
        </w:tc>
        <w:tc>
          <w:tcPr>
            <w:tcW w:w="1701" w:type="dxa"/>
            <w:hideMark/>
          </w:tcPr>
          <w:p w14:paraId="00BD837F" w14:textId="77777777" w:rsidR="00CA5C3C" w:rsidRDefault="00CA5C3C">
            <w:pPr>
              <w:rPr>
                <w:rFonts w:eastAsia="Times New Roman"/>
                <w:sz w:val="24"/>
                <w:szCs w:val="24"/>
              </w:rPr>
            </w:pPr>
            <w:r>
              <w:rPr>
                <w:rFonts w:eastAsia="Times New Roman"/>
              </w:rPr>
              <w:t xml:space="preserve">32 </w:t>
            </w:r>
          </w:p>
        </w:tc>
        <w:tc>
          <w:tcPr>
            <w:tcW w:w="1663" w:type="dxa"/>
            <w:hideMark/>
          </w:tcPr>
          <w:p w14:paraId="016A4E45" w14:textId="77777777" w:rsidR="00CA5C3C" w:rsidRDefault="00CA5C3C">
            <w:pPr>
              <w:rPr>
                <w:rFonts w:eastAsia="Times New Roman"/>
                <w:sz w:val="24"/>
                <w:szCs w:val="24"/>
              </w:rPr>
            </w:pPr>
            <w:r>
              <w:rPr>
                <w:rFonts w:eastAsia="Times New Roman"/>
              </w:rPr>
              <w:t xml:space="preserve">0.4% </w:t>
            </w:r>
          </w:p>
        </w:tc>
      </w:tr>
      <w:tr w:rsidR="00CA5C3C" w14:paraId="10F4E36B" w14:textId="77777777" w:rsidTr="00CE1008">
        <w:tc>
          <w:tcPr>
            <w:tcW w:w="7196" w:type="dxa"/>
            <w:hideMark/>
          </w:tcPr>
          <w:p w14:paraId="297C60FC" w14:textId="77777777" w:rsidR="00CA5C3C" w:rsidRDefault="00CA5C3C">
            <w:pPr>
              <w:rPr>
                <w:rFonts w:eastAsia="Times New Roman"/>
                <w:sz w:val="24"/>
                <w:szCs w:val="24"/>
              </w:rPr>
            </w:pPr>
            <w:r>
              <w:rPr>
                <w:rFonts w:eastAsia="Times New Roman"/>
              </w:rPr>
              <w:t xml:space="preserve">Klebsiella </w:t>
            </w:r>
            <w:proofErr w:type="spellStart"/>
            <w:r>
              <w:rPr>
                <w:rFonts w:eastAsia="Times New Roman"/>
              </w:rPr>
              <w:t>variicola</w:t>
            </w:r>
            <w:proofErr w:type="spellEnd"/>
            <w:r>
              <w:rPr>
                <w:rFonts w:eastAsia="Times New Roman"/>
              </w:rPr>
              <w:t xml:space="preserve"> </w:t>
            </w:r>
          </w:p>
        </w:tc>
        <w:tc>
          <w:tcPr>
            <w:tcW w:w="1701" w:type="dxa"/>
            <w:hideMark/>
          </w:tcPr>
          <w:p w14:paraId="23A17A17" w14:textId="77777777" w:rsidR="00CA5C3C" w:rsidRDefault="00CA5C3C">
            <w:pPr>
              <w:rPr>
                <w:rFonts w:eastAsia="Times New Roman"/>
                <w:sz w:val="24"/>
                <w:szCs w:val="24"/>
              </w:rPr>
            </w:pPr>
            <w:r>
              <w:rPr>
                <w:rFonts w:eastAsia="Times New Roman"/>
              </w:rPr>
              <w:t xml:space="preserve">19 </w:t>
            </w:r>
          </w:p>
        </w:tc>
        <w:tc>
          <w:tcPr>
            <w:tcW w:w="1663" w:type="dxa"/>
            <w:hideMark/>
          </w:tcPr>
          <w:p w14:paraId="04D59655" w14:textId="77777777" w:rsidR="00CA5C3C" w:rsidRDefault="00CA5C3C">
            <w:pPr>
              <w:rPr>
                <w:rFonts w:eastAsia="Times New Roman"/>
                <w:sz w:val="24"/>
                <w:szCs w:val="24"/>
              </w:rPr>
            </w:pPr>
            <w:r>
              <w:rPr>
                <w:rFonts w:eastAsia="Times New Roman"/>
              </w:rPr>
              <w:t xml:space="preserve">0.3% </w:t>
            </w:r>
          </w:p>
        </w:tc>
      </w:tr>
      <w:tr w:rsidR="00CA5C3C" w14:paraId="3D56B01E"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1DC53D9D" w14:textId="77777777" w:rsidR="00CA5C3C" w:rsidRDefault="00CA5C3C">
            <w:pPr>
              <w:rPr>
                <w:rFonts w:eastAsia="Times New Roman"/>
                <w:sz w:val="24"/>
                <w:szCs w:val="24"/>
              </w:rPr>
            </w:pPr>
            <w:proofErr w:type="spellStart"/>
            <w:r>
              <w:rPr>
                <w:rFonts w:eastAsia="Times New Roman"/>
              </w:rPr>
              <w:t>Raoultella</w:t>
            </w:r>
            <w:proofErr w:type="spellEnd"/>
            <w:r>
              <w:rPr>
                <w:rFonts w:eastAsia="Times New Roman"/>
              </w:rPr>
              <w:t xml:space="preserve"> </w:t>
            </w:r>
            <w:proofErr w:type="spellStart"/>
            <w:r>
              <w:rPr>
                <w:rFonts w:eastAsia="Times New Roman"/>
              </w:rPr>
              <w:t>ornithinolytica</w:t>
            </w:r>
            <w:proofErr w:type="spellEnd"/>
            <w:r>
              <w:rPr>
                <w:rFonts w:eastAsia="Times New Roman"/>
              </w:rPr>
              <w:t xml:space="preserve"> </w:t>
            </w:r>
          </w:p>
        </w:tc>
        <w:tc>
          <w:tcPr>
            <w:tcW w:w="1701" w:type="dxa"/>
            <w:hideMark/>
          </w:tcPr>
          <w:p w14:paraId="32D97D4A" w14:textId="77777777" w:rsidR="00CA5C3C" w:rsidRDefault="00CA5C3C">
            <w:pPr>
              <w:rPr>
                <w:rFonts w:eastAsia="Times New Roman"/>
                <w:sz w:val="24"/>
                <w:szCs w:val="24"/>
              </w:rPr>
            </w:pPr>
            <w:r>
              <w:rPr>
                <w:rFonts w:eastAsia="Times New Roman"/>
              </w:rPr>
              <w:t xml:space="preserve">16 </w:t>
            </w:r>
          </w:p>
        </w:tc>
        <w:tc>
          <w:tcPr>
            <w:tcW w:w="1663" w:type="dxa"/>
            <w:hideMark/>
          </w:tcPr>
          <w:p w14:paraId="5CA83DC6" w14:textId="77777777" w:rsidR="00CA5C3C" w:rsidRDefault="00CA5C3C">
            <w:pPr>
              <w:rPr>
                <w:rFonts w:eastAsia="Times New Roman"/>
                <w:sz w:val="24"/>
                <w:szCs w:val="24"/>
              </w:rPr>
            </w:pPr>
            <w:r>
              <w:rPr>
                <w:rFonts w:eastAsia="Times New Roman"/>
              </w:rPr>
              <w:t xml:space="preserve">0.2% </w:t>
            </w:r>
          </w:p>
        </w:tc>
      </w:tr>
      <w:tr w:rsidR="00CA5C3C" w14:paraId="3ED96552" w14:textId="77777777" w:rsidTr="00CE1008">
        <w:tc>
          <w:tcPr>
            <w:tcW w:w="7196" w:type="dxa"/>
            <w:hideMark/>
          </w:tcPr>
          <w:p w14:paraId="41AF4AE9" w14:textId="77777777" w:rsidR="00CA5C3C" w:rsidRDefault="00CA5C3C">
            <w:pPr>
              <w:rPr>
                <w:rFonts w:eastAsia="Times New Roman"/>
                <w:sz w:val="24"/>
                <w:szCs w:val="24"/>
              </w:rPr>
            </w:pPr>
            <w:r>
              <w:rPr>
                <w:rFonts w:eastAsia="Times New Roman"/>
              </w:rPr>
              <w:t xml:space="preserve">Acinetobacter species </w:t>
            </w:r>
          </w:p>
        </w:tc>
        <w:tc>
          <w:tcPr>
            <w:tcW w:w="1701" w:type="dxa"/>
            <w:hideMark/>
          </w:tcPr>
          <w:p w14:paraId="7CD9A894" w14:textId="77777777" w:rsidR="00CA5C3C" w:rsidRDefault="00CA5C3C">
            <w:pPr>
              <w:rPr>
                <w:rFonts w:eastAsia="Times New Roman"/>
                <w:sz w:val="24"/>
                <w:szCs w:val="24"/>
              </w:rPr>
            </w:pPr>
            <w:r>
              <w:rPr>
                <w:rFonts w:eastAsia="Times New Roman"/>
              </w:rPr>
              <w:t xml:space="preserve">16 </w:t>
            </w:r>
          </w:p>
        </w:tc>
        <w:tc>
          <w:tcPr>
            <w:tcW w:w="1663" w:type="dxa"/>
            <w:hideMark/>
          </w:tcPr>
          <w:p w14:paraId="45253119" w14:textId="77777777" w:rsidR="00CA5C3C" w:rsidRDefault="00CA5C3C">
            <w:pPr>
              <w:rPr>
                <w:rFonts w:eastAsia="Times New Roman"/>
                <w:sz w:val="24"/>
                <w:szCs w:val="24"/>
              </w:rPr>
            </w:pPr>
            <w:r>
              <w:rPr>
                <w:rFonts w:eastAsia="Times New Roman"/>
              </w:rPr>
              <w:t xml:space="preserve">0.2% </w:t>
            </w:r>
          </w:p>
        </w:tc>
      </w:tr>
      <w:tr w:rsidR="00CA5C3C" w14:paraId="064BBD6C"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hideMark/>
          </w:tcPr>
          <w:p w14:paraId="3510E171" w14:textId="77777777" w:rsidR="00CA5C3C" w:rsidRDefault="00CA5C3C">
            <w:pPr>
              <w:rPr>
                <w:rFonts w:eastAsia="Times New Roman"/>
                <w:sz w:val="24"/>
                <w:szCs w:val="24"/>
              </w:rPr>
            </w:pPr>
            <w:r>
              <w:rPr>
                <w:rFonts w:eastAsia="Times New Roman"/>
              </w:rPr>
              <w:t xml:space="preserve">Enterobacter species </w:t>
            </w:r>
          </w:p>
        </w:tc>
        <w:tc>
          <w:tcPr>
            <w:tcW w:w="1701" w:type="dxa"/>
            <w:hideMark/>
          </w:tcPr>
          <w:p w14:paraId="63A5800B" w14:textId="77777777" w:rsidR="00CA5C3C" w:rsidRDefault="00CA5C3C">
            <w:pPr>
              <w:rPr>
                <w:rFonts w:eastAsia="Times New Roman"/>
                <w:sz w:val="24"/>
                <w:szCs w:val="24"/>
              </w:rPr>
            </w:pPr>
            <w:r>
              <w:rPr>
                <w:rFonts w:eastAsia="Times New Roman"/>
              </w:rPr>
              <w:t xml:space="preserve">14 </w:t>
            </w:r>
          </w:p>
        </w:tc>
        <w:tc>
          <w:tcPr>
            <w:tcW w:w="1663" w:type="dxa"/>
            <w:hideMark/>
          </w:tcPr>
          <w:p w14:paraId="5F2E1796" w14:textId="77777777" w:rsidR="00CA5C3C" w:rsidRDefault="00CA5C3C">
            <w:pPr>
              <w:rPr>
                <w:rFonts w:eastAsia="Times New Roman"/>
                <w:sz w:val="24"/>
                <w:szCs w:val="24"/>
              </w:rPr>
            </w:pPr>
            <w:r>
              <w:rPr>
                <w:rFonts w:eastAsia="Times New Roman"/>
              </w:rPr>
              <w:t xml:space="preserve">0.2% </w:t>
            </w:r>
          </w:p>
        </w:tc>
      </w:tr>
      <w:tr w:rsidR="00CA5C3C" w14:paraId="22E7CF77" w14:textId="77777777" w:rsidTr="00CE1008">
        <w:tc>
          <w:tcPr>
            <w:tcW w:w="7196" w:type="dxa"/>
            <w:hideMark/>
          </w:tcPr>
          <w:p w14:paraId="22AE893D" w14:textId="77777777" w:rsidR="00CA5C3C" w:rsidRDefault="00CA5C3C">
            <w:pPr>
              <w:rPr>
                <w:rFonts w:eastAsia="Times New Roman"/>
                <w:sz w:val="24"/>
                <w:szCs w:val="24"/>
              </w:rPr>
            </w:pPr>
            <w:r>
              <w:rPr>
                <w:rFonts w:eastAsia="Times New Roman"/>
              </w:rPr>
              <w:t xml:space="preserve">Providencia </w:t>
            </w:r>
            <w:proofErr w:type="spellStart"/>
            <w:r>
              <w:rPr>
                <w:rFonts w:eastAsia="Times New Roman"/>
              </w:rPr>
              <w:t>rettgeri</w:t>
            </w:r>
            <w:proofErr w:type="spellEnd"/>
            <w:r>
              <w:rPr>
                <w:rFonts w:eastAsia="Times New Roman"/>
              </w:rPr>
              <w:t xml:space="preserve"> </w:t>
            </w:r>
          </w:p>
        </w:tc>
        <w:tc>
          <w:tcPr>
            <w:tcW w:w="1701" w:type="dxa"/>
            <w:hideMark/>
          </w:tcPr>
          <w:p w14:paraId="1CD3BB0F" w14:textId="77777777" w:rsidR="00CA5C3C" w:rsidRDefault="00CA5C3C">
            <w:pPr>
              <w:rPr>
                <w:rFonts w:eastAsia="Times New Roman"/>
                <w:sz w:val="24"/>
                <w:szCs w:val="24"/>
              </w:rPr>
            </w:pPr>
            <w:r>
              <w:rPr>
                <w:rFonts w:eastAsia="Times New Roman"/>
              </w:rPr>
              <w:t xml:space="preserve">13 </w:t>
            </w:r>
          </w:p>
        </w:tc>
        <w:tc>
          <w:tcPr>
            <w:tcW w:w="1663" w:type="dxa"/>
            <w:hideMark/>
          </w:tcPr>
          <w:p w14:paraId="01BBF662" w14:textId="77777777" w:rsidR="00CA5C3C" w:rsidRDefault="00CA5C3C">
            <w:pPr>
              <w:rPr>
                <w:rFonts w:eastAsia="Times New Roman"/>
                <w:sz w:val="24"/>
                <w:szCs w:val="24"/>
              </w:rPr>
            </w:pPr>
            <w:r>
              <w:rPr>
                <w:rFonts w:eastAsia="Times New Roman"/>
              </w:rPr>
              <w:t xml:space="preserve">0.2% </w:t>
            </w:r>
          </w:p>
        </w:tc>
      </w:tr>
      <w:tr w:rsidR="00CA5C3C" w14:paraId="21CA7F62" w14:textId="77777777" w:rsidTr="00CE1008">
        <w:trPr>
          <w:cnfStyle w:val="000000010000" w:firstRow="0" w:lastRow="0" w:firstColumn="0" w:lastColumn="0" w:oddVBand="0" w:evenVBand="0" w:oddHBand="0" w:evenHBand="1" w:firstRowFirstColumn="0" w:firstRowLastColumn="0" w:lastRowFirstColumn="0" w:lastRowLastColumn="0"/>
        </w:trPr>
        <w:tc>
          <w:tcPr>
            <w:tcW w:w="7196" w:type="dxa"/>
            <w:tcBorders>
              <w:bottom w:val="single" w:sz="4" w:space="0" w:color="auto"/>
            </w:tcBorders>
            <w:hideMark/>
          </w:tcPr>
          <w:p w14:paraId="320ED51C" w14:textId="77777777" w:rsidR="00CA5C3C" w:rsidRDefault="00CA5C3C">
            <w:pPr>
              <w:rPr>
                <w:rFonts w:eastAsia="Times New Roman"/>
                <w:sz w:val="24"/>
                <w:szCs w:val="24"/>
              </w:rPr>
            </w:pPr>
            <w:r>
              <w:rPr>
                <w:rFonts w:eastAsia="Times New Roman"/>
              </w:rPr>
              <w:t xml:space="preserve">Other species (total n = 45) </w:t>
            </w:r>
          </w:p>
        </w:tc>
        <w:tc>
          <w:tcPr>
            <w:tcW w:w="1701" w:type="dxa"/>
            <w:tcBorders>
              <w:bottom w:val="single" w:sz="4" w:space="0" w:color="auto"/>
            </w:tcBorders>
            <w:hideMark/>
          </w:tcPr>
          <w:p w14:paraId="7E126B95" w14:textId="77777777" w:rsidR="00CA5C3C" w:rsidRDefault="00CA5C3C">
            <w:pPr>
              <w:rPr>
                <w:rFonts w:eastAsia="Times New Roman"/>
                <w:sz w:val="24"/>
                <w:szCs w:val="24"/>
              </w:rPr>
            </w:pPr>
            <w:r>
              <w:rPr>
                <w:rFonts w:eastAsia="Times New Roman"/>
              </w:rPr>
              <w:t xml:space="preserve">143 </w:t>
            </w:r>
          </w:p>
        </w:tc>
        <w:tc>
          <w:tcPr>
            <w:tcW w:w="1663" w:type="dxa"/>
            <w:tcBorders>
              <w:bottom w:val="single" w:sz="4" w:space="0" w:color="auto"/>
            </w:tcBorders>
            <w:hideMark/>
          </w:tcPr>
          <w:p w14:paraId="23B64039" w14:textId="77777777" w:rsidR="00CA5C3C" w:rsidRDefault="00CA5C3C">
            <w:pPr>
              <w:rPr>
                <w:rFonts w:eastAsia="Times New Roman"/>
                <w:sz w:val="24"/>
                <w:szCs w:val="24"/>
              </w:rPr>
            </w:pPr>
            <w:r>
              <w:rPr>
                <w:rFonts w:eastAsia="Times New Roman"/>
              </w:rPr>
              <w:t xml:space="preserve">1.9% </w:t>
            </w:r>
          </w:p>
        </w:tc>
      </w:tr>
      <w:tr w:rsidR="00CA5C3C" w:rsidRPr="00CE1008" w14:paraId="5EDA91D8" w14:textId="77777777" w:rsidTr="00CE1008">
        <w:tc>
          <w:tcPr>
            <w:tcW w:w="7196" w:type="dxa"/>
            <w:tcBorders>
              <w:top w:val="single" w:sz="4" w:space="0" w:color="auto"/>
              <w:bottom w:val="single" w:sz="4" w:space="0" w:color="auto"/>
            </w:tcBorders>
            <w:shd w:val="clear" w:color="auto" w:fill="FDE9D9" w:themeFill="accent6" w:themeFillTint="33"/>
            <w:hideMark/>
          </w:tcPr>
          <w:p w14:paraId="7085A0AD" w14:textId="77777777" w:rsidR="00CA5C3C" w:rsidRPr="00CE1008" w:rsidRDefault="00CA5C3C">
            <w:pPr>
              <w:rPr>
                <w:rFonts w:eastAsia="Times New Roman"/>
                <w:b/>
                <w:sz w:val="24"/>
                <w:szCs w:val="24"/>
              </w:rPr>
            </w:pPr>
            <w:r w:rsidRPr="00CE1008">
              <w:rPr>
                <w:rFonts w:eastAsia="Times New Roman"/>
                <w:b/>
              </w:rPr>
              <w:t xml:space="preserve">Total </w:t>
            </w:r>
          </w:p>
        </w:tc>
        <w:tc>
          <w:tcPr>
            <w:tcW w:w="1701" w:type="dxa"/>
            <w:tcBorders>
              <w:top w:val="single" w:sz="4" w:space="0" w:color="auto"/>
              <w:bottom w:val="single" w:sz="4" w:space="0" w:color="auto"/>
            </w:tcBorders>
            <w:shd w:val="clear" w:color="auto" w:fill="FDE9D9" w:themeFill="accent6" w:themeFillTint="33"/>
            <w:hideMark/>
          </w:tcPr>
          <w:p w14:paraId="5171F107" w14:textId="77777777" w:rsidR="00CA5C3C" w:rsidRPr="00CE1008" w:rsidRDefault="00CA5C3C">
            <w:pPr>
              <w:rPr>
                <w:rFonts w:eastAsia="Times New Roman"/>
                <w:b/>
                <w:sz w:val="24"/>
                <w:szCs w:val="24"/>
              </w:rPr>
            </w:pPr>
            <w:r w:rsidRPr="00CE1008">
              <w:rPr>
                <w:rFonts w:eastAsia="Times New Roman"/>
                <w:b/>
              </w:rPr>
              <w:t xml:space="preserve">7,565 </w:t>
            </w:r>
          </w:p>
        </w:tc>
        <w:tc>
          <w:tcPr>
            <w:tcW w:w="1663" w:type="dxa"/>
            <w:tcBorders>
              <w:top w:val="single" w:sz="4" w:space="0" w:color="auto"/>
              <w:bottom w:val="single" w:sz="4" w:space="0" w:color="auto"/>
            </w:tcBorders>
            <w:shd w:val="clear" w:color="auto" w:fill="FDE9D9" w:themeFill="accent6" w:themeFillTint="33"/>
            <w:hideMark/>
          </w:tcPr>
          <w:p w14:paraId="1B386DD7" w14:textId="77777777" w:rsidR="00CA5C3C" w:rsidRPr="00CE1008" w:rsidRDefault="00CA5C3C">
            <w:pPr>
              <w:rPr>
                <w:rFonts w:eastAsia="Times New Roman"/>
                <w:b/>
                <w:sz w:val="24"/>
                <w:szCs w:val="24"/>
              </w:rPr>
            </w:pPr>
          </w:p>
        </w:tc>
      </w:tr>
    </w:tbl>
    <w:p w14:paraId="0219E2EA" w14:textId="77777777" w:rsidR="00CA5C3C" w:rsidRDefault="00CA5C3C">
      <w:pPr>
        <w:pStyle w:val="NormalWeb"/>
      </w:pPr>
      <w:r>
        <w:t> </w:t>
      </w:r>
    </w:p>
    <w:p w14:paraId="3622DD83" w14:textId="77777777" w:rsidR="00C13B86" w:rsidRDefault="00CA5C3C" w:rsidP="00C13B86">
      <w:pPr>
        <w:pStyle w:val="NormalWeb"/>
        <w:sectPr w:rsidR="00C13B86"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r>
        <w:t> </w:t>
      </w:r>
    </w:p>
    <w:p w14:paraId="7298AE66" w14:textId="77777777" w:rsidR="00CA5C3C" w:rsidRDefault="00CA5C3C" w:rsidP="00C13B86">
      <w:pPr>
        <w:pStyle w:val="CDIFigures"/>
        <w:rPr>
          <w:rFonts w:eastAsia="Times New Roman"/>
        </w:rPr>
      </w:pPr>
      <w:r>
        <w:rPr>
          <w:rFonts w:eastAsia="Times New Roman"/>
        </w:rPr>
        <w:lastRenderedPageBreak/>
        <w:t xml:space="preserve">Table 2. Non-susceptibility and resistance rates for the top six ranked species tested, </w:t>
      </w:r>
      <w:proofErr w:type="gramStart"/>
      <w:r>
        <w:rPr>
          <w:rFonts w:eastAsia="Times New Roman"/>
        </w:rPr>
        <w:t>2016</w:t>
      </w:r>
      <w:proofErr w:type="gramEnd"/>
      <w:r>
        <w:rPr>
          <w:rFonts w:eastAsia="Times New Roman"/>
        </w:rPr>
        <w:t xml:space="preserve"> </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Caption w:val="Table 2. Non-susceptibility and resistance rates for the top six ranked species tested, 2016 "/>
        <w:tblDescription w:val="The proportion of Escherichia coli, Klebsiella pneumoniae, Pseudomonas aeruginosa, Enterobacter cloacae complex, Klebsiella oxytoca and Proteus mirabilis non-susceptible and resistant to ampicillin, amoxycillin-clavulanate, piperacillin-tazobactam, cefazolin, cefoxitin, ceftriaxone, ceftazidime, cefepime, meropenem, ciprofloxacin, gentamicin, trimethoprim, and nitrofurantoin using CLSI and EUCAST breakpoints   &#10;"/>
      </w:tblPr>
      <w:tblGrid>
        <w:gridCol w:w="2815"/>
        <w:gridCol w:w="1001"/>
        <w:gridCol w:w="921"/>
        <w:gridCol w:w="921"/>
        <w:gridCol w:w="921"/>
        <w:gridCol w:w="922"/>
        <w:gridCol w:w="921"/>
        <w:gridCol w:w="921"/>
        <w:gridCol w:w="921"/>
        <w:gridCol w:w="922"/>
        <w:gridCol w:w="921"/>
        <w:gridCol w:w="921"/>
        <w:gridCol w:w="921"/>
        <w:gridCol w:w="922"/>
      </w:tblGrid>
      <w:tr w:rsidR="0070707F" w:rsidRPr="009B0571" w14:paraId="5B521C1D" w14:textId="77777777" w:rsidTr="00B800FE">
        <w:trPr>
          <w:cnfStyle w:val="100000000000" w:firstRow="1" w:lastRow="0" w:firstColumn="0" w:lastColumn="0" w:oddVBand="0" w:evenVBand="0" w:oddHBand="0" w:evenHBand="0" w:firstRowFirstColumn="0" w:firstRowLastColumn="0" w:lastRowFirstColumn="0" w:lastRowLastColumn="0"/>
          <w:tblHeader/>
        </w:trPr>
        <w:tc>
          <w:tcPr>
            <w:tcW w:w="2815" w:type="dxa"/>
            <w:tcBorders>
              <w:right w:val="single" w:sz="2" w:space="0" w:color="FFFFFF" w:themeColor="background1"/>
            </w:tcBorders>
            <w:hideMark/>
          </w:tcPr>
          <w:p w14:paraId="66677EA8" w14:textId="77777777" w:rsidR="00CA5C3C" w:rsidRPr="009B0571" w:rsidRDefault="00CA5C3C">
            <w:pPr>
              <w:rPr>
                <w:rFonts w:eastAsia="Times New Roman"/>
                <w:color w:val="FFFFFF" w:themeColor="background1"/>
                <w:sz w:val="18"/>
                <w:szCs w:val="18"/>
              </w:rPr>
            </w:pPr>
          </w:p>
        </w:tc>
        <w:tc>
          <w:tcPr>
            <w:tcW w:w="1001" w:type="dxa"/>
            <w:tcBorders>
              <w:top w:val="single" w:sz="2" w:space="0" w:color="FFFFFF" w:themeColor="background1"/>
              <w:left w:val="single" w:sz="2" w:space="0" w:color="FFFFFF" w:themeColor="background1"/>
              <w:bottom w:val="single" w:sz="6" w:space="0" w:color="FFFFFF" w:themeColor="background1"/>
              <w:right w:val="single" w:sz="6" w:space="0" w:color="FFFFFF" w:themeColor="background1"/>
            </w:tcBorders>
            <w:hideMark/>
          </w:tcPr>
          <w:p w14:paraId="2B72D9C2" w14:textId="77777777" w:rsidR="00CA5C3C" w:rsidRPr="009B0571" w:rsidRDefault="00CA5C3C" w:rsidP="00F12FC2">
            <w:pPr>
              <w:jc w:val="center"/>
              <w:rPr>
                <w:rFonts w:eastAsia="Times New Roman"/>
                <w:color w:val="FFFFFF" w:themeColor="background1"/>
                <w:sz w:val="18"/>
                <w:szCs w:val="18"/>
              </w:rPr>
            </w:pPr>
          </w:p>
        </w:tc>
        <w:tc>
          <w:tcPr>
            <w:tcW w:w="1842" w:type="dxa"/>
            <w:gridSpan w:val="2"/>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7018C270" w14:textId="77777777" w:rsidR="00CA5C3C" w:rsidRPr="009B0571" w:rsidRDefault="00DF33C0" w:rsidP="009B0571">
            <w:pPr>
              <w:jc w:val="center"/>
              <w:rPr>
                <w:rFonts w:eastAsia="Times New Roman"/>
                <w:color w:val="FFFFFF" w:themeColor="background1"/>
                <w:sz w:val="18"/>
                <w:szCs w:val="18"/>
              </w:rPr>
            </w:pPr>
            <w:r w:rsidRPr="00DF33C0">
              <w:rPr>
                <w:rFonts w:eastAsia="Times New Roman"/>
                <w:i/>
                <w:color w:val="FFFFFF" w:themeColor="background1"/>
                <w:sz w:val="18"/>
                <w:szCs w:val="18"/>
              </w:rPr>
              <w:t>Escherichia coli</w:t>
            </w:r>
            <w:r w:rsidR="00CA5C3C" w:rsidRPr="009B0571">
              <w:rPr>
                <w:rFonts w:eastAsia="Times New Roman"/>
                <w:color w:val="FFFFFF" w:themeColor="background1"/>
                <w:sz w:val="18"/>
                <w:szCs w:val="18"/>
              </w:rPr>
              <w:br/>
              <w:t>(%)</w:t>
            </w:r>
          </w:p>
        </w:tc>
        <w:tc>
          <w:tcPr>
            <w:tcW w:w="1843" w:type="dxa"/>
            <w:gridSpan w:val="2"/>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00E83029" w14:textId="77777777" w:rsidR="00CA5C3C" w:rsidRPr="009B0571" w:rsidRDefault="000C704C" w:rsidP="000C704C">
            <w:pPr>
              <w:jc w:val="center"/>
              <w:rPr>
                <w:rFonts w:eastAsia="Times New Roman"/>
                <w:color w:val="FFFFFF" w:themeColor="background1"/>
                <w:sz w:val="18"/>
                <w:szCs w:val="18"/>
              </w:rPr>
            </w:pPr>
            <w:r w:rsidRPr="000C704C">
              <w:rPr>
                <w:rFonts w:eastAsia="Times New Roman"/>
                <w:i/>
                <w:color w:val="FFFFFF" w:themeColor="background1"/>
                <w:sz w:val="18"/>
                <w:szCs w:val="18"/>
              </w:rPr>
              <w:t>Klebsiella</w:t>
            </w:r>
            <w:r w:rsidR="009B0571" w:rsidRPr="00075737">
              <w:rPr>
                <w:rFonts w:eastAsia="Times New Roman"/>
                <w:i/>
                <w:color w:val="FFFFFF" w:themeColor="background1"/>
                <w:sz w:val="18"/>
                <w:szCs w:val="18"/>
              </w:rPr>
              <w:t xml:space="preserve"> </w:t>
            </w:r>
            <w:r w:rsidR="00CA5C3C" w:rsidRPr="00075737">
              <w:rPr>
                <w:rFonts w:eastAsia="Times New Roman"/>
                <w:i/>
                <w:color w:val="FFFFFF" w:themeColor="background1"/>
                <w:sz w:val="18"/>
                <w:szCs w:val="18"/>
              </w:rPr>
              <w:t>pneumoniae</w:t>
            </w:r>
            <w:r w:rsidR="00CA5C3C" w:rsidRPr="009B0571">
              <w:rPr>
                <w:rFonts w:eastAsia="Times New Roman"/>
                <w:color w:val="FFFFFF" w:themeColor="background1"/>
                <w:sz w:val="18"/>
                <w:szCs w:val="18"/>
              </w:rPr>
              <w:br/>
              <w:t>(%)</w:t>
            </w:r>
          </w:p>
        </w:tc>
        <w:tc>
          <w:tcPr>
            <w:tcW w:w="1842" w:type="dxa"/>
            <w:gridSpan w:val="2"/>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668C56E8" w14:textId="77777777" w:rsidR="00CA5C3C" w:rsidRPr="009B0571" w:rsidRDefault="00D57B41" w:rsidP="00D57B41">
            <w:pPr>
              <w:jc w:val="center"/>
              <w:rPr>
                <w:rFonts w:eastAsia="Times New Roman"/>
                <w:color w:val="FFFFFF" w:themeColor="background1"/>
                <w:sz w:val="18"/>
                <w:szCs w:val="18"/>
              </w:rPr>
            </w:pPr>
            <w:r w:rsidRPr="00D57B41">
              <w:rPr>
                <w:rFonts w:eastAsia="Times New Roman"/>
                <w:i/>
                <w:color w:val="FFFFFF" w:themeColor="background1"/>
                <w:sz w:val="18"/>
                <w:szCs w:val="18"/>
              </w:rPr>
              <w:t>Pseudomonas</w:t>
            </w:r>
            <w:r>
              <w:rPr>
                <w:rFonts w:eastAsia="Times New Roman"/>
                <w:i/>
                <w:color w:val="FFFFFF" w:themeColor="background1"/>
                <w:sz w:val="18"/>
                <w:szCs w:val="18"/>
              </w:rPr>
              <w:t xml:space="preserve"> </w:t>
            </w:r>
            <w:r w:rsidR="00CA5C3C" w:rsidRPr="00075737">
              <w:rPr>
                <w:rFonts w:eastAsia="Times New Roman"/>
                <w:i/>
                <w:color w:val="FFFFFF" w:themeColor="background1"/>
                <w:sz w:val="18"/>
                <w:szCs w:val="18"/>
              </w:rPr>
              <w:t>aeruginosa</w:t>
            </w:r>
            <w:r w:rsidR="00CA5C3C" w:rsidRPr="009B0571">
              <w:rPr>
                <w:rFonts w:eastAsia="Times New Roman"/>
                <w:color w:val="FFFFFF" w:themeColor="background1"/>
                <w:sz w:val="18"/>
                <w:szCs w:val="18"/>
              </w:rPr>
              <w:br/>
              <w:t>(%)</w:t>
            </w:r>
          </w:p>
        </w:tc>
        <w:tc>
          <w:tcPr>
            <w:tcW w:w="1843" w:type="dxa"/>
            <w:gridSpan w:val="2"/>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30EEDD19" w14:textId="77777777" w:rsidR="00CA5C3C" w:rsidRPr="009B0571" w:rsidRDefault="008E6910" w:rsidP="009B0571">
            <w:pPr>
              <w:jc w:val="center"/>
              <w:rPr>
                <w:rFonts w:eastAsia="Times New Roman"/>
                <w:color w:val="FFFFFF" w:themeColor="background1"/>
                <w:sz w:val="18"/>
                <w:szCs w:val="18"/>
              </w:rPr>
            </w:pPr>
            <w:r w:rsidRPr="008E6910">
              <w:rPr>
                <w:rFonts w:eastAsia="Times New Roman"/>
                <w:i/>
                <w:color w:val="FFFFFF" w:themeColor="background1"/>
                <w:sz w:val="18"/>
                <w:szCs w:val="18"/>
              </w:rPr>
              <w:t>Enterobacter</w:t>
            </w:r>
            <w:r w:rsidR="009B0571" w:rsidRPr="00075737">
              <w:rPr>
                <w:rFonts w:eastAsia="Times New Roman"/>
                <w:i/>
                <w:color w:val="FFFFFF" w:themeColor="background1"/>
                <w:sz w:val="18"/>
                <w:szCs w:val="18"/>
              </w:rPr>
              <w:t xml:space="preserve"> </w:t>
            </w:r>
            <w:r w:rsidR="00CA5C3C" w:rsidRPr="00075737">
              <w:rPr>
                <w:rFonts w:eastAsia="Times New Roman"/>
                <w:i/>
                <w:color w:val="FFFFFF" w:themeColor="background1"/>
                <w:sz w:val="18"/>
                <w:szCs w:val="18"/>
              </w:rPr>
              <w:t>cloacae complex</w:t>
            </w:r>
            <w:r w:rsidR="00CA5C3C" w:rsidRPr="009B0571">
              <w:rPr>
                <w:rFonts w:eastAsia="Times New Roman"/>
                <w:color w:val="FFFFFF" w:themeColor="background1"/>
                <w:sz w:val="18"/>
                <w:szCs w:val="18"/>
              </w:rPr>
              <w:br/>
              <w:t>(%)</w:t>
            </w:r>
          </w:p>
        </w:tc>
        <w:tc>
          <w:tcPr>
            <w:tcW w:w="1842" w:type="dxa"/>
            <w:gridSpan w:val="2"/>
            <w:tcBorders>
              <w:top w:val="single" w:sz="2" w:space="0" w:color="FFFFFF" w:themeColor="background1"/>
              <w:left w:val="single" w:sz="6" w:space="0" w:color="FFFFFF" w:themeColor="background1"/>
              <w:bottom w:val="single" w:sz="6" w:space="0" w:color="FFFFFF" w:themeColor="background1"/>
              <w:right w:val="single" w:sz="6" w:space="0" w:color="FFFFFF" w:themeColor="background1"/>
            </w:tcBorders>
            <w:hideMark/>
          </w:tcPr>
          <w:p w14:paraId="56A4CCB7" w14:textId="77777777" w:rsidR="00CA5C3C" w:rsidRPr="009B0571" w:rsidRDefault="0097383D" w:rsidP="009B0571">
            <w:pPr>
              <w:jc w:val="center"/>
              <w:rPr>
                <w:rFonts w:eastAsia="Times New Roman"/>
                <w:color w:val="FFFFFF" w:themeColor="background1"/>
                <w:sz w:val="18"/>
                <w:szCs w:val="18"/>
              </w:rPr>
            </w:pPr>
            <w:r w:rsidRPr="0097383D">
              <w:rPr>
                <w:rFonts w:eastAsia="Times New Roman"/>
                <w:i/>
                <w:color w:val="FFFFFF" w:themeColor="background1"/>
                <w:sz w:val="18"/>
                <w:szCs w:val="18"/>
              </w:rPr>
              <w:t>Klebsiella</w:t>
            </w:r>
            <w:r w:rsidR="009B0571" w:rsidRPr="00075737">
              <w:rPr>
                <w:rFonts w:eastAsia="Times New Roman"/>
                <w:i/>
                <w:color w:val="FFFFFF" w:themeColor="background1"/>
                <w:sz w:val="18"/>
                <w:szCs w:val="18"/>
              </w:rPr>
              <w:t xml:space="preserve"> </w:t>
            </w:r>
            <w:proofErr w:type="spellStart"/>
            <w:r w:rsidR="00CA5C3C" w:rsidRPr="00075737">
              <w:rPr>
                <w:rFonts w:eastAsia="Times New Roman"/>
                <w:i/>
                <w:color w:val="FFFFFF" w:themeColor="background1"/>
                <w:sz w:val="18"/>
                <w:szCs w:val="18"/>
              </w:rPr>
              <w:t>oxytoca</w:t>
            </w:r>
            <w:proofErr w:type="spellEnd"/>
            <w:r w:rsidR="00CA5C3C" w:rsidRPr="00075737">
              <w:rPr>
                <w:rFonts w:eastAsia="Times New Roman"/>
                <w:i/>
                <w:color w:val="FFFFFF" w:themeColor="background1"/>
                <w:sz w:val="18"/>
                <w:szCs w:val="18"/>
              </w:rPr>
              <w:br/>
            </w:r>
            <w:r w:rsidR="00CA5C3C" w:rsidRPr="009B0571">
              <w:rPr>
                <w:rFonts w:eastAsia="Times New Roman"/>
                <w:color w:val="FFFFFF" w:themeColor="background1"/>
                <w:sz w:val="18"/>
                <w:szCs w:val="18"/>
              </w:rPr>
              <w:t>(%)</w:t>
            </w:r>
          </w:p>
        </w:tc>
        <w:tc>
          <w:tcPr>
            <w:tcW w:w="1843" w:type="dxa"/>
            <w:gridSpan w:val="2"/>
            <w:tcBorders>
              <w:top w:val="single" w:sz="2" w:space="0" w:color="FFFFFF" w:themeColor="background1"/>
              <w:left w:val="single" w:sz="6" w:space="0" w:color="FFFFFF" w:themeColor="background1"/>
              <w:bottom w:val="single" w:sz="6" w:space="0" w:color="FFFFFF" w:themeColor="background1"/>
              <w:right w:val="single" w:sz="2" w:space="0" w:color="FFFFFF" w:themeColor="background1"/>
            </w:tcBorders>
            <w:hideMark/>
          </w:tcPr>
          <w:p w14:paraId="0B4E7102" w14:textId="77777777" w:rsidR="00CA5C3C" w:rsidRPr="009B0571" w:rsidRDefault="00E17C1E" w:rsidP="00E17C1E">
            <w:pPr>
              <w:jc w:val="center"/>
              <w:rPr>
                <w:rFonts w:eastAsia="Times New Roman"/>
                <w:color w:val="FFFFFF" w:themeColor="background1"/>
                <w:sz w:val="18"/>
                <w:szCs w:val="18"/>
              </w:rPr>
            </w:pPr>
            <w:r w:rsidRPr="00E17C1E">
              <w:rPr>
                <w:rFonts w:eastAsia="Times New Roman"/>
                <w:i/>
                <w:color w:val="FFFFFF" w:themeColor="background1"/>
                <w:sz w:val="18"/>
                <w:szCs w:val="18"/>
              </w:rPr>
              <w:t>Proteus</w:t>
            </w:r>
            <w:r w:rsidR="00075737" w:rsidRPr="00075737">
              <w:rPr>
                <w:rFonts w:eastAsia="Times New Roman"/>
                <w:i/>
                <w:color w:val="FFFFFF" w:themeColor="background1"/>
                <w:sz w:val="18"/>
                <w:szCs w:val="18"/>
              </w:rPr>
              <w:t xml:space="preserve"> </w:t>
            </w:r>
            <w:r w:rsidR="00CA5C3C" w:rsidRPr="00075737">
              <w:rPr>
                <w:rFonts w:eastAsia="Times New Roman"/>
                <w:i/>
                <w:color w:val="FFFFFF" w:themeColor="background1"/>
                <w:sz w:val="18"/>
                <w:szCs w:val="18"/>
              </w:rPr>
              <w:t>mirabilis</w:t>
            </w:r>
            <w:r w:rsidR="00CA5C3C" w:rsidRPr="009B0571">
              <w:rPr>
                <w:rFonts w:eastAsia="Times New Roman"/>
                <w:color w:val="FFFFFF" w:themeColor="background1"/>
                <w:sz w:val="18"/>
                <w:szCs w:val="18"/>
              </w:rPr>
              <w:br/>
              <w:t>(%)</w:t>
            </w:r>
          </w:p>
        </w:tc>
      </w:tr>
      <w:tr w:rsidR="00260928" w:rsidRPr="009B0571" w14:paraId="478869EE" w14:textId="77777777" w:rsidTr="00301504">
        <w:trPr>
          <w:cnfStyle w:val="100000000000" w:firstRow="1" w:lastRow="0" w:firstColumn="0" w:lastColumn="0" w:oddVBand="0" w:evenVBand="0" w:oddHBand="0" w:evenHBand="0" w:firstRowFirstColumn="0" w:firstRowLastColumn="0" w:lastRowFirstColumn="0" w:lastRowLastColumn="0"/>
          <w:tblHeader/>
        </w:trPr>
        <w:tc>
          <w:tcPr>
            <w:tcW w:w="2815" w:type="dxa"/>
            <w:tcBorders>
              <w:right w:val="single" w:sz="2" w:space="0" w:color="FFFFFF" w:themeColor="background1"/>
            </w:tcBorders>
            <w:hideMark/>
          </w:tcPr>
          <w:p w14:paraId="780D5BD3" w14:textId="77777777" w:rsidR="00CA5C3C" w:rsidRPr="009B0571" w:rsidRDefault="00CA5C3C">
            <w:pPr>
              <w:rPr>
                <w:rFonts w:eastAsia="Times New Roman"/>
                <w:color w:val="FFFFFF" w:themeColor="background1"/>
                <w:sz w:val="18"/>
                <w:szCs w:val="18"/>
              </w:rPr>
            </w:pPr>
            <w:r w:rsidRPr="009B0571">
              <w:rPr>
                <w:rFonts w:eastAsia="Times New Roman"/>
                <w:color w:val="FFFFFF" w:themeColor="background1"/>
                <w:sz w:val="18"/>
                <w:szCs w:val="18"/>
              </w:rPr>
              <w:t xml:space="preserve">Antimicrobial </w:t>
            </w:r>
          </w:p>
        </w:tc>
        <w:tc>
          <w:tcPr>
            <w:tcW w:w="1001" w:type="dxa"/>
            <w:tcBorders>
              <w:top w:val="single" w:sz="6" w:space="0" w:color="FFFFFF" w:themeColor="background1"/>
              <w:left w:val="single" w:sz="2" w:space="0" w:color="FFFFFF" w:themeColor="background1"/>
              <w:bottom w:val="single" w:sz="2" w:space="0" w:color="FFFFFF" w:themeColor="background1"/>
              <w:right w:val="single" w:sz="6" w:space="0" w:color="FFFFFF" w:themeColor="background1"/>
            </w:tcBorders>
            <w:hideMark/>
          </w:tcPr>
          <w:p w14:paraId="33889EF2"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Category</w:t>
            </w:r>
            <w:r w:rsidRPr="009B0571">
              <w:rPr>
                <w:rFonts w:eastAsia="Times New Roman"/>
                <w:color w:val="FFFFFF" w:themeColor="background1"/>
                <w:sz w:val="18"/>
                <w:szCs w:val="18"/>
                <w:vertAlign w:val="superscript"/>
              </w:rPr>
              <w:t>*</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1B4675F8"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CLSI</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79286C94"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EUCAST</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1EDA6088"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CLSI</w:t>
            </w:r>
          </w:p>
        </w:tc>
        <w:tc>
          <w:tcPr>
            <w:tcW w:w="922"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3AB5F123"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EUCAST</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70F09A3D"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CLSI</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5959FDC9"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EUCAST</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6C69E9F3"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CLSI</w:t>
            </w:r>
          </w:p>
        </w:tc>
        <w:tc>
          <w:tcPr>
            <w:tcW w:w="922"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3640F8A1"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EUCAST</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758EFAF2"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CLSI</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093E1A8A"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EUCAST</w:t>
            </w:r>
          </w:p>
        </w:tc>
        <w:tc>
          <w:tcPr>
            <w:tcW w:w="921" w:type="dxa"/>
            <w:tcBorders>
              <w:top w:val="single" w:sz="6" w:space="0" w:color="FFFFFF" w:themeColor="background1"/>
              <w:left w:val="single" w:sz="6" w:space="0" w:color="FFFFFF" w:themeColor="background1"/>
              <w:bottom w:val="single" w:sz="2" w:space="0" w:color="FFFFFF" w:themeColor="background1"/>
              <w:right w:val="single" w:sz="6" w:space="0" w:color="FFFFFF" w:themeColor="background1"/>
            </w:tcBorders>
            <w:hideMark/>
          </w:tcPr>
          <w:p w14:paraId="2E8CE717"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CLSI</w:t>
            </w:r>
          </w:p>
        </w:tc>
        <w:tc>
          <w:tcPr>
            <w:tcW w:w="922" w:type="dxa"/>
            <w:tcBorders>
              <w:top w:val="single" w:sz="6" w:space="0" w:color="FFFFFF" w:themeColor="background1"/>
              <w:left w:val="single" w:sz="6" w:space="0" w:color="FFFFFF" w:themeColor="background1"/>
              <w:bottom w:val="single" w:sz="2" w:space="0" w:color="FFFFFF" w:themeColor="background1"/>
              <w:right w:val="single" w:sz="2" w:space="0" w:color="FFFFFF" w:themeColor="background1"/>
            </w:tcBorders>
            <w:hideMark/>
          </w:tcPr>
          <w:p w14:paraId="6E8A37B7" w14:textId="77777777" w:rsidR="00CA5C3C" w:rsidRPr="009B0571" w:rsidRDefault="00CA5C3C" w:rsidP="00F12FC2">
            <w:pPr>
              <w:jc w:val="center"/>
              <w:rPr>
                <w:rFonts w:eastAsia="Times New Roman"/>
                <w:color w:val="FFFFFF" w:themeColor="background1"/>
                <w:sz w:val="18"/>
                <w:szCs w:val="18"/>
              </w:rPr>
            </w:pPr>
            <w:r w:rsidRPr="009B0571">
              <w:rPr>
                <w:rFonts w:eastAsia="Times New Roman"/>
                <w:color w:val="FFFFFF" w:themeColor="background1"/>
                <w:sz w:val="18"/>
                <w:szCs w:val="18"/>
              </w:rPr>
              <w:t>EUCAST</w:t>
            </w:r>
          </w:p>
        </w:tc>
      </w:tr>
      <w:tr w:rsidR="0070707F" w:rsidRPr="009B0571" w14:paraId="630461CF" w14:textId="77777777" w:rsidTr="00301504">
        <w:tc>
          <w:tcPr>
            <w:tcW w:w="2815" w:type="dxa"/>
            <w:tcBorders>
              <w:right w:val="single" w:sz="2" w:space="0" w:color="000000" w:themeColor="text1"/>
            </w:tcBorders>
            <w:hideMark/>
          </w:tcPr>
          <w:p w14:paraId="5754B271" w14:textId="77777777" w:rsidR="00CA5C3C" w:rsidRPr="009B0571" w:rsidRDefault="00CA5C3C">
            <w:pPr>
              <w:rPr>
                <w:rFonts w:eastAsia="Times New Roman"/>
                <w:sz w:val="18"/>
                <w:szCs w:val="18"/>
              </w:rPr>
            </w:pPr>
            <w:r w:rsidRPr="009B0571">
              <w:rPr>
                <w:rFonts w:eastAsia="Times New Roman"/>
                <w:sz w:val="18"/>
                <w:szCs w:val="18"/>
              </w:rPr>
              <w:t xml:space="preserve">Ampicillin </w:t>
            </w:r>
          </w:p>
        </w:tc>
        <w:tc>
          <w:tcPr>
            <w:tcW w:w="1001" w:type="dxa"/>
            <w:tcBorders>
              <w:top w:val="single" w:sz="2" w:space="0" w:color="FFFFFF" w:themeColor="background1"/>
              <w:left w:val="single" w:sz="2" w:space="0" w:color="000000" w:themeColor="text1"/>
              <w:right w:val="single" w:sz="2" w:space="0" w:color="000000" w:themeColor="text1"/>
            </w:tcBorders>
            <w:hideMark/>
          </w:tcPr>
          <w:p w14:paraId="674E70DD" w14:textId="77777777" w:rsidR="00CA5C3C" w:rsidRPr="009B0571" w:rsidRDefault="00CA5C3C" w:rsidP="00F12FC2">
            <w:pPr>
              <w:jc w:val="center"/>
              <w:rPr>
                <w:rFonts w:eastAsia="Times New Roman"/>
                <w:sz w:val="18"/>
                <w:szCs w:val="18"/>
              </w:rPr>
            </w:pPr>
            <w:r w:rsidRPr="009B0571">
              <w:rPr>
                <w:rFonts w:eastAsia="Times New Roman"/>
                <w:sz w:val="18"/>
                <w:szCs w:val="18"/>
              </w:rPr>
              <w:t>I</w:t>
            </w:r>
          </w:p>
        </w:tc>
        <w:tc>
          <w:tcPr>
            <w:tcW w:w="921" w:type="dxa"/>
            <w:tcBorders>
              <w:top w:val="single" w:sz="2" w:space="0" w:color="FFFFFF" w:themeColor="background1"/>
              <w:left w:val="single" w:sz="2" w:space="0" w:color="000000" w:themeColor="text1"/>
              <w:right w:val="single" w:sz="2" w:space="0" w:color="000000" w:themeColor="text1"/>
            </w:tcBorders>
            <w:hideMark/>
          </w:tcPr>
          <w:p w14:paraId="474CC9FE" w14:textId="77777777" w:rsidR="00CA5C3C" w:rsidRPr="009B0571" w:rsidRDefault="00CA5C3C" w:rsidP="00F12FC2">
            <w:pPr>
              <w:jc w:val="center"/>
              <w:rPr>
                <w:rFonts w:eastAsia="Times New Roman"/>
                <w:sz w:val="18"/>
                <w:szCs w:val="18"/>
              </w:rPr>
            </w:pPr>
            <w:r w:rsidRPr="009B0571">
              <w:rPr>
                <w:rFonts w:eastAsia="Times New Roman"/>
                <w:sz w:val="18"/>
                <w:szCs w:val="18"/>
              </w:rPr>
              <w:t>1.6</w:t>
            </w:r>
          </w:p>
        </w:tc>
        <w:tc>
          <w:tcPr>
            <w:tcW w:w="921" w:type="dxa"/>
            <w:tcBorders>
              <w:top w:val="single" w:sz="2" w:space="0" w:color="FFFFFF" w:themeColor="background1"/>
              <w:left w:val="single" w:sz="2" w:space="0" w:color="000000" w:themeColor="text1"/>
              <w:right w:val="single" w:sz="2" w:space="0" w:color="000000" w:themeColor="text1"/>
            </w:tcBorders>
            <w:hideMark/>
          </w:tcPr>
          <w:p w14:paraId="67EDEAD7"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top w:val="single" w:sz="2" w:space="0" w:color="FFFFFF" w:themeColor="background1"/>
              <w:left w:val="single" w:sz="2" w:space="0" w:color="000000" w:themeColor="text1"/>
              <w:right w:val="single" w:sz="2" w:space="0" w:color="000000" w:themeColor="text1"/>
            </w:tcBorders>
            <w:hideMark/>
          </w:tcPr>
          <w:p w14:paraId="2D572494"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top w:val="single" w:sz="2" w:space="0" w:color="FFFFFF" w:themeColor="background1"/>
              <w:left w:val="single" w:sz="2" w:space="0" w:color="000000" w:themeColor="text1"/>
              <w:right w:val="single" w:sz="2" w:space="0" w:color="000000" w:themeColor="text1"/>
            </w:tcBorders>
            <w:hideMark/>
          </w:tcPr>
          <w:p w14:paraId="03231FE1"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top w:val="single" w:sz="2" w:space="0" w:color="FFFFFF" w:themeColor="background1"/>
              <w:left w:val="single" w:sz="2" w:space="0" w:color="000000" w:themeColor="text1"/>
              <w:right w:val="single" w:sz="2" w:space="0" w:color="000000" w:themeColor="text1"/>
            </w:tcBorders>
            <w:hideMark/>
          </w:tcPr>
          <w:p w14:paraId="758AB39B"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top w:val="single" w:sz="2" w:space="0" w:color="FFFFFF" w:themeColor="background1"/>
              <w:left w:val="single" w:sz="2" w:space="0" w:color="000000" w:themeColor="text1"/>
              <w:right w:val="single" w:sz="2" w:space="0" w:color="000000" w:themeColor="text1"/>
            </w:tcBorders>
            <w:hideMark/>
          </w:tcPr>
          <w:p w14:paraId="65193C57"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top w:val="single" w:sz="2" w:space="0" w:color="FFFFFF" w:themeColor="background1"/>
              <w:left w:val="single" w:sz="2" w:space="0" w:color="000000" w:themeColor="text1"/>
              <w:right w:val="single" w:sz="2" w:space="0" w:color="000000" w:themeColor="text1"/>
            </w:tcBorders>
            <w:hideMark/>
          </w:tcPr>
          <w:p w14:paraId="142CD044"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top w:val="single" w:sz="2" w:space="0" w:color="FFFFFF" w:themeColor="background1"/>
              <w:left w:val="single" w:sz="2" w:space="0" w:color="000000" w:themeColor="text1"/>
              <w:right w:val="single" w:sz="2" w:space="0" w:color="000000" w:themeColor="text1"/>
            </w:tcBorders>
            <w:hideMark/>
          </w:tcPr>
          <w:p w14:paraId="163E8172"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top w:val="single" w:sz="2" w:space="0" w:color="FFFFFF" w:themeColor="background1"/>
              <w:left w:val="single" w:sz="2" w:space="0" w:color="000000" w:themeColor="text1"/>
              <w:right w:val="single" w:sz="2" w:space="0" w:color="000000" w:themeColor="text1"/>
            </w:tcBorders>
            <w:hideMark/>
          </w:tcPr>
          <w:p w14:paraId="76F8A37D"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top w:val="single" w:sz="2" w:space="0" w:color="FFFFFF" w:themeColor="background1"/>
              <w:left w:val="single" w:sz="2" w:space="0" w:color="000000" w:themeColor="text1"/>
              <w:right w:val="single" w:sz="2" w:space="0" w:color="000000" w:themeColor="text1"/>
            </w:tcBorders>
            <w:hideMark/>
          </w:tcPr>
          <w:p w14:paraId="3BA4F1A4"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top w:val="single" w:sz="2" w:space="0" w:color="FFFFFF" w:themeColor="background1"/>
              <w:left w:val="single" w:sz="2" w:space="0" w:color="000000" w:themeColor="text1"/>
              <w:right w:val="single" w:sz="2" w:space="0" w:color="000000" w:themeColor="text1"/>
            </w:tcBorders>
            <w:hideMark/>
          </w:tcPr>
          <w:p w14:paraId="41D6E48A" w14:textId="77777777" w:rsidR="00CA5C3C" w:rsidRPr="009B0571" w:rsidRDefault="00CA5C3C" w:rsidP="00F12FC2">
            <w:pPr>
              <w:jc w:val="center"/>
              <w:rPr>
                <w:rFonts w:eastAsia="Times New Roman"/>
                <w:sz w:val="18"/>
                <w:szCs w:val="18"/>
              </w:rPr>
            </w:pPr>
            <w:r w:rsidRPr="009B0571">
              <w:rPr>
                <w:rFonts w:eastAsia="Times New Roman"/>
                <w:sz w:val="18"/>
                <w:szCs w:val="18"/>
              </w:rPr>
              <w:t>1.3</w:t>
            </w:r>
          </w:p>
        </w:tc>
        <w:tc>
          <w:tcPr>
            <w:tcW w:w="922" w:type="dxa"/>
            <w:tcBorders>
              <w:top w:val="single" w:sz="2" w:space="0" w:color="FFFFFF" w:themeColor="background1"/>
              <w:left w:val="single" w:sz="2" w:space="0" w:color="000000" w:themeColor="text1"/>
            </w:tcBorders>
            <w:hideMark/>
          </w:tcPr>
          <w:p w14:paraId="6C0A524E"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r>
      <w:tr w:rsidR="00260928" w:rsidRPr="009B0571" w14:paraId="5A9C39E6"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3A293C8F" w14:textId="77777777" w:rsidR="00CA5C3C" w:rsidRPr="009B0571" w:rsidRDefault="00CA5C3C">
            <w:pPr>
              <w:rPr>
                <w:rFonts w:eastAsia="Times New Roman"/>
                <w:sz w:val="18"/>
                <w:szCs w:val="18"/>
              </w:rPr>
            </w:pPr>
          </w:p>
        </w:tc>
        <w:tc>
          <w:tcPr>
            <w:tcW w:w="1001" w:type="dxa"/>
            <w:tcBorders>
              <w:left w:val="single" w:sz="2" w:space="0" w:color="000000" w:themeColor="text1"/>
              <w:right w:val="single" w:sz="2" w:space="0" w:color="000000" w:themeColor="text1"/>
            </w:tcBorders>
            <w:hideMark/>
          </w:tcPr>
          <w:p w14:paraId="5B05052D"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6AA47745" w14:textId="77777777" w:rsidR="00CA5C3C" w:rsidRPr="009B0571" w:rsidRDefault="00CA5C3C" w:rsidP="00F12FC2">
            <w:pPr>
              <w:jc w:val="center"/>
              <w:rPr>
                <w:rFonts w:eastAsia="Times New Roman"/>
                <w:sz w:val="18"/>
                <w:szCs w:val="18"/>
              </w:rPr>
            </w:pPr>
            <w:r w:rsidRPr="009B0571">
              <w:rPr>
                <w:rFonts w:eastAsia="Times New Roman"/>
                <w:sz w:val="18"/>
                <w:szCs w:val="18"/>
              </w:rPr>
              <w:t>53.6</w:t>
            </w:r>
          </w:p>
        </w:tc>
        <w:tc>
          <w:tcPr>
            <w:tcW w:w="921" w:type="dxa"/>
            <w:tcBorders>
              <w:left w:val="single" w:sz="2" w:space="0" w:color="000000" w:themeColor="text1"/>
              <w:right w:val="single" w:sz="2" w:space="0" w:color="000000" w:themeColor="text1"/>
            </w:tcBorders>
            <w:hideMark/>
          </w:tcPr>
          <w:p w14:paraId="42808FCC" w14:textId="77777777" w:rsidR="00CA5C3C" w:rsidRPr="009B0571" w:rsidRDefault="00CA5C3C" w:rsidP="00F12FC2">
            <w:pPr>
              <w:jc w:val="center"/>
              <w:rPr>
                <w:rFonts w:eastAsia="Times New Roman"/>
                <w:sz w:val="18"/>
                <w:szCs w:val="18"/>
              </w:rPr>
            </w:pPr>
            <w:r w:rsidRPr="009B0571">
              <w:rPr>
                <w:rFonts w:eastAsia="Times New Roman"/>
                <w:sz w:val="18"/>
                <w:szCs w:val="18"/>
              </w:rPr>
              <w:t>55.2</w:t>
            </w:r>
          </w:p>
        </w:tc>
        <w:tc>
          <w:tcPr>
            <w:tcW w:w="921" w:type="dxa"/>
            <w:tcBorders>
              <w:left w:val="single" w:sz="2" w:space="0" w:color="000000" w:themeColor="text1"/>
              <w:right w:val="single" w:sz="2" w:space="0" w:color="000000" w:themeColor="text1"/>
            </w:tcBorders>
            <w:hideMark/>
          </w:tcPr>
          <w:p w14:paraId="59195701"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right w:val="single" w:sz="2" w:space="0" w:color="000000" w:themeColor="text1"/>
            </w:tcBorders>
            <w:hideMark/>
          </w:tcPr>
          <w:p w14:paraId="3C2BAFA9"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72FEA841"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2E89B8DB"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74856B1E"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right w:val="single" w:sz="2" w:space="0" w:color="000000" w:themeColor="text1"/>
            </w:tcBorders>
            <w:hideMark/>
          </w:tcPr>
          <w:p w14:paraId="3D6B5BA1"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5AA70189"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53F2BAA3"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21EEDF33" w14:textId="77777777" w:rsidR="00CA5C3C" w:rsidRPr="009B0571" w:rsidRDefault="00CA5C3C" w:rsidP="00F12FC2">
            <w:pPr>
              <w:jc w:val="center"/>
              <w:rPr>
                <w:rFonts w:eastAsia="Times New Roman"/>
                <w:sz w:val="18"/>
                <w:szCs w:val="18"/>
              </w:rPr>
            </w:pPr>
            <w:r w:rsidRPr="009B0571">
              <w:rPr>
                <w:rFonts w:eastAsia="Times New Roman"/>
                <w:sz w:val="18"/>
                <w:szCs w:val="18"/>
              </w:rPr>
              <w:t>16.9</w:t>
            </w:r>
          </w:p>
        </w:tc>
        <w:tc>
          <w:tcPr>
            <w:tcW w:w="922" w:type="dxa"/>
            <w:tcBorders>
              <w:left w:val="single" w:sz="2" w:space="0" w:color="000000" w:themeColor="text1"/>
            </w:tcBorders>
            <w:hideMark/>
          </w:tcPr>
          <w:p w14:paraId="63F57527" w14:textId="77777777" w:rsidR="00CA5C3C" w:rsidRPr="009B0571" w:rsidRDefault="00CA5C3C" w:rsidP="00F12FC2">
            <w:pPr>
              <w:jc w:val="center"/>
              <w:rPr>
                <w:rFonts w:eastAsia="Times New Roman"/>
                <w:sz w:val="18"/>
                <w:szCs w:val="18"/>
              </w:rPr>
            </w:pPr>
            <w:r w:rsidRPr="009B0571">
              <w:rPr>
                <w:rFonts w:eastAsia="Times New Roman"/>
                <w:sz w:val="18"/>
                <w:szCs w:val="18"/>
              </w:rPr>
              <w:t>18.2</w:t>
            </w:r>
          </w:p>
        </w:tc>
      </w:tr>
      <w:tr w:rsidR="0070707F" w:rsidRPr="009B0571" w14:paraId="4C408A24" w14:textId="77777777" w:rsidTr="00301504">
        <w:tc>
          <w:tcPr>
            <w:tcW w:w="2815" w:type="dxa"/>
            <w:tcBorders>
              <w:right w:val="single" w:sz="2" w:space="0" w:color="000000" w:themeColor="text1"/>
            </w:tcBorders>
            <w:hideMark/>
          </w:tcPr>
          <w:p w14:paraId="36661980" w14:textId="77777777" w:rsidR="00CA5C3C" w:rsidRPr="009B0571" w:rsidRDefault="00CA5C3C">
            <w:pPr>
              <w:rPr>
                <w:rFonts w:eastAsia="Times New Roman"/>
                <w:sz w:val="18"/>
                <w:szCs w:val="18"/>
              </w:rPr>
            </w:pPr>
            <w:r w:rsidRPr="009B0571">
              <w:rPr>
                <w:rFonts w:eastAsia="Times New Roman"/>
                <w:sz w:val="18"/>
                <w:szCs w:val="18"/>
              </w:rPr>
              <w:t xml:space="preserve">Amoxycillin-clavulanate (2:1) </w:t>
            </w:r>
            <w:r w:rsidRPr="009B0571">
              <w:rPr>
                <w:rFonts w:eastAsia="Times New Roman"/>
                <w:sz w:val="18"/>
                <w:szCs w:val="18"/>
                <w:vertAlign w:val="superscript"/>
              </w:rPr>
              <w:t>‡</w:t>
            </w:r>
          </w:p>
        </w:tc>
        <w:tc>
          <w:tcPr>
            <w:tcW w:w="1001" w:type="dxa"/>
            <w:tcBorders>
              <w:left w:val="single" w:sz="2" w:space="0" w:color="000000" w:themeColor="text1"/>
              <w:right w:val="single" w:sz="2" w:space="0" w:color="000000" w:themeColor="text1"/>
            </w:tcBorders>
            <w:hideMark/>
          </w:tcPr>
          <w:p w14:paraId="05ED2164" w14:textId="77777777" w:rsidR="00CA5C3C" w:rsidRPr="009B0571" w:rsidRDefault="00CA5C3C" w:rsidP="00F12FC2">
            <w:pPr>
              <w:jc w:val="center"/>
              <w:rPr>
                <w:rFonts w:eastAsia="Times New Roman"/>
                <w:sz w:val="18"/>
                <w:szCs w:val="18"/>
              </w:rPr>
            </w:pPr>
            <w:r w:rsidRPr="009B0571">
              <w:rPr>
                <w:rFonts w:eastAsia="Times New Roman"/>
                <w:sz w:val="18"/>
                <w:szCs w:val="18"/>
              </w:rPr>
              <w:t>I</w:t>
            </w:r>
          </w:p>
        </w:tc>
        <w:tc>
          <w:tcPr>
            <w:tcW w:w="921" w:type="dxa"/>
            <w:tcBorders>
              <w:left w:val="single" w:sz="2" w:space="0" w:color="000000" w:themeColor="text1"/>
              <w:right w:val="single" w:sz="2" w:space="0" w:color="000000" w:themeColor="text1"/>
            </w:tcBorders>
            <w:hideMark/>
          </w:tcPr>
          <w:p w14:paraId="75269D4A" w14:textId="77777777" w:rsidR="00CA5C3C" w:rsidRPr="009B0571" w:rsidRDefault="00CA5C3C" w:rsidP="00F12FC2">
            <w:pPr>
              <w:jc w:val="center"/>
              <w:rPr>
                <w:rFonts w:eastAsia="Times New Roman"/>
                <w:sz w:val="18"/>
                <w:szCs w:val="18"/>
              </w:rPr>
            </w:pPr>
            <w:r w:rsidRPr="009B0571">
              <w:rPr>
                <w:rFonts w:eastAsia="Times New Roman"/>
                <w:sz w:val="18"/>
                <w:szCs w:val="18"/>
              </w:rPr>
              <w:t>12.6</w:t>
            </w:r>
          </w:p>
        </w:tc>
        <w:tc>
          <w:tcPr>
            <w:tcW w:w="921" w:type="dxa"/>
            <w:tcBorders>
              <w:left w:val="single" w:sz="2" w:space="0" w:color="000000" w:themeColor="text1"/>
              <w:right w:val="single" w:sz="2" w:space="0" w:color="000000" w:themeColor="text1"/>
            </w:tcBorders>
            <w:hideMark/>
          </w:tcPr>
          <w:p w14:paraId="656D2747"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2788B153" w14:textId="77777777" w:rsidR="00CA5C3C" w:rsidRPr="009B0571" w:rsidRDefault="00CA5C3C" w:rsidP="00F12FC2">
            <w:pPr>
              <w:jc w:val="center"/>
              <w:rPr>
                <w:rFonts w:eastAsia="Times New Roman"/>
                <w:sz w:val="18"/>
                <w:szCs w:val="18"/>
              </w:rPr>
            </w:pPr>
            <w:r w:rsidRPr="009B0571">
              <w:rPr>
                <w:rFonts w:eastAsia="Times New Roman"/>
                <w:sz w:val="18"/>
                <w:szCs w:val="18"/>
              </w:rPr>
              <w:t>4.6</w:t>
            </w:r>
          </w:p>
        </w:tc>
        <w:tc>
          <w:tcPr>
            <w:tcW w:w="922" w:type="dxa"/>
            <w:tcBorders>
              <w:left w:val="single" w:sz="2" w:space="0" w:color="000000" w:themeColor="text1"/>
              <w:right w:val="single" w:sz="2" w:space="0" w:color="000000" w:themeColor="text1"/>
            </w:tcBorders>
            <w:hideMark/>
          </w:tcPr>
          <w:p w14:paraId="42079186"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37668963"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73B16E48"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78E0BFC2"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right w:val="single" w:sz="2" w:space="0" w:color="000000" w:themeColor="text1"/>
            </w:tcBorders>
            <w:hideMark/>
          </w:tcPr>
          <w:p w14:paraId="61295C34"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0AC311EF" w14:textId="77777777" w:rsidR="00CA5C3C" w:rsidRPr="009B0571" w:rsidRDefault="00CA5C3C" w:rsidP="00F12FC2">
            <w:pPr>
              <w:jc w:val="center"/>
              <w:rPr>
                <w:rFonts w:eastAsia="Times New Roman"/>
                <w:sz w:val="18"/>
                <w:szCs w:val="18"/>
              </w:rPr>
            </w:pPr>
            <w:r w:rsidRPr="009B0571">
              <w:rPr>
                <w:rFonts w:eastAsia="Times New Roman"/>
                <w:sz w:val="18"/>
                <w:szCs w:val="18"/>
              </w:rPr>
              <w:t>5.0</w:t>
            </w:r>
          </w:p>
        </w:tc>
        <w:tc>
          <w:tcPr>
            <w:tcW w:w="921" w:type="dxa"/>
            <w:tcBorders>
              <w:left w:val="single" w:sz="2" w:space="0" w:color="000000" w:themeColor="text1"/>
              <w:right w:val="single" w:sz="2" w:space="0" w:color="000000" w:themeColor="text1"/>
            </w:tcBorders>
            <w:hideMark/>
          </w:tcPr>
          <w:p w14:paraId="7893A588"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53425CF3" w14:textId="77777777" w:rsidR="00CA5C3C" w:rsidRPr="009B0571" w:rsidRDefault="00CA5C3C" w:rsidP="00F12FC2">
            <w:pPr>
              <w:jc w:val="center"/>
              <w:rPr>
                <w:rFonts w:eastAsia="Times New Roman"/>
                <w:sz w:val="18"/>
                <w:szCs w:val="18"/>
              </w:rPr>
            </w:pPr>
            <w:r w:rsidRPr="009B0571">
              <w:rPr>
                <w:rFonts w:eastAsia="Times New Roman"/>
                <w:sz w:val="18"/>
                <w:szCs w:val="18"/>
              </w:rPr>
              <w:t>6.4</w:t>
            </w:r>
          </w:p>
        </w:tc>
        <w:tc>
          <w:tcPr>
            <w:tcW w:w="922" w:type="dxa"/>
            <w:tcBorders>
              <w:left w:val="single" w:sz="2" w:space="0" w:color="000000" w:themeColor="text1"/>
            </w:tcBorders>
            <w:hideMark/>
          </w:tcPr>
          <w:p w14:paraId="33F4AA93"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r>
      <w:tr w:rsidR="00260928" w:rsidRPr="009B0571" w14:paraId="4501C0C7"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63005E85" w14:textId="77777777" w:rsidR="00CA5C3C" w:rsidRPr="009B0571" w:rsidRDefault="00CA5C3C">
            <w:pPr>
              <w:rPr>
                <w:rFonts w:eastAsia="Times New Roman"/>
                <w:sz w:val="18"/>
                <w:szCs w:val="18"/>
              </w:rPr>
            </w:pPr>
          </w:p>
        </w:tc>
        <w:tc>
          <w:tcPr>
            <w:tcW w:w="1001" w:type="dxa"/>
            <w:tcBorders>
              <w:left w:val="single" w:sz="2" w:space="0" w:color="000000" w:themeColor="text1"/>
              <w:right w:val="single" w:sz="2" w:space="0" w:color="000000" w:themeColor="text1"/>
            </w:tcBorders>
            <w:hideMark/>
          </w:tcPr>
          <w:p w14:paraId="2036ED2F"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7635E7E2" w14:textId="77777777" w:rsidR="00CA5C3C" w:rsidRPr="009B0571" w:rsidRDefault="00CA5C3C" w:rsidP="00F12FC2">
            <w:pPr>
              <w:jc w:val="center"/>
              <w:rPr>
                <w:rFonts w:eastAsia="Times New Roman"/>
                <w:sz w:val="18"/>
                <w:szCs w:val="18"/>
              </w:rPr>
            </w:pPr>
            <w:r w:rsidRPr="009B0571">
              <w:rPr>
                <w:rFonts w:eastAsia="Times New Roman"/>
                <w:sz w:val="18"/>
                <w:szCs w:val="18"/>
              </w:rPr>
              <w:t>8.3</w:t>
            </w:r>
          </w:p>
        </w:tc>
        <w:tc>
          <w:tcPr>
            <w:tcW w:w="921" w:type="dxa"/>
            <w:tcBorders>
              <w:left w:val="single" w:sz="2" w:space="0" w:color="000000" w:themeColor="text1"/>
              <w:right w:val="single" w:sz="2" w:space="0" w:color="000000" w:themeColor="text1"/>
            </w:tcBorders>
            <w:hideMark/>
          </w:tcPr>
          <w:p w14:paraId="0D0DB1B4"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61670FBE" w14:textId="77777777" w:rsidR="00CA5C3C" w:rsidRPr="009B0571" w:rsidRDefault="00CA5C3C" w:rsidP="00F12FC2">
            <w:pPr>
              <w:jc w:val="center"/>
              <w:rPr>
                <w:rFonts w:eastAsia="Times New Roman"/>
                <w:sz w:val="18"/>
                <w:szCs w:val="18"/>
              </w:rPr>
            </w:pPr>
            <w:r w:rsidRPr="009B0571">
              <w:rPr>
                <w:rFonts w:eastAsia="Times New Roman"/>
                <w:sz w:val="18"/>
                <w:szCs w:val="18"/>
              </w:rPr>
              <w:t>4.9</w:t>
            </w:r>
          </w:p>
        </w:tc>
        <w:tc>
          <w:tcPr>
            <w:tcW w:w="922" w:type="dxa"/>
            <w:tcBorders>
              <w:left w:val="single" w:sz="2" w:space="0" w:color="000000" w:themeColor="text1"/>
              <w:right w:val="single" w:sz="2" w:space="0" w:color="000000" w:themeColor="text1"/>
            </w:tcBorders>
            <w:hideMark/>
          </w:tcPr>
          <w:p w14:paraId="49D3E58F"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611A6A40"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4D6B0825"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1E2446B0"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right w:val="single" w:sz="2" w:space="0" w:color="000000" w:themeColor="text1"/>
            </w:tcBorders>
            <w:hideMark/>
          </w:tcPr>
          <w:p w14:paraId="70B8A035"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75E6FC06" w14:textId="77777777" w:rsidR="00CA5C3C" w:rsidRPr="009B0571" w:rsidRDefault="00CA5C3C" w:rsidP="00F12FC2">
            <w:pPr>
              <w:jc w:val="center"/>
              <w:rPr>
                <w:rFonts w:eastAsia="Times New Roman"/>
                <w:sz w:val="18"/>
                <w:szCs w:val="18"/>
              </w:rPr>
            </w:pPr>
            <w:r w:rsidRPr="009B0571">
              <w:rPr>
                <w:rFonts w:eastAsia="Times New Roman"/>
                <w:sz w:val="18"/>
                <w:szCs w:val="18"/>
              </w:rPr>
              <w:t>9.9</w:t>
            </w:r>
          </w:p>
        </w:tc>
        <w:tc>
          <w:tcPr>
            <w:tcW w:w="921" w:type="dxa"/>
            <w:tcBorders>
              <w:left w:val="single" w:sz="2" w:space="0" w:color="000000" w:themeColor="text1"/>
              <w:right w:val="single" w:sz="2" w:space="0" w:color="000000" w:themeColor="text1"/>
            </w:tcBorders>
            <w:hideMark/>
          </w:tcPr>
          <w:p w14:paraId="395F6C3D"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1CC835F5" w14:textId="77777777" w:rsidR="00CA5C3C" w:rsidRPr="009B0571" w:rsidRDefault="00CA5C3C" w:rsidP="00F12FC2">
            <w:pPr>
              <w:jc w:val="center"/>
              <w:rPr>
                <w:rFonts w:eastAsia="Times New Roman"/>
                <w:sz w:val="18"/>
                <w:szCs w:val="18"/>
              </w:rPr>
            </w:pPr>
            <w:r w:rsidRPr="009B0571">
              <w:rPr>
                <w:rFonts w:eastAsia="Times New Roman"/>
                <w:sz w:val="18"/>
                <w:szCs w:val="18"/>
              </w:rPr>
              <w:t>2.7</w:t>
            </w:r>
          </w:p>
        </w:tc>
        <w:tc>
          <w:tcPr>
            <w:tcW w:w="922" w:type="dxa"/>
            <w:tcBorders>
              <w:left w:val="single" w:sz="2" w:space="0" w:color="000000" w:themeColor="text1"/>
            </w:tcBorders>
            <w:hideMark/>
          </w:tcPr>
          <w:p w14:paraId="47CAAAA8"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r>
      <w:tr w:rsidR="0070707F" w:rsidRPr="009B0571" w14:paraId="196FD9D4" w14:textId="77777777" w:rsidTr="00301504">
        <w:tc>
          <w:tcPr>
            <w:tcW w:w="2815" w:type="dxa"/>
            <w:tcBorders>
              <w:right w:val="single" w:sz="2" w:space="0" w:color="000000" w:themeColor="text1"/>
            </w:tcBorders>
            <w:hideMark/>
          </w:tcPr>
          <w:p w14:paraId="6F4D72A6" w14:textId="77777777" w:rsidR="00CA5C3C" w:rsidRPr="009B0571" w:rsidRDefault="00CA5C3C">
            <w:pPr>
              <w:rPr>
                <w:rFonts w:eastAsia="Times New Roman"/>
                <w:sz w:val="18"/>
                <w:szCs w:val="18"/>
              </w:rPr>
            </w:pPr>
            <w:r w:rsidRPr="009B0571">
              <w:rPr>
                <w:rFonts w:eastAsia="Times New Roman"/>
                <w:sz w:val="18"/>
                <w:szCs w:val="18"/>
              </w:rPr>
              <w:t xml:space="preserve">Piperacillin-tazobactam </w:t>
            </w:r>
          </w:p>
        </w:tc>
        <w:tc>
          <w:tcPr>
            <w:tcW w:w="1001" w:type="dxa"/>
            <w:tcBorders>
              <w:left w:val="single" w:sz="2" w:space="0" w:color="000000" w:themeColor="text1"/>
              <w:right w:val="single" w:sz="2" w:space="0" w:color="000000" w:themeColor="text1"/>
            </w:tcBorders>
            <w:hideMark/>
          </w:tcPr>
          <w:p w14:paraId="09343AC7"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33BF8A22" w14:textId="77777777" w:rsidR="00CA5C3C" w:rsidRPr="009B0571" w:rsidRDefault="00CA5C3C" w:rsidP="00F12FC2">
            <w:pPr>
              <w:jc w:val="center"/>
              <w:rPr>
                <w:rFonts w:eastAsia="Times New Roman"/>
                <w:sz w:val="18"/>
                <w:szCs w:val="18"/>
              </w:rPr>
            </w:pPr>
            <w:r w:rsidRPr="009B0571">
              <w:rPr>
                <w:rFonts w:eastAsia="Times New Roman"/>
                <w:sz w:val="18"/>
                <w:szCs w:val="18"/>
              </w:rPr>
              <w:t>3.1</w:t>
            </w:r>
          </w:p>
        </w:tc>
        <w:tc>
          <w:tcPr>
            <w:tcW w:w="921" w:type="dxa"/>
            <w:tcBorders>
              <w:left w:val="single" w:sz="2" w:space="0" w:color="000000" w:themeColor="text1"/>
              <w:right w:val="single" w:sz="2" w:space="0" w:color="000000" w:themeColor="text1"/>
            </w:tcBorders>
            <w:hideMark/>
          </w:tcPr>
          <w:p w14:paraId="562309C6" w14:textId="77777777" w:rsidR="00CA5C3C" w:rsidRPr="009B0571" w:rsidRDefault="00CA5C3C" w:rsidP="00F12FC2">
            <w:pPr>
              <w:jc w:val="center"/>
              <w:rPr>
                <w:rFonts w:eastAsia="Times New Roman"/>
                <w:sz w:val="18"/>
                <w:szCs w:val="18"/>
              </w:rPr>
            </w:pPr>
            <w:r w:rsidRPr="009B0571">
              <w:rPr>
                <w:rFonts w:eastAsia="Times New Roman"/>
                <w:sz w:val="18"/>
                <w:szCs w:val="18"/>
              </w:rPr>
              <w:t>6.5</w:t>
            </w:r>
          </w:p>
        </w:tc>
        <w:tc>
          <w:tcPr>
            <w:tcW w:w="921" w:type="dxa"/>
            <w:tcBorders>
              <w:left w:val="single" w:sz="2" w:space="0" w:color="000000" w:themeColor="text1"/>
              <w:right w:val="single" w:sz="2" w:space="0" w:color="000000" w:themeColor="text1"/>
            </w:tcBorders>
            <w:hideMark/>
          </w:tcPr>
          <w:p w14:paraId="193ADF74" w14:textId="77777777" w:rsidR="00CA5C3C" w:rsidRPr="009B0571" w:rsidRDefault="00CA5C3C" w:rsidP="00F12FC2">
            <w:pPr>
              <w:jc w:val="center"/>
              <w:rPr>
                <w:rFonts w:eastAsia="Times New Roman"/>
                <w:sz w:val="18"/>
                <w:szCs w:val="18"/>
              </w:rPr>
            </w:pPr>
            <w:r w:rsidRPr="009B0571">
              <w:rPr>
                <w:rFonts w:eastAsia="Times New Roman"/>
                <w:sz w:val="18"/>
                <w:szCs w:val="18"/>
              </w:rPr>
              <w:t>3.6</w:t>
            </w:r>
          </w:p>
        </w:tc>
        <w:tc>
          <w:tcPr>
            <w:tcW w:w="922" w:type="dxa"/>
            <w:tcBorders>
              <w:left w:val="single" w:sz="2" w:space="0" w:color="000000" w:themeColor="text1"/>
              <w:right w:val="single" w:sz="2" w:space="0" w:color="000000" w:themeColor="text1"/>
            </w:tcBorders>
            <w:hideMark/>
          </w:tcPr>
          <w:p w14:paraId="029B158C" w14:textId="77777777" w:rsidR="00CA5C3C" w:rsidRPr="009B0571" w:rsidRDefault="00CA5C3C" w:rsidP="00F12FC2">
            <w:pPr>
              <w:jc w:val="center"/>
              <w:rPr>
                <w:rFonts w:eastAsia="Times New Roman"/>
                <w:sz w:val="18"/>
                <w:szCs w:val="18"/>
              </w:rPr>
            </w:pPr>
            <w:r w:rsidRPr="009B0571">
              <w:rPr>
                <w:rFonts w:eastAsia="Times New Roman"/>
                <w:sz w:val="18"/>
                <w:szCs w:val="18"/>
              </w:rPr>
              <w:t>7.1</w:t>
            </w:r>
          </w:p>
        </w:tc>
        <w:tc>
          <w:tcPr>
            <w:tcW w:w="921" w:type="dxa"/>
            <w:tcBorders>
              <w:left w:val="single" w:sz="2" w:space="0" w:color="000000" w:themeColor="text1"/>
              <w:right w:val="single" w:sz="2" w:space="0" w:color="000000" w:themeColor="text1"/>
            </w:tcBorders>
            <w:hideMark/>
          </w:tcPr>
          <w:p w14:paraId="12965C60" w14:textId="77777777" w:rsidR="00CA5C3C" w:rsidRPr="009B0571" w:rsidRDefault="00CA5C3C" w:rsidP="00F12FC2">
            <w:pPr>
              <w:jc w:val="center"/>
              <w:rPr>
                <w:rFonts w:eastAsia="Times New Roman"/>
                <w:sz w:val="18"/>
                <w:szCs w:val="18"/>
              </w:rPr>
            </w:pPr>
            <w:r w:rsidRPr="009B0571">
              <w:rPr>
                <w:rFonts w:eastAsia="Times New Roman"/>
                <w:sz w:val="18"/>
                <w:szCs w:val="18"/>
              </w:rPr>
              <w:t>5.2</w:t>
            </w:r>
          </w:p>
        </w:tc>
        <w:tc>
          <w:tcPr>
            <w:tcW w:w="921" w:type="dxa"/>
            <w:tcBorders>
              <w:left w:val="single" w:sz="2" w:space="0" w:color="000000" w:themeColor="text1"/>
              <w:right w:val="single" w:sz="2" w:space="0" w:color="000000" w:themeColor="text1"/>
            </w:tcBorders>
            <w:hideMark/>
          </w:tcPr>
          <w:p w14:paraId="2D62916A" w14:textId="77777777" w:rsidR="00CA5C3C" w:rsidRPr="009B0571" w:rsidRDefault="00CA5C3C" w:rsidP="00F12FC2">
            <w:pPr>
              <w:jc w:val="center"/>
              <w:rPr>
                <w:rFonts w:eastAsia="Times New Roman"/>
                <w:sz w:val="18"/>
                <w:szCs w:val="18"/>
              </w:rPr>
            </w:pPr>
            <w:r w:rsidRPr="009B0571">
              <w:rPr>
                <w:rFonts w:eastAsia="Times New Roman"/>
                <w:sz w:val="18"/>
                <w:szCs w:val="18"/>
              </w:rPr>
              <w:t>11.8</w:t>
            </w:r>
          </w:p>
        </w:tc>
        <w:tc>
          <w:tcPr>
            <w:tcW w:w="921" w:type="dxa"/>
            <w:tcBorders>
              <w:left w:val="single" w:sz="2" w:space="0" w:color="000000" w:themeColor="text1"/>
              <w:right w:val="single" w:sz="2" w:space="0" w:color="000000" w:themeColor="text1"/>
            </w:tcBorders>
            <w:hideMark/>
          </w:tcPr>
          <w:p w14:paraId="39716560" w14:textId="77777777" w:rsidR="00CA5C3C" w:rsidRPr="009B0571" w:rsidRDefault="00CA5C3C" w:rsidP="00F12FC2">
            <w:pPr>
              <w:jc w:val="center"/>
              <w:rPr>
                <w:rFonts w:eastAsia="Times New Roman"/>
                <w:sz w:val="18"/>
                <w:szCs w:val="18"/>
              </w:rPr>
            </w:pPr>
            <w:r w:rsidRPr="009B0571">
              <w:rPr>
                <w:rFonts w:eastAsia="Times New Roman"/>
                <w:sz w:val="18"/>
                <w:szCs w:val="18"/>
              </w:rPr>
              <w:t>19.9</w:t>
            </w:r>
          </w:p>
        </w:tc>
        <w:tc>
          <w:tcPr>
            <w:tcW w:w="922" w:type="dxa"/>
            <w:tcBorders>
              <w:left w:val="single" w:sz="2" w:space="0" w:color="000000" w:themeColor="text1"/>
              <w:right w:val="single" w:sz="2" w:space="0" w:color="000000" w:themeColor="text1"/>
            </w:tcBorders>
            <w:hideMark/>
          </w:tcPr>
          <w:p w14:paraId="4E4AF3DC" w14:textId="77777777" w:rsidR="00CA5C3C" w:rsidRPr="009B0571" w:rsidRDefault="00CA5C3C" w:rsidP="00F12FC2">
            <w:pPr>
              <w:jc w:val="center"/>
              <w:rPr>
                <w:rFonts w:eastAsia="Times New Roman"/>
                <w:sz w:val="18"/>
                <w:szCs w:val="18"/>
              </w:rPr>
            </w:pPr>
            <w:r w:rsidRPr="009B0571">
              <w:rPr>
                <w:rFonts w:eastAsia="Times New Roman"/>
                <w:sz w:val="18"/>
                <w:szCs w:val="18"/>
              </w:rPr>
              <w:t>22.3</w:t>
            </w:r>
          </w:p>
        </w:tc>
        <w:tc>
          <w:tcPr>
            <w:tcW w:w="921" w:type="dxa"/>
            <w:tcBorders>
              <w:left w:val="single" w:sz="2" w:space="0" w:color="000000" w:themeColor="text1"/>
              <w:right w:val="single" w:sz="2" w:space="0" w:color="000000" w:themeColor="text1"/>
            </w:tcBorders>
            <w:hideMark/>
          </w:tcPr>
          <w:p w14:paraId="2C7A0C8D" w14:textId="77777777" w:rsidR="00CA5C3C" w:rsidRPr="009B0571" w:rsidRDefault="00CA5C3C" w:rsidP="00F12FC2">
            <w:pPr>
              <w:jc w:val="center"/>
              <w:rPr>
                <w:rFonts w:eastAsia="Times New Roman"/>
                <w:sz w:val="18"/>
                <w:szCs w:val="18"/>
              </w:rPr>
            </w:pPr>
            <w:r w:rsidRPr="009B0571">
              <w:rPr>
                <w:rFonts w:eastAsia="Times New Roman"/>
                <w:sz w:val="18"/>
                <w:szCs w:val="18"/>
              </w:rPr>
              <w:t>14.1</w:t>
            </w:r>
          </w:p>
        </w:tc>
        <w:tc>
          <w:tcPr>
            <w:tcW w:w="921" w:type="dxa"/>
            <w:tcBorders>
              <w:left w:val="single" w:sz="2" w:space="0" w:color="000000" w:themeColor="text1"/>
              <w:right w:val="single" w:sz="2" w:space="0" w:color="000000" w:themeColor="text1"/>
            </w:tcBorders>
            <w:hideMark/>
          </w:tcPr>
          <w:p w14:paraId="61403797" w14:textId="77777777" w:rsidR="00CA5C3C" w:rsidRPr="009B0571" w:rsidRDefault="00CA5C3C" w:rsidP="00F12FC2">
            <w:pPr>
              <w:jc w:val="center"/>
              <w:rPr>
                <w:rFonts w:eastAsia="Times New Roman"/>
                <w:sz w:val="18"/>
                <w:szCs w:val="18"/>
              </w:rPr>
            </w:pPr>
            <w:r w:rsidRPr="009B0571">
              <w:rPr>
                <w:rFonts w:eastAsia="Times New Roman"/>
                <w:sz w:val="18"/>
                <w:szCs w:val="18"/>
              </w:rPr>
              <w:t>14.9</w:t>
            </w:r>
          </w:p>
        </w:tc>
        <w:tc>
          <w:tcPr>
            <w:tcW w:w="921" w:type="dxa"/>
            <w:tcBorders>
              <w:left w:val="single" w:sz="2" w:space="0" w:color="000000" w:themeColor="text1"/>
              <w:right w:val="single" w:sz="2" w:space="0" w:color="000000" w:themeColor="text1"/>
            </w:tcBorders>
            <w:hideMark/>
          </w:tcPr>
          <w:p w14:paraId="77A188CC" w14:textId="77777777" w:rsidR="00CA5C3C" w:rsidRPr="009B0571" w:rsidRDefault="00CA5C3C" w:rsidP="00F12FC2">
            <w:pPr>
              <w:jc w:val="center"/>
              <w:rPr>
                <w:rFonts w:eastAsia="Times New Roman"/>
                <w:sz w:val="18"/>
                <w:szCs w:val="18"/>
              </w:rPr>
            </w:pPr>
            <w:r w:rsidRPr="009B0571">
              <w:rPr>
                <w:rFonts w:eastAsia="Times New Roman"/>
                <w:sz w:val="18"/>
                <w:szCs w:val="18"/>
              </w:rPr>
              <w:t>0.0</w:t>
            </w:r>
          </w:p>
        </w:tc>
        <w:tc>
          <w:tcPr>
            <w:tcW w:w="922" w:type="dxa"/>
            <w:tcBorders>
              <w:left w:val="single" w:sz="2" w:space="0" w:color="000000" w:themeColor="text1"/>
            </w:tcBorders>
            <w:hideMark/>
          </w:tcPr>
          <w:p w14:paraId="0B09FE5D" w14:textId="77777777" w:rsidR="00CA5C3C" w:rsidRPr="009B0571" w:rsidRDefault="00CA5C3C" w:rsidP="00F12FC2">
            <w:pPr>
              <w:jc w:val="center"/>
              <w:rPr>
                <w:rFonts w:eastAsia="Times New Roman"/>
                <w:sz w:val="18"/>
                <w:szCs w:val="18"/>
              </w:rPr>
            </w:pPr>
            <w:r w:rsidRPr="009B0571">
              <w:rPr>
                <w:rFonts w:eastAsia="Times New Roman"/>
                <w:sz w:val="18"/>
                <w:szCs w:val="18"/>
              </w:rPr>
              <w:t>0.9</w:t>
            </w:r>
          </w:p>
        </w:tc>
      </w:tr>
      <w:tr w:rsidR="00260928" w:rsidRPr="009B0571" w14:paraId="03ED7757"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73045BA6" w14:textId="77777777" w:rsidR="00CA5C3C" w:rsidRPr="009B0571" w:rsidRDefault="00CA5C3C">
            <w:pPr>
              <w:rPr>
                <w:rFonts w:eastAsia="Times New Roman"/>
                <w:sz w:val="18"/>
                <w:szCs w:val="18"/>
              </w:rPr>
            </w:pPr>
            <w:r w:rsidRPr="009B0571">
              <w:rPr>
                <w:rFonts w:eastAsia="Times New Roman"/>
                <w:sz w:val="18"/>
                <w:szCs w:val="18"/>
              </w:rPr>
              <w:t xml:space="preserve">Cefazolin </w:t>
            </w:r>
          </w:p>
        </w:tc>
        <w:tc>
          <w:tcPr>
            <w:tcW w:w="1001" w:type="dxa"/>
            <w:tcBorders>
              <w:left w:val="single" w:sz="2" w:space="0" w:color="000000" w:themeColor="text1"/>
              <w:right w:val="single" w:sz="2" w:space="0" w:color="000000" w:themeColor="text1"/>
            </w:tcBorders>
            <w:hideMark/>
          </w:tcPr>
          <w:p w14:paraId="093CF402"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02699838" w14:textId="77777777" w:rsidR="00CA5C3C" w:rsidRPr="009B0571" w:rsidRDefault="00CA5C3C" w:rsidP="00F12FC2">
            <w:pPr>
              <w:jc w:val="center"/>
              <w:rPr>
                <w:rFonts w:eastAsia="Times New Roman"/>
                <w:sz w:val="18"/>
                <w:szCs w:val="18"/>
              </w:rPr>
            </w:pPr>
            <w:r w:rsidRPr="009B0571">
              <w:rPr>
                <w:rFonts w:eastAsia="Times New Roman"/>
                <w:sz w:val="18"/>
                <w:szCs w:val="18"/>
              </w:rPr>
              <w:t>24.2</w:t>
            </w:r>
          </w:p>
        </w:tc>
        <w:tc>
          <w:tcPr>
            <w:tcW w:w="921" w:type="dxa"/>
            <w:tcBorders>
              <w:left w:val="single" w:sz="2" w:space="0" w:color="000000" w:themeColor="text1"/>
              <w:right w:val="single" w:sz="2" w:space="0" w:color="000000" w:themeColor="text1"/>
            </w:tcBorders>
            <w:hideMark/>
          </w:tcPr>
          <w:p w14:paraId="28014542" w14:textId="77777777" w:rsidR="00CA5C3C" w:rsidRPr="009B0571" w:rsidRDefault="00CA5C3C" w:rsidP="00F12FC2">
            <w:pPr>
              <w:jc w:val="center"/>
              <w:rPr>
                <w:rFonts w:eastAsia="Times New Roman"/>
                <w:sz w:val="18"/>
                <w:szCs w:val="18"/>
              </w:rPr>
            </w:pPr>
            <w:r w:rsidRPr="009B0571">
              <w:rPr>
                <w:rFonts w:eastAsia="Times New Roman"/>
                <w:sz w:val="18"/>
                <w:szCs w:val="18"/>
              </w:rPr>
              <w:t>24.2</w:t>
            </w:r>
          </w:p>
        </w:tc>
        <w:tc>
          <w:tcPr>
            <w:tcW w:w="921" w:type="dxa"/>
            <w:tcBorders>
              <w:left w:val="single" w:sz="2" w:space="0" w:color="000000" w:themeColor="text1"/>
              <w:right w:val="single" w:sz="2" w:space="0" w:color="000000" w:themeColor="text1"/>
            </w:tcBorders>
            <w:hideMark/>
          </w:tcPr>
          <w:p w14:paraId="53CAAF33" w14:textId="77777777" w:rsidR="00CA5C3C" w:rsidRPr="009B0571" w:rsidRDefault="00CA5C3C" w:rsidP="00F12FC2">
            <w:pPr>
              <w:jc w:val="center"/>
              <w:rPr>
                <w:rFonts w:eastAsia="Times New Roman"/>
                <w:sz w:val="18"/>
                <w:szCs w:val="18"/>
              </w:rPr>
            </w:pPr>
            <w:r w:rsidRPr="009B0571">
              <w:rPr>
                <w:rFonts w:eastAsia="Times New Roman"/>
                <w:sz w:val="18"/>
                <w:szCs w:val="18"/>
              </w:rPr>
              <w:t>11.2</w:t>
            </w:r>
          </w:p>
        </w:tc>
        <w:tc>
          <w:tcPr>
            <w:tcW w:w="922" w:type="dxa"/>
            <w:tcBorders>
              <w:left w:val="single" w:sz="2" w:space="0" w:color="000000" w:themeColor="text1"/>
              <w:right w:val="single" w:sz="2" w:space="0" w:color="000000" w:themeColor="text1"/>
            </w:tcBorders>
            <w:hideMark/>
          </w:tcPr>
          <w:p w14:paraId="21B0072E" w14:textId="77777777" w:rsidR="00CA5C3C" w:rsidRPr="009B0571" w:rsidRDefault="00CA5C3C" w:rsidP="00F12FC2">
            <w:pPr>
              <w:jc w:val="center"/>
              <w:rPr>
                <w:rFonts w:eastAsia="Times New Roman"/>
                <w:sz w:val="18"/>
                <w:szCs w:val="18"/>
              </w:rPr>
            </w:pPr>
            <w:r w:rsidRPr="009B0571">
              <w:rPr>
                <w:rFonts w:eastAsia="Times New Roman"/>
                <w:sz w:val="18"/>
                <w:szCs w:val="18"/>
              </w:rPr>
              <w:t>11.2</w:t>
            </w:r>
          </w:p>
        </w:tc>
        <w:tc>
          <w:tcPr>
            <w:tcW w:w="921" w:type="dxa"/>
            <w:tcBorders>
              <w:left w:val="single" w:sz="2" w:space="0" w:color="000000" w:themeColor="text1"/>
              <w:right w:val="single" w:sz="2" w:space="0" w:color="000000" w:themeColor="text1"/>
            </w:tcBorders>
            <w:hideMark/>
          </w:tcPr>
          <w:p w14:paraId="79102668"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7B9E548C"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041E66F0"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right w:val="single" w:sz="2" w:space="0" w:color="000000" w:themeColor="text1"/>
            </w:tcBorders>
            <w:hideMark/>
          </w:tcPr>
          <w:p w14:paraId="1D5FC434"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7DF6CF83" w14:textId="77777777" w:rsidR="00CA5C3C" w:rsidRPr="009B0571" w:rsidRDefault="00CA5C3C" w:rsidP="00F12FC2">
            <w:pPr>
              <w:jc w:val="center"/>
              <w:rPr>
                <w:rFonts w:eastAsia="Times New Roman"/>
                <w:sz w:val="18"/>
                <w:szCs w:val="18"/>
              </w:rPr>
            </w:pPr>
            <w:r w:rsidRPr="009B0571">
              <w:rPr>
                <w:rFonts w:eastAsia="Times New Roman"/>
                <w:sz w:val="18"/>
                <w:szCs w:val="18"/>
              </w:rPr>
              <w:t>66.7</w:t>
            </w:r>
          </w:p>
        </w:tc>
        <w:tc>
          <w:tcPr>
            <w:tcW w:w="921" w:type="dxa"/>
            <w:tcBorders>
              <w:left w:val="single" w:sz="2" w:space="0" w:color="000000" w:themeColor="text1"/>
              <w:right w:val="single" w:sz="2" w:space="0" w:color="000000" w:themeColor="text1"/>
            </w:tcBorders>
            <w:hideMark/>
          </w:tcPr>
          <w:p w14:paraId="0083BF84" w14:textId="77777777" w:rsidR="00CA5C3C" w:rsidRPr="009B0571" w:rsidRDefault="00CA5C3C" w:rsidP="00F12FC2">
            <w:pPr>
              <w:jc w:val="center"/>
              <w:rPr>
                <w:rFonts w:eastAsia="Times New Roman"/>
                <w:sz w:val="18"/>
                <w:szCs w:val="18"/>
              </w:rPr>
            </w:pPr>
            <w:r w:rsidRPr="009B0571">
              <w:rPr>
                <w:rFonts w:eastAsia="Times New Roman"/>
                <w:sz w:val="18"/>
                <w:szCs w:val="18"/>
              </w:rPr>
              <w:t>66.7</w:t>
            </w:r>
          </w:p>
        </w:tc>
        <w:tc>
          <w:tcPr>
            <w:tcW w:w="921" w:type="dxa"/>
            <w:tcBorders>
              <w:left w:val="single" w:sz="2" w:space="0" w:color="000000" w:themeColor="text1"/>
              <w:right w:val="single" w:sz="2" w:space="0" w:color="000000" w:themeColor="text1"/>
            </w:tcBorders>
            <w:hideMark/>
          </w:tcPr>
          <w:p w14:paraId="5956E638" w14:textId="77777777" w:rsidR="00CA5C3C" w:rsidRPr="009B0571" w:rsidRDefault="00CA5C3C" w:rsidP="00F12FC2">
            <w:pPr>
              <w:jc w:val="center"/>
              <w:rPr>
                <w:rFonts w:eastAsia="Times New Roman"/>
                <w:sz w:val="18"/>
                <w:szCs w:val="18"/>
              </w:rPr>
            </w:pPr>
            <w:r w:rsidRPr="009B0571">
              <w:rPr>
                <w:rFonts w:eastAsia="Times New Roman"/>
                <w:sz w:val="18"/>
                <w:szCs w:val="18"/>
              </w:rPr>
              <w:t>17.4</w:t>
            </w:r>
          </w:p>
        </w:tc>
        <w:tc>
          <w:tcPr>
            <w:tcW w:w="922" w:type="dxa"/>
            <w:tcBorders>
              <w:left w:val="single" w:sz="2" w:space="0" w:color="000000" w:themeColor="text1"/>
            </w:tcBorders>
            <w:hideMark/>
          </w:tcPr>
          <w:p w14:paraId="75CAE62E" w14:textId="77777777" w:rsidR="00CA5C3C" w:rsidRPr="009B0571" w:rsidRDefault="00CA5C3C" w:rsidP="00F12FC2">
            <w:pPr>
              <w:jc w:val="center"/>
              <w:rPr>
                <w:rFonts w:eastAsia="Times New Roman"/>
                <w:sz w:val="18"/>
                <w:szCs w:val="18"/>
              </w:rPr>
            </w:pPr>
            <w:r w:rsidRPr="009B0571">
              <w:rPr>
                <w:rFonts w:eastAsia="Times New Roman"/>
                <w:sz w:val="18"/>
                <w:szCs w:val="18"/>
              </w:rPr>
              <w:t>17.4</w:t>
            </w:r>
          </w:p>
        </w:tc>
      </w:tr>
      <w:tr w:rsidR="0070707F" w:rsidRPr="009B0571" w14:paraId="3D158350" w14:textId="77777777" w:rsidTr="00301504">
        <w:tc>
          <w:tcPr>
            <w:tcW w:w="2815" w:type="dxa"/>
            <w:tcBorders>
              <w:right w:val="single" w:sz="2" w:space="0" w:color="000000" w:themeColor="text1"/>
            </w:tcBorders>
            <w:hideMark/>
          </w:tcPr>
          <w:p w14:paraId="4807E533" w14:textId="77777777" w:rsidR="00CA5C3C" w:rsidRPr="009B0571" w:rsidRDefault="00CA5C3C">
            <w:pPr>
              <w:rPr>
                <w:rFonts w:eastAsia="Times New Roman"/>
                <w:sz w:val="18"/>
                <w:szCs w:val="18"/>
              </w:rPr>
            </w:pPr>
            <w:r w:rsidRPr="009B0571">
              <w:rPr>
                <w:rFonts w:eastAsia="Times New Roman"/>
                <w:sz w:val="18"/>
                <w:szCs w:val="18"/>
              </w:rPr>
              <w:t xml:space="preserve">Cefoxitin </w:t>
            </w:r>
          </w:p>
        </w:tc>
        <w:tc>
          <w:tcPr>
            <w:tcW w:w="1001" w:type="dxa"/>
            <w:tcBorders>
              <w:left w:val="single" w:sz="2" w:space="0" w:color="000000" w:themeColor="text1"/>
              <w:right w:val="single" w:sz="2" w:space="0" w:color="000000" w:themeColor="text1"/>
            </w:tcBorders>
            <w:hideMark/>
          </w:tcPr>
          <w:p w14:paraId="71F0AFE3"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399899EA" w14:textId="77777777" w:rsidR="00CA5C3C" w:rsidRPr="009B0571" w:rsidRDefault="00CA5C3C" w:rsidP="00F12FC2">
            <w:pPr>
              <w:jc w:val="center"/>
              <w:rPr>
                <w:rFonts w:eastAsia="Times New Roman"/>
                <w:sz w:val="18"/>
                <w:szCs w:val="18"/>
              </w:rPr>
            </w:pPr>
            <w:r w:rsidRPr="009B0571">
              <w:rPr>
                <w:rFonts w:eastAsia="Times New Roman"/>
                <w:sz w:val="18"/>
                <w:szCs w:val="18"/>
              </w:rPr>
              <w:t>3.7</w:t>
            </w:r>
          </w:p>
        </w:tc>
        <w:tc>
          <w:tcPr>
            <w:tcW w:w="921" w:type="dxa"/>
            <w:tcBorders>
              <w:left w:val="single" w:sz="2" w:space="0" w:color="000000" w:themeColor="text1"/>
              <w:right w:val="single" w:sz="2" w:space="0" w:color="000000" w:themeColor="text1"/>
            </w:tcBorders>
            <w:hideMark/>
          </w:tcPr>
          <w:p w14:paraId="2E5588FD"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227529BA" w14:textId="77777777" w:rsidR="00CA5C3C" w:rsidRPr="009B0571" w:rsidRDefault="00CA5C3C" w:rsidP="00F12FC2">
            <w:pPr>
              <w:jc w:val="center"/>
              <w:rPr>
                <w:rFonts w:eastAsia="Times New Roman"/>
                <w:sz w:val="18"/>
                <w:szCs w:val="18"/>
              </w:rPr>
            </w:pPr>
            <w:r w:rsidRPr="009B0571">
              <w:rPr>
                <w:rFonts w:eastAsia="Times New Roman"/>
                <w:sz w:val="18"/>
                <w:szCs w:val="18"/>
              </w:rPr>
              <w:t>4.4</w:t>
            </w:r>
          </w:p>
        </w:tc>
        <w:tc>
          <w:tcPr>
            <w:tcW w:w="922" w:type="dxa"/>
            <w:tcBorders>
              <w:left w:val="single" w:sz="2" w:space="0" w:color="000000" w:themeColor="text1"/>
              <w:right w:val="single" w:sz="2" w:space="0" w:color="000000" w:themeColor="text1"/>
            </w:tcBorders>
            <w:hideMark/>
          </w:tcPr>
          <w:p w14:paraId="03CE99EB"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27F37B94"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42D8A0E0"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0BA08F7D"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right w:val="single" w:sz="2" w:space="0" w:color="000000" w:themeColor="text1"/>
            </w:tcBorders>
            <w:hideMark/>
          </w:tcPr>
          <w:p w14:paraId="29AD6748"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1" w:type="dxa"/>
            <w:tcBorders>
              <w:left w:val="single" w:sz="2" w:space="0" w:color="000000" w:themeColor="text1"/>
              <w:right w:val="single" w:sz="2" w:space="0" w:color="000000" w:themeColor="text1"/>
            </w:tcBorders>
            <w:hideMark/>
          </w:tcPr>
          <w:p w14:paraId="7C6009D2"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1" w:type="dxa"/>
            <w:tcBorders>
              <w:left w:val="single" w:sz="2" w:space="0" w:color="000000" w:themeColor="text1"/>
              <w:right w:val="single" w:sz="2" w:space="0" w:color="000000" w:themeColor="text1"/>
            </w:tcBorders>
            <w:hideMark/>
          </w:tcPr>
          <w:p w14:paraId="0B65C73C"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5A990BB5"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2" w:type="dxa"/>
            <w:tcBorders>
              <w:left w:val="single" w:sz="2" w:space="0" w:color="000000" w:themeColor="text1"/>
            </w:tcBorders>
            <w:hideMark/>
          </w:tcPr>
          <w:p w14:paraId="3C630076"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r>
      <w:tr w:rsidR="00260928" w:rsidRPr="009B0571" w14:paraId="2A5FBF22"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7D5B62BC" w14:textId="77777777" w:rsidR="00CA5C3C" w:rsidRPr="009B0571" w:rsidRDefault="00CA5C3C">
            <w:pPr>
              <w:rPr>
                <w:rFonts w:eastAsia="Times New Roman"/>
                <w:sz w:val="18"/>
                <w:szCs w:val="18"/>
              </w:rPr>
            </w:pPr>
            <w:r w:rsidRPr="009B0571">
              <w:rPr>
                <w:rFonts w:eastAsia="Times New Roman"/>
                <w:sz w:val="18"/>
                <w:szCs w:val="18"/>
              </w:rPr>
              <w:t xml:space="preserve">Ceftriaxone </w:t>
            </w:r>
          </w:p>
        </w:tc>
        <w:tc>
          <w:tcPr>
            <w:tcW w:w="1001" w:type="dxa"/>
            <w:tcBorders>
              <w:left w:val="single" w:sz="2" w:space="0" w:color="000000" w:themeColor="text1"/>
              <w:right w:val="single" w:sz="2" w:space="0" w:color="000000" w:themeColor="text1"/>
            </w:tcBorders>
            <w:hideMark/>
          </w:tcPr>
          <w:p w14:paraId="35E7BBDC" w14:textId="77777777" w:rsidR="00CA5C3C" w:rsidRPr="009B0571" w:rsidRDefault="00CA5C3C" w:rsidP="00F12FC2">
            <w:pPr>
              <w:jc w:val="center"/>
              <w:rPr>
                <w:rFonts w:eastAsia="Times New Roman"/>
                <w:sz w:val="18"/>
                <w:szCs w:val="18"/>
              </w:rPr>
            </w:pPr>
            <w:r w:rsidRPr="009B0571">
              <w:rPr>
                <w:rFonts w:eastAsia="Times New Roman"/>
                <w:sz w:val="18"/>
                <w:szCs w:val="18"/>
              </w:rPr>
              <w:t>NS</w:t>
            </w:r>
          </w:p>
        </w:tc>
        <w:tc>
          <w:tcPr>
            <w:tcW w:w="921" w:type="dxa"/>
            <w:tcBorders>
              <w:left w:val="single" w:sz="2" w:space="0" w:color="000000" w:themeColor="text1"/>
              <w:right w:val="single" w:sz="2" w:space="0" w:color="000000" w:themeColor="text1"/>
            </w:tcBorders>
            <w:hideMark/>
          </w:tcPr>
          <w:p w14:paraId="161EC09D" w14:textId="77777777" w:rsidR="00CA5C3C" w:rsidRPr="009B0571" w:rsidRDefault="00CA5C3C" w:rsidP="00F12FC2">
            <w:pPr>
              <w:jc w:val="center"/>
              <w:rPr>
                <w:rFonts w:eastAsia="Times New Roman"/>
                <w:sz w:val="18"/>
                <w:szCs w:val="18"/>
              </w:rPr>
            </w:pPr>
            <w:r w:rsidRPr="009B0571">
              <w:rPr>
                <w:rFonts w:eastAsia="Times New Roman"/>
                <w:sz w:val="18"/>
                <w:szCs w:val="18"/>
              </w:rPr>
              <w:t>11.8</w:t>
            </w:r>
          </w:p>
        </w:tc>
        <w:tc>
          <w:tcPr>
            <w:tcW w:w="921" w:type="dxa"/>
            <w:tcBorders>
              <w:left w:val="single" w:sz="2" w:space="0" w:color="000000" w:themeColor="text1"/>
              <w:right w:val="single" w:sz="2" w:space="0" w:color="000000" w:themeColor="text1"/>
            </w:tcBorders>
            <w:hideMark/>
          </w:tcPr>
          <w:p w14:paraId="34D00AC5" w14:textId="77777777" w:rsidR="00CA5C3C" w:rsidRPr="009B0571" w:rsidRDefault="00CA5C3C" w:rsidP="00F12FC2">
            <w:pPr>
              <w:jc w:val="center"/>
              <w:rPr>
                <w:rFonts w:eastAsia="Times New Roman"/>
                <w:sz w:val="18"/>
                <w:szCs w:val="18"/>
              </w:rPr>
            </w:pPr>
            <w:r w:rsidRPr="009B0571">
              <w:rPr>
                <w:rFonts w:eastAsia="Times New Roman"/>
                <w:sz w:val="18"/>
                <w:szCs w:val="18"/>
              </w:rPr>
              <w:t>11.8</w:t>
            </w:r>
          </w:p>
        </w:tc>
        <w:tc>
          <w:tcPr>
            <w:tcW w:w="921" w:type="dxa"/>
            <w:tcBorders>
              <w:left w:val="single" w:sz="2" w:space="0" w:color="000000" w:themeColor="text1"/>
              <w:right w:val="single" w:sz="2" w:space="0" w:color="000000" w:themeColor="text1"/>
            </w:tcBorders>
            <w:hideMark/>
          </w:tcPr>
          <w:p w14:paraId="2C3A0933" w14:textId="77777777" w:rsidR="00CA5C3C" w:rsidRPr="009B0571" w:rsidRDefault="00CA5C3C" w:rsidP="00F12FC2">
            <w:pPr>
              <w:jc w:val="center"/>
              <w:rPr>
                <w:rFonts w:eastAsia="Times New Roman"/>
                <w:sz w:val="18"/>
                <w:szCs w:val="18"/>
              </w:rPr>
            </w:pPr>
            <w:r w:rsidRPr="009B0571">
              <w:rPr>
                <w:rFonts w:eastAsia="Times New Roman"/>
                <w:sz w:val="18"/>
                <w:szCs w:val="18"/>
              </w:rPr>
              <w:t>7.7</w:t>
            </w:r>
          </w:p>
        </w:tc>
        <w:tc>
          <w:tcPr>
            <w:tcW w:w="922" w:type="dxa"/>
            <w:tcBorders>
              <w:left w:val="single" w:sz="2" w:space="0" w:color="000000" w:themeColor="text1"/>
              <w:right w:val="single" w:sz="2" w:space="0" w:color="000000" w:themeColor="text1"/>
            </w:tcBorders>
            <w:hideMark/>
          </w:tcPr>
          <w:p w14:paraId="497FB701" w14:textId="77777777" w:rsidR="00CA5C3C" w:rsidRPr="009B0571" w:rsidRDefault="00CA5C3C" w:rsidP="00F12FC2">
            <w:pPr>
              <w:jc w:val="center"/>
              <w:rPr>
                <w:rFonts w:eastAsia="Times New Roman"/>
                <w:sz w:val="18"/>
                <w:szCs w:val="18"/>
              </w:rPr>
            </w:pPr>
            <w:r w:rsidRPr="009B0571">
              <w:rPr>
                <w:rFonts w:eastAsia="Times New Roman"/>
                <w:sz w:val="18"/>
                <w:szCs w:val="18"/>
              </w:rPr>
              <w:t>7.7</w:t>
            </w:r>
          </w:p>
        </w:tc>
        <w:tc>
          <w:tcPr>
            <w:tcW w:w="921" w:type="dxa"/>
            <w:tcBorders>
              <w:left w:val="single" w:sz="2" w:space="0" w:color="000000" w:themeColor="text1"/>
              <w:right w:val="single" w:sz="2" w:space="0" w:color="000000" w:themeColor="text1"/>
            </w:tcBorders>
            <w:hideMark/>
          </w:tcPr>
          <w:p w14:paraId="439C7429"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642117B8"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6497CAFA" w14:textId="77777777" w:rsidR="00CA5C3C" w:rsidRPr="009B0571" w:rsidRDefault="00CA5C3C" w:rsidP="00F12FC2">
            <w:pPr>
              <w:jc w:val="center"/>
              <w:rPr>
                <w:rFonts w:eastAsia="Times New Roman"/>
                <w:sz w:val="18"/>
                <w:szCs w:val="18"/>
              </w:rPr>
            </w:pPr>
            <w:r w:rsidRPr="009B0571">
              <w:rPr>
                <w:rFonts w:eastAsia="Times New Roman"/>
                <w:sz w:val="18"/>
                <w:szCs w:val="18"/>
              </w:rPr>
              <w:t>27.0</w:t>
            </w:r>
          </w:p>
        </w:tc>
        <w:tc>
          <w:tcPr>
            <w:tcW w:w="922" w:type="dxa"/>
            <w:tcBorders>
              <w:left w:val="single" w:sz="2" w:space="0" w:color="000000" w:themeColor="text1"/>
              <w:right w:val="single" w:sz="2" w:space="0" w:color="000000" w:themeColor="text1"/>
            </w:tcBorders>
            <w:hideMark/>
          </w:tcPr>
          <w:p w14:paraId="2E52D08F" w14:textId="77777777" w:rsidR="00CA5C3C" w:rsidRPr="009B0571" w:rsidRDefault="00CA5C3C" w:rsidP="00F12FC2">
            <w:pPr>
              <w:jc w:val="center"/>
              <w:rPr>
                <w:rFonts w:eastAsia="Times New Roman"/>
                <w:sz w:val="18"/>
                <w:szCs w:val="18"/>
              </w:rPr>
            </w:pPr>
            <w:r w:rsidRPr="009B0571">
              <w:rPr>
                <w:rFonts w:eastAsia="Times New Roman"/>
                <w:sz w:val="18"/>
                <w:szCs w:val="18"/>
              </w:rPr>
              <w:t>27.0</w:t>
            </w:r>
          </w:p>
        </w:tc>
        <w:tc>
          <w:tcPr>
            <w:tcW w:w="921" w:type="dxa"/>
            <w:tcBorders>
              <w:left w:val="single" w:sz="2" w:space="0" w:color="000000" w:themeColor="text1"/>
              <w:right w:val="single" w:sz="2" w:space="0" w:color="000000" w:themeColor="text1"/>
            </w:tcBorders>
            <w:hideMark/>
          </w:tcPr>
          <w:p w14:paraId="3A17BB77" w14:textId="77777777" w:rsidR="00CA5C3C" w:rsidRPr="009B0571" w:rsidRDefault="00CA5C3C" w:rsidP="00F12FC2">
            <w:pPr>
              <w:jc w:val="center"/>
              <w:rPr>
                <w:rFonts w:eastAsia="Times New Roman"/>
                <w:sz w:val="18"/>
                <w:szCs w:val="18"/>
              </w:rPr>
            </w:pPr>
            <w:r w:rsidRPr="009B0571">
              <w:rPr>
                <w:rFonts w:eastAsia="Times New Roman"/>
                <w:sz w:val="18"/>
                <w:szCs w:val="18"/>
              </w:rPr>
              <w:t>11.1</w:t>
            </w:r>
          </w:p>
        </w:tc>
        <w:tc>
          <w:tcPr>
            <w:tcW w:w="921" w:type="dxa"/>
            <w:tcBorders>
              <w:left w:val="single" w:sz="2" w:space="0" w:color="000000" w:themeColor="text1"/>
              <w:right w:val="single" w:sz="2" w:space="0" w:color="000000" w:themeColor="text1"/>
            </w:tcBorders>
            <w:hideMark/>
          </w:tcPr>
          <w:p w14:paraId="3B7FA2F1" w14:textId="77777777" w:rsidR="00CA5C3C" w:rsidRPr="009B0571" w:rsidRDefault="00CA5C3C" w:rsidP="00F12FC2">
            <w:pPr>
              <w:jc w:val="center"/>
              <w:rPr>
                <w:rFonts w:eastAsia="Times New Roman"/>
                <w:sz w:val="18"/>
                <w:szCs w:val="18"/>
              </w:rPr>
            </w:pPr>
            <w:r w:rsidRPr="009B0571">
              <w:rPr>
                <w:rFonts w:eastAsia="Times New Roman"/>
                <w:sz w:val="18"/>
                <w:szCs w:val="18"/>
              </w:rPr>
              <w:t>11.1</w:t>
            </w:r>
          </w:p>
        </w:tc>
        <w:tc>
          <w:tcPr>
            <w:tcW w:w="921" w:type="dxa"/>
            <w:tcBorders>
              <w:left w:val="single" w:sz="2" w:space="0" w:color="000000" w:themeColor="text1"/>
              <w:right w:val="single" w:sz="2" w:space="0" w:color="000000" w:themeColor="text1"/>
            </w:tcBorders>
            <w:hideMark/>
          </w:tcPr>
          <w:p w14:paraId="2A9AC1CE"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2" w:type="dxa"/>
            <w:tcBorders>
              <w:left w:val="single" w:sz="2" w:space="0" w:color="000000" w:themeColor="text1"/>
            </w:tcBorders>
            <w:hideMark/>
          </w:tcPr>
          <w:p w14:paraId="0E09D5E7"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r>
      <w:tr w:rsidR="0070707F" w:rsidRPr="009B0571" w14:paraId="441AB4F0" w14:textId="77777777" w:rsidTr="00301504">
        <w:tc>
          <w:tcPr>
            <w:tcW w:w="2815" w:type="dxa"/>
            <w:tcBorders>
              <w:right w:val="single" w:sz="2" w:space="0" w:color="000000" w:themeColor="text1"/>
            </w:tcBorders>
            <w:hideMark/>
          </w:tcPr>
          <w:p w14:paraId="36344861" w14:textId="77777777" w:rsidR="00CA5C3C" w:rsidRPr="009B0571" w:rsidRDefault="00CA5C3C">
            <w:pPr>
              <w:rPr>
                <w:rFonts w:eastAsia="Times New Roman"/>
                <w:sz w:val="18"/>
                <w:szCs w:val="18"/>
              </w:rPr>
            </w:pPr>
            <w:r w:rsidRPr="009B0571">
              <w:rPr>
                <w:rFonts w:eastAsia="Times New Roman"/>
                <w:sz w:val="18"/>
                <w:szCs w:val="18"/>
              </w:rPr>
              <w:t xml:space="preserve">Ceftazidime </w:t>
            </w:r>
          </w:p>
        </w:tc>
        <w:tc>
          <w:tcPr>
            <w:tcW w:w="1001" w:type="dxa"/>
            <w:tcBorders>
              <w:left w:val="single" w:sz="2" w:space="0" w:color="000000" w:themeColor="text1"/>
              <w:right w:val="single" w:sz="2" w:space="0" w:color="000000" w:themeColor="text1"/>
            </w:tcBorders>
            <w:hideMark/>
          </w:tcPr>
          <w:p w14:paraId="0EC98097" w14:textId="77777777" w:rsidR="00CA5C3C" w:rsidRPr="009B0571" w:rsidRDefault="00CA5C3C" w:rsidP="00F12FC2">
            <w:pPr>
              <w:jc w:val="center"/>
              <w:rPr>
                <w:rFonts w:eastAsia="Times New Roman"/>
                <w:sz w:val="18"/>
                <w:szCs w:val="18"/>
              </w:rPr>
            </w:pPr>
            <w:r w:rsidRPr="009B0571">
              <w:rPr>
                <w:rFonts w:eastAsia="Times New Roman"/>
                <w:sz w:val="18"/>
                <w:szCs w:val="18"/>
              </w:rPr>
              <w:t>NS</w:t>
            </w:r>
          </w:p>
        </w:tc>
        <w:tc>
          <w:tcPr>
            <w:tcW w:w="921" w:type="dxa"/>
            <w:tcBorders>
              <w:left w:val="single" w:sz="2" w:space="0" w:color="000000" w:themeColor="text1"/>
              <w:right w:val="single" w:sz="2" w:space="0" w:color="000000" w:themeColor="text1"/>
            </w:tcBorders>
            <w:hideMark/>
          </w:tcPr>
          <w:p w14:paraId="6356E20B" w14:textId="77777777" w:rsidR="00CA5C3C" w:rsidRPr="009B0571" w:rsidRDefault="00CA5C3C" w:rsidP="00F12FC2">
            <w:pPr>
              <w:jc w:val="center"/>
              <w:rPr>
                <w:rFonts w:eastAsia="Times New Roman"/>
                <w:sz w:val="18"/>
                <w:szCs w:val="18"/>
              </w:rPr>
            </w:pPr>
            <w:r w:rsidRPr="009B0571">
              <w:rPr>
                <w:rFonts w:eastAsia="Times New Roman"/>
                <w:sz w:val="18"/>
                <w:szCs w:val="18"/>
              </w:rPr>
              <w:t>6.7</w:t>
            </w:r>
          </w:p>
        </w:tc>
        <w:tc>
          <w:tcPr>
            <w:tcW w:w="921" w:type="dxa"/>
            <w:tcBorders>
              <w:left w:val="single" w:sz="2" w:space="0" w:color="000000" w:themeColor="text1"/>
              <w:right w:val="single" w:sz="2" w:space="0" w:color="000000" w:themeColor="text1"/>
            </w:tcBorders>
            <w:hideMark/>
          </w:tcPr>
          <w:p w14:paraId="172A9AE3" w14:textId="77777777" w:rsidR="00CA5C3C" w:rsidRPr="009B0571" w:rsidRDefault="00CA5C3C" w:rsidP="00F12FC2">
            <w:pPr>
              <w:jc w:val="center"/>
              <w:rPr>
                <w:rFonts w:eastAsia="Times New Roman"/>
                <w:sz w:val="18"/>
                <w:szCs w:val="18"/>
              </w:rPr>
            </w:pPr>
            <w:r w:rsidRPr="009B0571">
              <w:rPr>
                <w:rFonts w:eastAsia="Times New Roman"/>
                <w:sz w:val="18"/>
                <w:szCs w:val="18"/>
              </w:rPr>
              <w:t>10.8</w:t>
            </w:r>
          </w:p>
        </w:tc>
        <w:tc>
          <w:tcPr>
            <w:tcW w:w="921" w:type="dxa"/>
            <w:tcBorders>
              <w:left w:val="single" w:sz="2" w:space="0" w:color="000000" w:themeColor="text1"/>
              <w:right w:val="single" w:sz="2" w:space="0" w:color="000000" w:themeColor="text1"/>
            </w:tcBorders>
            <w:hideMark/>
          </w:tcPr>
          <w:p w14:paraId="5884B69A" w14:textId="77777777" w:rsidR="00CA5C3C" w:rsidRPr="009B0571" w:rsidRDefault="00CA5C3C" w:rsidP="00F12FC2">
            <w:pPr>
              <w:jc w:val="center"/>
              <w:rPr>
                <w:rFonts w:eastAsia="Times New Roman"/>
                <w:sz w:val="18"/>
                <w:szCs w:val="18"/>
              </w:rPr>
            </w:pPr>
            <w:r w:rsidRPr="009B0571">
              <w:rPr>
                <w:rFonts w:eastAsia="Times New Roman"/>
                <w:sz w:val="18"/>
                <w:szCs w:val="18"/>
              </w:rPr>
              <w:t>5.4</w:t>
            </w:r>
          </w:p>
        </w:tc>
        <w:tc>
          <w:tcPr>
            <w:tcW w:w="922" w:type="dxa"/>
            <w:tcBorders>
              <w:left w:val="single" w:sz="2" w:space="0" w:color="000000" w:themeColor="text1"/>
              <w:right w:val="single" w:sz="2" w:space="0" w:color="000000" w:themeColor="text1"/>
            </w:tcBorders>
            <w:hideMark/>
          </w:tcPr>
          <w:p w14:paraId="765E1E5D" w14:textId="77777777" w:rsidR="00CA5C3C" w:rsidRPr="009B0571" w:rsidRDefault="00CA5C3C" w:rsidP="00F12FC2">
            <w:pPr>
              <w:jc w:val="center"/>
              <w:rPr>
                <w:rFonts w:eastAsia="Times New Roman"/>
                <w:sz w:val="18"/>
                <w:szCs w:val="18"/>
              </w:rPr>
            </w:pPr>
            <w:r w:rsidRPr="009B0571">
              <w:rPr>
                <w:rFonts w:eastAsia="Times New Roman"/>
                <w:sz w:val="18"/>
                <w:szCs w:val="18"/>
              </w:rPr>
              <w:t>8.0</w:t>
            </w:r>
          </w:p>
        </w:tc>
        <w:tc>
          <w:tcPr>
            <w:tcW w:w="921" w:type="dxa"/>
            <w:tcBorders>
              <w:left w:val="single" w:sz="2" w:space="0" w:color="000000" w:themeColor="text1"/>
              <w:right w:val="single" w:sz="2" w:space="0" w:color="000000" w:themeColor="text1"/>
            </w:tcBorders>
            <w:hideMark/>
          </w:tcPr>
          <w:p w14:paraId="13BFCF9F" w14:textId="77777777" w:rsidR="00CA5C3C" w:rsidRPr="009B0571" w:rsidRDefault="00CA5C3C" w:rsidP="00F12FC2">
            <w:pPr>
              <w:jc w:val="center"/>
              <w:rPr>
                <w:rFonts w:eastAsia="Times New Roman"/>
                <w:sz w:val="18"/>
                <w:szCs w:val="18"/>
              </w:rPr>
            </w:pPr>
            <w:r w:rsidRPr="009B0571">
              <w:rPr>
                <w:rFonts w:eastAsia="Times New Roman"/>
                <w:sz w:val="18"/>
                <w:szCs w:val="18"/>
              </w:rPr>
              <w:t>7.9</w:t>
            </w:r>
          </w:p>
        </w:tc>
        <w:tc>
          <w:tcPr>
            <w:tcW w:w="921" w:type="dxa"/>
            <w:tcBorders>
              <w:left w:val="single" w:sz="2" w:space="0" w:color="000000" w:themeColor="text1"/>
              <w:right w:val="single" w:sz="2" w:space="0" w:color="000000" w:themeColor="text1"/>
            </w:tcBorders>
            <w:hideMark/>
          </w:tcPr>
          <w:p w14:paraId="408CC7BA" w14:textId="77777777" w:rsidR="00CA5C3C" w:rsidRPr="009B0571" w:rsidRDefault="00CA5C3C" w:rsidP="00F12FC2">
            <w:pPr>
              <w:jc w:val="center"/>
              <w:rPr>
                <w:rFonts w:eastAsia="Times New Roman"/>
                <w:sz w:val="18"/>
                <w:szCs w:val="18"/>
              </w:rPr>
            </w:pPr>
            <w:r w:rsidRPr="009B0571">
              <w:rPr>
                <w:rFonts w:eastAsia="Times New Roman"/>
                <w:sz w:val="18"/>
                <w:szCs w:val="18"/>
              </w:rPr>
              <w:t>7.9</w:t>
            </w:r>
          </w:p>
        </w:tc>
        <w:tc>
          <w:tcPr>
            <w:tcW w:w="921" w:type="dxa"/>
            <w:tcBorders>
              <w:left w:val="single" w:sz="2" w:space="0" w:color="000000" w:themeColor="text1"/>
              <w:right w:val="single" w:sz="2" w:space="0" w:color="000000" w:themeColor="text1"/>
            </w:tcBorders>
            <w:hideMark/>
          </w:tcPr>
          <w:p w14:paraId="73D6F08D" w14:textId="77777777" w:rsidR="00CA5C3C" w:rsidRPr="009B0571" w:rsidRDefault="00CA5C3C" w:rsidP="00F12FC2">
            <w:pPr>
              <w:jc w:val="center"/>
              <w:rPr>
                <w:rFonts w:eastAsia="Times New Roman"/>
                <w:sz w:val="18"/>
                <w:szCs w:val="18"/>
              </w:rPr>
            </w:pPr>
            <w:r w:rsidRPr="009B0571">
              <w:rPr>
                <w:rFonts w:eastAsia="Times New Roman"/>
                <w:sz w:val="18"/>
                <w:szCs w:val="18"/>
              </w:rPr>
              <w:t>24.2</w:t>
            </w:r>
          </w:p>
        </w:tc>
        <w:tc>
          <w:tcPr>
            <w:tcW w:w="922" w:type="dxa"/>
            <w:tcBorders>
              <w:left w:val="single" w:sz="2" w:space="0" w:color="000000" w:themeColor="text1"/>
              <w:right w:val="single" w:sz="2" w:space="0" w:color="000000" w:themeColor="text1"/>
            </w:tcBorders>
            <w:hideMark/>
          </w:tcPr>
          <w:p w14:paraId="17D74417" w14:textId="77777777" w:rsidR="00CA5C3C" w:rsidRPr="009B0571" w:rsidRDefault="00CA5C3C" w:rsidP="00F12FC2">
            <w:pPr>
              <w:jc w:val="center"/>
              <w:rPr>
                <w:rFonts w:eastAsia="Times New Roman"/>
                <w:sz w:val="18"/>
                <w:szCs w:val="18"/>
              </w:rPr>
            </w:pPr>
            <w:r w:rsidRPr="009B0571">
              <w:rPr>
                <w:rFonts w:eastAsia="Times New Roman"/>
                <w:sz w:val="18"/>
                <w:szCs w:val="18"/>
              </w:rPr>
              <w:t>26.5</w:t>
            </w:r>
          </w:p>
        </w:tc>
        <w:tc>
          <w:tcPr>
            <w:tcW w:w="921" w:type="dxa"/>
            <w:tcBorders>
              <w:left w:val="single" w:sz="2" w:space="0" w:color="000000" w:themeColor="text1"/>
              <w:right w:val="single" w:sz="2" w:space="0" w:color="000000" w:themeColor="text1"/>
            </w:tcBorders>
            <w:hideMark/>
          </w:tcPr>
          <w:p w14:paraId="385BEB5D" w14:textId="77777777" w:rsidR="00CA5C3C" w:rsidRPr="009B0571" w:rsidRDefault="00CA5C3C" w:rsidP="00F12FC2">
            <w:pPr>
              <w:jc w:val="center"/>
              <w:rPr>
                <w:rFonts w:eastAsia="Times New Roman"/>
                <w:sz w:val="18"/>
                <w:szCs w:val="18"/>
              </w:rPr>
            </w:pPr>
            <w:r w:rsidRPr="009B0571">
              <w:rPr>
                <w:rFonts w:eastAsia="Times New Roman"/>
                <w:sz w:val="18"/>
                <w:szCs w:val="18"/>
              </w:rPr>
              <w:t>1.6</w:t>
            </w:r>
          </w:p>
        </w:tc>
        <w:tc>
          <w:tcPr>
            <w:tcW w:w="921" w:type="dxa"/>
            <w:tcBorders>
              <w:left w:val="single" w:sz="2" w:space="0" w:color="000000" w:themeColor="text1"/>
              <w:right w:val="single" w:sz="2" w:space="0" w:color="000000" w:themeColor="text1"/>
            </w:tcBorders>
            <w:hideMark/>
          </w:tcPr>
          <w:p w14:paraId="396133CA" w14:textId="77777777" w:rsidR="00CA5C3C" w:rsidRPr="009B0571" w:rsidRDefault="00CA5C3C" w:rsidP="00F12FC2">
            <w:pPr>
              <w:jc w:val="center"/>
              <w:rPr>
                <w:rFonts w:eastAsia="Times New Roman"/>
                <w:sz w:val="18"/>
                <w:szCs w:val="18"/>
              </w:rPr>
            </w:pPr>
            <w:r w:rsidRPr="009B0571">
              <w:rPr>
                <w:rFonts w:eastAsia="Times New Roman"/>
                <w:sz w:val="18"/>
                <w:szCs w:val="18"/>
              </w:rPr>
              <w:t>2.1</w:t>
            </w:r>
          </w:p>
        </w:tc>
        <w:tc>
          <w:tcPr>
            <w:tcW w:w="921" w:type="dxa"/>
            <w:tcBorders>
              <w:left w:val="single" w:sz="2" w:space="0" w:color="000000" w:themeColor="text1"/>
              <w:right w:val="single" w:sz="2" w:space="0" w:color="000000" w:themeColor="text1"/>
            </w:tcBorders>
            <w:hideMark/>
          </w:tcPr>
          <w:p w14:paraId="610CA087" w14:textId="77777777" w:rsidR="00CA5C3C" w:rsidRPr="009B0571" w:rsidRDefault="00CA5C3C" w:rsidP="00F12FC2">
            <w:pPr>
              <w:jc w:val="center"/>
              <w:rPr>
                <w:rFonts w:eastAsia="Times New Roman"/>
                <w:sz w:val="18"/>
                <w:szCs w:val="18"/>
              </w:rPr>
            </w:pPr>
            <w:r w:rsidRPr="009B0571">
              <w:rPr>
                <w:rFonts w:eastAsia="Times New Roman"/>
                <w:sz w:val="18"/>
                <w:szCs w:val="18"/>
              </w:rPr>
              <w:t>0.0</w:t>
            </w:r>
          </w:p>
        </w:tc>
        <w:tc>
          <w:tcPr>
            <w:tcW w:w="922" w:type="dxa"/>
            <w:tcBorders>
              <w:left w:val="single" w:sz="2" w:space="0" w:color="000000" w:themeColor="text1"/>
            </w:tcBorders>
            <w:hideMark/>
          </w:tcPr>
          <w:p w14:paraId="3C773435"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r>
      <w:tr w:rsidR="00260928" w:rsidRPr="009B0571" w14:paraId="1B81ACE0"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4F9C334D" w14:textId="77777777" w:rsidR="00CA5C3C" w:rsidRPr="009B0571" w:rsidRDefault="00CA5C3C">
            <w:pPr>
              <w:rPr>
                <w:rFonts w:eastAsia="Times New Roman"/>
                <w:sz w:val="18"/>
                <w:szCs w:val="18"/>
              </w:rPr>
            </w:pPr>
            <w:r w:rsidRPr="009B0571">
              <w:rPr>
                <w:rFonts w:eastAsia="Times New Roman"/>
                <w:sz w:val="18"/>
                <w:szCs w:val="18"/>
              </w:rPr>
              <w:t xml:space="preserve">Cefepime </w:t>
            </w:r>
          </w:p>
        </w:tc>
        <w:tc>
          <w:tcPr>
            <w:tcW w:w="1001" w:type="dxa"/>
            <w:tcBorders>
              <w:left w:val="single" w:sz="2" w:space="0" w:color="000000" w:themeColor="text1"/>
              <w:right w:val="single" w:sz="2" w:space="0" w:color="000000" w:themeColor="text1"/>
            </w:tcBorders>
            <w:hideMark/>
          </w:tcPr>
          <w:p w14:paraId="36690231" w14:textId="77777777" w:rsidR="00CA5C3C" w:rsidRPr="009B0571" w:rsidRDefault="00CA5C3C" w:rsidP="00F12FC2">
            <w:pPr>
              <w:jc w:val="center"/>
              <w:rPr>
                <w:rFonts w:eastAsia="Times New Roman"/>
                <w:sz w:val="18"/>
                <w:szCs w:val="18"/>
              </w:rPr>
            </w:pPr>
            <w:r w:rsidRPr="009B0571">
              <w:rPr>
                <w:rFonts w:eastAsia="Times New Roman"/>
                <w:sz w:val="18"/>
                <w:szCs w:val="18"/>
              </w:rPr>
              <w:t>NS</w:t>
            </w:r>
          </w:p>
        </w:tc>
        <w:tc>
          <w:tcPr>
            <w:tcW w:w="921" w:type="dxa"/>
            <w:tcBorders>
              <w:left w:val="single" w:sz="2" w:space="0" w:color="000000" w:themeColor="text1"/>
              <w:right w:val="single" w:sz="2" w:space="0" w:color="000000" w:themeColor="text1"/>
            </w:tcBorders>
            <w:hideMark/>
          </w:tcPr>
          <w:p w14:paraId="7585D6E2" w14:textId="77777777" w:rsidR="00CA5C3C" w:rsidRPr="009B0571" w:rsidRDefault="00CA5C3C" w:rsidP="00F12FC2">
            <w:pPr>
              <w:jc w:val="center"/>
              <w:rPr>
                <w:rFonts w:eastAsia="Times New Roman"/>
                <w:sz w:val="18"/>
                <w:szCs w:val="18"/>
              </w:rPr>
            </w:pPr>
            <w:r w:rsidRPr="009B0571">
              <w:rPr>
                <w:rFonts w:eastAsia="Times New Roman"/>
                <w:sz w:val="18"/>
                <w:szCs w:val="18"/>
              </w:rPr>
              <w:t>5.5</w:t>
            </w:r>
          </w:p>
        </w:tc>
        <w:tc>
          <w:tcPr>
            <w:tcW w:w="921" w:type="dxa"/>
            <w:tcBorders>
              <w:left w:val="single" w:sz="2" w:space="0" w:color="000000" w:themeColor="text1"/>
              <w:right w:val="single" w:sz="2" w:space="0" w:color="000000" w:themeColor="text1"/>
            </w:tcBorders>
            <w:hideMark/>
          </w:tcPr>
          <w:p w14:paraId="2A918813" w14:textId="77777777" w:rsidR="00CA5C3C" w:rsidRPr="009B0571" w:rsidRDefault="00CA5C3C" w:rsidP="00F12FC2">
            <w:pPr>
              <w:jc w:val="center"/>
              <w:rPr>
                <w:rFonts w:eastAsia="Times New Roman"/>
                <w:sz w:val="18"/>
                <w:szCs w:val="18"/>
              </w:rPr>
            </w:pPr>
            <w:r w:rsidRPr="009B0571">
              <w:rPr>
                <w:rFonts w:eastAsia="Times New Roman"/>
                <w:sz w:val="18"/>
                <w:szCs w:val="18"/>
              </w:rPr>
              <w:t>9.1</w:t>
            </w:r>
          </w:p>
        </w:tc>
        <w:tc>
          <w:tcPr>
            <w:tcW w:w="921" w:type="dxa"/>
            <w:tcBorders>
              <w:left w:val="single" w:sz="2" w:space="0" w:color="000000" w:themeColor="text1"/>
              <w:right w:val="single" w:sz="2" w:space="0" w:color="000000" w:themeColor="text1"/>
            </w:tcBorders>
            <w:hideMark/>
          </w:tcPr>
          <w:p w14:paraId="2C1E1101" w14:textId="77777777" w:rsidR="00CA5C3C" w:rsidRPr="009B0571" w:rsidRDefault="00CA5C3C" w:rsidP="00F12FC2">
            <w:pPr>
              <w:jc w:val="center"/>
              <w:rPr>
                <w:rFonts w:eastAsia="Times New Roman"/>
                <w:sz w:val="18"/>
                <w:szCs w:val="18"/>
              </w:rPr>
            </w:pPr>
            <w:r w:rsidRPr="009B0571">
              <w:rPr>
                <w:rFonts w:eastAsia="Times New Roman"/>
                <w:sz w:val="18"/>
                <w:szCs w:val="18"/>
              </w:rPr>
              <w:t>3.3</w:t>
            </w:r>
          </w:p>
        </w:tc>
        <w:tc>
          <w:tcPr>
            <w:tcW w:w="922" w:type="dxa"/>
            <w:tcBorders>
              <w:left w:val="single" w:sz="2" w:space="0" w:color="000000" w:themeColor="text1"/>
              <w:right w:val="single" w:sz="2" w:space="0" w:color="000000" w:themeColor="text1"/>
            </w:tcBorders>
            <w:hideMark/>
          </w:tcPr>
          <w:p w14:paraId="187F0D83" w14:textId="77777777" w:rsidR="00CA5C3C" w:rsidRPr="009B0571" w:rsidRDefault="00CA5C3C" w:rsidP="00F12FC2">
            <w:pPr>
              <w:jc w:val="center"/>
              <w:rPr>
                <w:rFonts w:eastAsia="Times New Roman"/>
                <w:sz w:val="18"/>
                <w:szCs w:val="18"/>
              </w:rPr>
            </w:pPr>
            <w:r w:rsidRPr="009B0571">
              <w:rPr>
                <w:rFonts w:eastAsia="Times New Roman"/>
                <w:sz w:val="18"/>
                <w:szCs w:val="18"/>
              </w:rPr>
              <w:t>6.1</w:t>
            </w:r>
          </w:p>
        </w:tc>
        <w:tc>
          <w:tcPr>
            <w:tcW w:w="921" w:type="dxa"/>
            <w:tcBorders>
              <w:left w:val="single" w:sz="2" w:space="0" w:color="000000" w:themeColor="text1"/>
              <w:right w:val="single" w:sz="2" w:space="0" w:color="000000" w:themeColor="text1"/>
            </w:tcBorders>
            <w:hideMark/>
          </w:tcPr>
          <w:p w14:paraId="5D360C44" w14:textId="77777777" w:rsidR="00CA5C3C" w:rsidRPr="009B0571" w:rsidRDefault="00CA5C3C" w:rsidP="00F12FC2">
            <w:pPr>
              <w:jc w:val="center"/>
              <w:rPr>
                <w:rFonts w:eastAsia="Times New Roman"/>
                <w:sz w:val="18"/>
                <w:szCs w:val="18"/>
              </w:rPr>
            </w:pPr>
            <w:r w:rsidRPr="009B0571">
              <w:rPr>
                <w:rFonts w:eastAsia="Times New Roman"/>
                <w:sz w:val="18"/>
                <w:szCs w:val="18"/>
              </w:rPr>
              <w:t>2.9</w:t>
            </w:r>
          </w:p>
        </w:tc>
        <w:tc>
          <w:tcPr>
            <w:tcW w:w="921" w:type="dxa"/>
            <w:tcBorders>
              <w:left w:val="single" w:sz="2" w:space="0" w:color="000000" w:themeColor="text1"/>
              <w:right w:val="single" w:sz="2" w:space="0" w:color="000000" w:themeColor="text1"/>
            </w:tcBorders>
            <w:hideMark/>
          </w:tcPr>
          <w:p w14:paraId="7D8176F3" w14:textId="77777777" w:rsidR="00CA5C3C" w:rsidRPr="009B0571" w:rsidRDefault="00CA5C3C" w:rsidP="00F12FC2">
            <w:pPr>
              <w:jc w:val="center"/>
              <w:rPr>
                <w:rFonts w:eastAsia="Times New Roman"/>
                <w:sz w:val="18"/>
                <w:szCs w:val="18"/>
              </w:rPr>
            </w:pPr>
            <w:r w:rsidRPr="009B0571">
              <w:rPr>
                <w:rFonts w:eastAsia="Times New Roman"/>
                <w:sz w:val="18"/>
                <w:szCs w:val="18"/>
              </w:rPr>
              <w:t>6.2</w:t>
            </w:r>
          </w:p>
        </w:tc>
        <w:tc>
          <w:tcPr>
            <w:tcW w:w="921" w:type="dxa"/>
            <w:tcBorders>
              <w:left w:val="single" w:sz="2" w:space="0" w:color="000000" w:themeColor="text1"/>
              <w:right w:val="single" w:sz="2" w:space="0" w:color="000000" w:themeColor="text1"/>
            </w:tcBorders>
            <w:hideMark/>
          </w:tcPr>
          <w:p w14:paraId="6ABD37D8" w14:textId="77777777" w:rsidR="00CA5C3C" w:rsidRPr="009B0571" w:rsidRDefault="00CA5C3C" w:rsidP="00F12FC2">
            <w:pPr>
              <w:jc w:val="center"/>
              <w:rPr>
                <w:rFonts w:eastAsia="Times New Roman"/>
                <w:sz w:val="18"/>
                <w:szCs w:val="18"/>
              </w:rPr>
            </w:pPr>
            <w:r w:rsidRPr="009B0571">
              <w:rPr>
                <w:rFonts w:eastAsia="Times New Roman"/>
                <w:sz w:val="18"/>
                <w:szCs w:val="18"/>
              </w:rPr>
              <w:t>6.1</w:t>
            </w:r>
          </w:p>
        </w:tc>
        <w:tc>
          <w:tcPr>
            <w:tcW w:w="922" w:type="dxa"/>
            <w:tcBorders>
              <w:left w:val="single" w:sz="2" w:space="0" w:color="000000" w:themeColor="text1"/>
              <w:right w:val="single" w:sz="2" w:space="0" w:color="000000" w:themeColor="text1"/>
            </w:tcBorders>
            <w:hideMark/>
          </w:tcPr>
          <w:p w14:paraId="78144523" w14:textId="77777777" w:rsidR="00CA5C3C" w:rsidRPr="009B0571" w:rsidRDefault="00CA5C3C" w:rsidP="00F12FC2">
            <w:pPr>
              <w:jc w:val="center"/>
              <w:rPr>
                <w:rFonts w:eastAsia="Times New Roman"/>
                <w:sz w:val="18"/>
                <w:szCs w:val="18"/>
              </w:rPr>
            </w:pPr>
            <w:r w:rsidRPr="009B0571">
              <w:rPr>
                <w:rFonts w:eastAsia="Times New Roman"/>
                <w:sz w:val="18"/>
                <w:szCs w:val="18"/>
              </w:rPr>
              <w:t>12.9</w:t>
            </w:r>
          </w:p>
        </w:tc>
        <w:tc>
          <w:tcPr>
            <w:tcW w:w="921" w:type="dxa"/>
            <w:tcBorders>
              <w:left w:val="single" w:sz="2" w:space="0" w:color="000000" w:themeColor="text1"/>
              <w:right w:val="single" w:sz="2" w:space="0" w:color="000000" w:themeColor="text1"/>
            </w:tcBorders>
            <w:hideMark/>
          </w:tcPr>
          <w:p w14:paraId="3CAD5098" w14:textId="77777777" w:rsidR="00CA5C3C" w:rsidRPr="009B0571" w:rsidRDefault="00CA5C3C" w:rsidP="00F12FC2">
            <w:pPr>
              <w:jc w:val="center"/>
              <w:rPr>
                <w:rFonts w:eastAsia="Times New Roman"/>
                <w:sz w:val="18"/>
                <w:szCs w:val="18"/>
              </w:rPr>
            </w:pPr>
            <w:r w:rsidRPr="009B0571">
              <w:rPr>
                <w:rFonts w:eastAsia="Times New Roman"/>
                <w:sz w:val="18"/>
                <w:szCs w:val="18"/>
              </w:rPr>
              <w:t>1.2</w:t>
            </w:r>
          </w:p>
        </w:tc>
        <w:tc>
          <w:tcPr>
            <w:tcW w:w="921" w:type="dxa"/>
            <w:tcBorders>
              <w:left w:val="single" w:sz="2" w:space="0" w:color="000000" w:themeColor="text1"/>
              <w:right w:val="single" w:sz="2" w:space="0" w:color="000000" w:themeColor="text1"/>
            </w:tcBorders>
            <w:hideMark/>
          </w:tcPr>
          <w:p w14:paraId="5FF99AE1" w14:textId="77777777" w:rsidR="00CA5C3C" w:rsidRPr="009B0571" w:rsidRDefault="00CA5C3C" w:rsidP="00F12FC2">
            <w:pPr>
              <w:jc w:val="center"/>
              <w:rPr>
                <w:rFonts w:eastAsia="Times New Roman"/>
                <w:sz w:val="18"/>
                <w:szCs w:val="18"/>
              </w:rPr>
            </w:pPr>
            <w:r w:rsidRPr="009B0571">
              <w:rPr>
                <w:rFonts w:eastAsia="Times New Roman"/>
                <w:sz w:val="18"/>
                <w:szCs w:val="18"/>
              </w:rPr>
              <w:t>1.2</w:t>
            </w:r>
          </w:p>
        </w:tc>
        <w:tc>
          <w:tcPr>
            <w:tcW w:w="921" w:type="dxa"/>
            <w:tcBorders>
              <w:left w:val="single" w:sz="2" w:space="0" w:color="000000" w:themeColor="text1"/>
              <w:right w:val="single" w:sz="2" w:space="0" w:color="000000" w:themeColor="text1"/>
            </w:tcBorders>
            <w:hideMark/>
          </w:tcPr>
          <w:p w14:paraId="05B78468"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2" w:type="dxa"/>
            <w:tcBorders>
              <w:left w:val="single" w:sz="2" w:space="0" w:color="000000" w:themeColor="text1"/>
            </w:tcBorders>
            <w:hideMark/>
          </w:tcPr>
          <w:p w14:paraId="6C5F3503"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r>
      <w:tr w:rsidR="0070707F" w:rsidRPr="009B0571" w14:paraId="3DC28C05" w14:textId="77777777" w:rsidTr="00301504">
        <w:tc>
          <w:tcPr>
            <w:tcW w:w="2815" w:type="dxa"/>
            <w:tcBorders>
              <w:right w:val="single" w:sz="2" w:space="0" w:color="000000" w:themeColor="text1"/>
            </w:tcBorders>
            <w:hideMark/>
          </w:tcPr>
          <w:p w14:paraId="58D1DFB8" w14:textId="77777777" w:rsidR="00CA5C3C" w:rsidRPr="009B0571" w:rsidRDefault="00CA5C3C">
            <w:pPr>
              <w:rPr>
                <w:rFonts w:eastAsia="Times New Roman"/>
                <w:sz w:val="18"/>
                <w:szCs w:val="18"/>
              </w:rPr>
            </w:pPr>
            <w:r w:rsidRPr="009B0571">
              <w:rPr>
                <w:rFonts w:eastAsia="Times New Roman"/>
                <w:sz w:val="18"/>
                <w:szCs w:val="18"/>
              </w:rPr>
              <w:t xml:space="preserve">Meropenem </w:t>
            </w:r>
          </w:p>
        </w:tc>
        <w:tc>
          <w:tcPr>
            <w:tcW w:w="1001" w:type="dxa"/>
            <w:tcBorders>
              <w:left w:val="single" w:sz="2" w:space="0" w:color="000000" w:themeColor="text1"/>
              <w:right w:val="single" w:sz="2" w:space="0" w:color="000000" w:themeColor="text1"/>
            </w:tcBorders>
            <w:hideMark/>
          </w:tcPr>
          <w:p w14:paraId="06808797" w14:textId="77777777" w:rsidR="00CA5C3C" w:rsidRPr="009B0571" w:rsidRDefault="00CA5C3C" w:rsidP="00F12FC2">
            <w:pPr>
              <w:jc w:val="center"/>
              <w:rPr>
                <w:rFonts w:eastAsia="Times New Roman"/>
                <w:sz w:val="18"/>
                <w:szCs w:val="18"/>
              </w:rPr>
            </w:pPr>
            <w:r w:rsidRPr="009B0571">
              <w:rPr>
                <w:rFonts w:eastAsia="Times New Roman"/>
                <w:sz w:val="18"/>
                <w:szCs w:val="18"/>
              </w:rPr>
              <w:t>NS</w:t>
            </w:r>
          </w:p>
        </w:tc>
        <w:tc>
          <w:tcPr>
            <w:tcW w:w="921" w:type="dxa"/>
            <w:tcBorders>
              <w:left w:val="single" w:sz="2" w:space="0" w:color="000000" w:themeColor="text1"/>
              <w:right w:val="single" w:sz="2" w:space="0" w:color="000000" w:themeColor="text1"/>
            </w:tcBorders>
            <w:hideMark/>
          </w:tcPr>
          <w:p w14:paraId="0BDE54FF" w14:textId="77777777" w:rsidR="00CA5C3C" w:rsidRPr="009B0571" w:rsidRDefault="00CA5C3C" w:rsidP="00F12FC2">
            <w:pPr>
              <w:jc w:val="center"/>
              <w:rPr>
                <w:rFonts w:eastAsia="Times New Roman"/>
                <w:sz w:val="18"/>
                <w:szCs w:val="18"/>
              </w:rPr>
            </w:pPr>
            <w:r w:rsidRPr="009B0571">
              <w:rPr>
                <w:rFonts w:eastAsia="Times New Roman"/>
                <w:sz w:val="18"/>
                <w:szCs w:val="18"/>
              </w:rPr>
              <w:t>0.1</w:t>
            </w:r>
          </w:p>
        </w:tc>
        <w:tc>
          <w:tcPr>
            <w:tcW w:w="921" w:type="dxa"/>
            <w:tcBorders>
              <w:left w:val="single" w:sz="2" w:space="0" w:color="000000" w:themeColor="text1"/>
              <w:right w:val="single" w:sz="2" w:space="0" w:color="000000" w:themeColor="text1"/>
            </w:tcBorders>
            <w:hideMark/>
          </w:tcPr>
          <w:p w14:paraId="6B6F6365" w14:textId="77777777" w:rsidR="00CA5C3C" w:rsidRPr="009B0571" w:rsidRDefault="00CA5C3C" w:rsidP="00F12FC2">
            <w:pPr>
              <w:jc w:val="center"/>
              <w:rPr>
                <w:rFonts w:eastAsia="Times New Roman"/>
                <w:sz w:val="18"/>
                <w:szCs w:val="18"/>
              </w:rPr>
            </w:pPr>
            <w:r w:rsidRPr="009B0571">
              <w:rPr>
                <w:rFonts w:eastAsia="Times New Roman"/>
                <w:sz w:val="18"/>
                <w:szCs w:val="18"/>
              </w:rPr>
              <w:t>0.1</w:t>
            </w:r>
          </w:p>
        </w:tc>
        <w:tc>
          <w:tcPr>
            <w:tcW w:w="921" w:type="dxa"/>
            <w:tcBorders>
              <w:left w:val="single" w:sz="2" w:space="0" w:color="000000" w:themeColor="text1"/>
              <w:right w:val="single" w:sz="2" w:space="0" w:color="000000" w:themeColor="text1"/>
            </w:tcBorders>
            <w:hideMark/>
          </w:tcPr>
          <w:p w14:paraId="2B4512B4" w14:textId="77777777" w:rsidR="00CA5C3C" w:rsidRPr="009B0571" w:rsidRDefault="00CA5C3C" w:rsidP="00F12FC2">
            <w:pPr>
              <w:jc w:val="center"/>
              <w:rPr>
                <w:rFonts w:eastAsia="Times New Roman"/>
                <w:sz w:val="18"/>
                <w:szCs w:val="18"/>
              </w:rPr>
            </w:pPr>
            <w:r w:rsidRPr="009B0571">
              <w:rPr>
                <w:rFonts w:eastAsia="Times New Roman"/>
                <w:sz w:val="18"/>
                <w:szCs w:val="18"/>
              </w:rPr>
              <w:t>0.5</w:t>
            </w:r>
          </w:p>
        </w:tc>
        <w:tc>
          <w:tcPr>
            <w:tcW w:w="922" w:type="dxa"/>
            <w:tcBorders>
              <w:left w:val="single" w:sz="2" w:space="0" w:color="000000" w:themeColor="text1"/>
              <w:right w:val="single" w:sz="2" w:space="0" w:color="000000" w:themeColor="text1"/>
            </w:tcBorders>
            <w:hideMark/>
          </w:tcPr>
          <w:p w14:paraId="13EB445B"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1" w:type="dxa"/>
            <w:tcBorders>
              <w:left w:val="single" w:sz="2" w:space="0" w:color="000000" w:themeColor="text1"/>
              <w:right w:val="single" w:sz="2" w:space="0" w:color="000000" w:themeColor="text1"/>
            </w:tcBorders>
            <w:hideMark/>
          </w:tcPr>
          <w:p w14:paraId="43AA1D0B" w14:textId="77777777" w:rsidR="00CA5C3C" w:rsidRPr="009B0571" w:rsidRDefault="00CA5C3C" w:rsidP="00F12FC2">
            <w:pPr>
              <w:jc w:val="center"/>
              <w:rPr>
                <w:rFonts w:eastAsia="Times New Roman"/>
                <w:sz w:val="18"/>
                <w:szCs w:val="18"/>
              </w:rPr>
            </w:pPr>
            <w:r w:rsidRPr="009B0571">
              <w:rPr>
                <w:rFonts w:eastAsia="Times New Roman"/>
                <w:sz w:val="18"/>
                <w:szCs w:val="18"/>
              </w:rPr>
              <w:t>8.0</w:t>
            </w:r>
          </w:p>
        </w:tc>
        <w:tc>
          <w:tcPr>
            <w:tcW w:w="921" w:type="dxa"/>
            <w:tcBorders>
              <w:left w:val="single" w:sz="2" w:space="0" w:color="000000" w:themeColor="text1"/>
              <w:right w:val="single" w:sz="2" w:space="0" w:color="000000" w:themeColor="text1"/>
            </w:tcBorders>
            <w:hideMark/>
          </w:tcPr>
          <w:p w14:paraId="7028FB7F" w14:textId="77777777" w:rsidR="00CA5C3C" w:rsidRPr="009B0571" w:rsidRDefault="00CA5C3C" w:rsidP="00F12FC2">
            <w:pPr>
              <w:jc w:val="center"/>
              <w:rPr>
                <w:rFonts w:eastAsia="Times New Roman"/>
                <w:sz w:val="18"/>
                <w:szCs w:val="18"/>
              </w:rPr>
            </w:pPr>
            <w:r w:rsidRPr="009B0571">
              <w:rPr>
                <w:rFonts w:eastAsia="Times New Roman"/>
                <w:sz w:val="18"/>
                <w:szCs w:val="18"/>
              </w:rPr>
              <w:t>8.0</w:t>
            </w:r>
          </w:p>
        </w:tc>
        <w:tc>
          <w:tcPr>
            <w:tcW w:w="921" w:type="dxa"/>
            <w:tcBorders>
              <w:left w:val="single" w:sz="2" w:space="0" w:color="000000" w:themeColor="text1"/>
              <w:right w:val="single" w:sz="2" w:space="0" w:color="000000" w:themeColor="text1"/>
            </w:tcBorders>
            <w:hideMark/>
          </w:tcPr>
          <w:p w14:paraId="6F45226E" w14:textId="77777777" w:rsidR="00CA5C3C" w:rsidRPr="009B0571" w:rsidRDefault="00CA5C3C" w:rsidP="00F12FC2">
            <w:pPr>
              <w:jc w:val="center"/>
              <w:rPr>
                <w:rFonts w:eastAsia="Times New Roman"/>
                <w:sz w:val="18"/>
                <w:szCs w:val="18"/>
              </w:rPr>
            </w:pPr>
            <w:r w:rsidRPr="009B0571">
              <w:rPr>
                <w:rFonts w:eastAsia="Times New Roman"/>
                <w:sz w:val="18"/>
                <w:szCs w:val="18"/>
              </w:rPr>
              <w:t>2.5</w:t>
            </w:r>
          </w:p>
        </w:tc>
        <w:tc>
          <w:tcPr>
            <w:tcW w:w="922" w:type="dxa"/>
            <w:tcBorders>
              <w:left w:val="single" w:sz="2" w:space="0" w:color="000000" w:themeColor="text1"/>
              <w:right w:val="single" w:sz="2" w:space="0" w:color="000000" w:themeColor="text1"/>
            </w:tcBorders>
            <w:hideMark/>
          </w:tcPr>
          <w:p w14:paraId="4A46DA5C" w14:textId="77777777" w:rsidR="00CA5C3C" w:rsidRPr="009B0571" w:rsidRDefault="00CA5C3C" w:rsidP="00F12FC2">
            <w:pPr>
              <w:jc w:val="center"/>
              <w:rPr>
                <w:rFonts w:eastAsia="Times New Roman"/>
                <w:sz w:val="18"/>
                <w:szCs w:val="18"/>
              </w:rPr>
            </w:pPr>
            <w:r w:rsidRPr="009B0571">
              <w:rPr>
                <w:rFonts w:eastAsia="Times New Roman"/>
                <w:sz w:val="18"/>
                <w:szCs w:val="18"/>
              </w:rPr>
              <w:t>2.3</w:t>
            </w:r>
          </w:p>
        </w:tc>
        <w:tc>
          <w:tcPr>
            <w:tcW w:w="921" w:type="dxa"/>
            <w:tcBorders>
              <w:left w:val="single" w:sz="2" w:space="0" w:color="000000" w:themeColor="text1"/>
              <w:right w:val="single" w:sz="2" w:space="0" w:color="000000" w:themeColor="text1"/>
            </w:tcBorders>
            <w:hideMark/>
          </w:tcPr>
          <w:p w14:paraId="1B33D3C4"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1" w:type="dxa"/>
            <w:tcBorders>
              <w:left w:val="single" w:sz="2" w:space="0" w:color="000000" w:themeColor="text1"/>
              <w:right w:val="single" w:sz="2" w:space="0" w:color="000000" w:themeColor="text1"/>
            </w:tcBorders>
            <w:hideMark/>
          </w:tcPr>
          <w:p w14:paraId="2E4FBF99"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1" w:type="dxa"/>
            <w:tcBorders>
              <w:left w:val="single" w:sz="2" w:space="0" w:color="000000" w:themeColor="text1"/>
              <w:right w:val="single" w:sz="2" w:space="0" w:color="000000" w:themeColor="text1"/>
            </w:tcBorders>
            <w:hideMark/>
          </w:tcPr>
          <w:p w14:paraId="44762FAB" w14:textId="77777777" w:rsidR="00CA5C3C" w:rsidRPr="009B0571" w:rsidRDefault="00CA5C3C" w:rsidP="00F12FC2">
            <w:pPr>
              <w:jc w:val="center"/>
              <w:rPr>
                <w:rFonts w:eastAsia="Times New Roman"/>
                <w:sz w:val="18"/>
                <w:szCs w:val="18"/>
              </w:rPr>
            </w:pPr>
            <w:r w:rsidRPr="009B0571">
              <w:rPr>
                <w:rFonts w:eastAsia="Times New Roman"/>
                <w:sz w:val="18"/>
                <w:szCs w:val="18"/>
              </w:rPr>
              <w:t>0.0</w:t>
            </w:r>
          </w:p>
        </w:tc>
        <w:tc>
          <w:tcPr>
            <w:tcW w:w="922" w:type="dxa"/>
            <w:tcBorders>
              <w:left w:val="single" w:sz="2" w:space="0" w:color="000000" w:themeColor="text1"/>
            </w:tcBorders>
            <w:hideMark/>
          </w:tcPr>
          <w:p w14:paraId="050F79DB" w14:textId="77777777" w:rsidR="00CA5C3C" w:rsidRPr="009B0571" w:rsidRDefault="00CA5C3C" w:rsidP="00F12FC2">
            <w:pPr>
              <w:jc w:val="center"/>
              <w:rPr>
                <w:rFonts w:eastAsia="Times New Roman"/>
                <w:sz w:val="18"/>
                <w:szCs w:val="18"/>
              </w:rPr>
            </w:pPr>
            <w:r w:rsidRPr="009B0571">
              <w:rPr>
                <w:rFonts w:eastAsia="Times New Roman"/>
                <w:sz w:val="18"/>
                <w:szCs w:val="18"/>
              </w:rPr>
              <w:t>0.0</w:t>
            </w:r>
          </w:p>
        </w:tc>
      </w:tr>
      <w:tr w:rsidR="00260928" w:rsidRPr="009B0571" w14:paraId="74424D74"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6B825DE7" w14:textId="77777777" w:rsidR="00CA5C3C" w:rsidRPr="009B0571" w:rsidRDefault="00CA5C3C">
            <w:pPr>
              <w:rPr>
                <w:rFonts w:eastAsia="Times New Roman"/>
                <w:sz w:val="18"/>
                <w:szCs w:val="18"/>
              </w:rPr>
            </w:pPr>
            <w:r w:rsidRPr="009B0571">
              <w:rPr>
                <w:rFonts w:eastAsia="Times New Roman"/>
                <w:sz w:val="18"/>
                <w:szCs w:val="18"/>
              </w:rPr>
              <w:t xml:space="preserve">Ciprofloxacin </w:t>
            </w:r>
          </w:p>
        </w:tc>
        <w:tc>
          <w:tcPr>
            <w:tcW w:w="1001" w:type="dxa"/>
            <w:tcBorders>
              <w:left w:val="single" w:sz="2" w:space="0" w:color="000000" w:themeColor="text1"/>
              <w:right w:val="single" w:sz="2" w:space="0" w:color="000000" w:themeColor="text1"/>
            </w:tcBorders>
            <w:hideMark/>
          </w:tcPr>
          <w:p w14:paraId="035948B4" w14:textId="77777777" w:rsidR="00CA5C3C" w:rsidRPr="009B0571" w:rsidRDefault="00CA5C3C" w:rsidP="00F12FC2">
            <w:pPr>
              <w:jc w:val="center"/>
              <w:rPr>
                <w:rFonts w:eastAsia="Times New Roman"/>
                <w:sz w:val="18"/>
                <w:szCs w:val="18"/>
              </w:rPr>
            </w:pPr>
            <w:r w:rsidRPr="009B0571">
              <w:rPr>
                <w:rFonts w:eastAsia="Times New Roman"/>
                <w:sz w:val="18"/>
                <w:szCs w:val="18"/>
              </w:rPr>
              <w:t>NS</w:t>
            </w:r>
          </w:p>
        </w:tc>
        <w:tc>
          <w:tcPr>
            <w:tcW w:w="921" w:type="dxa"/>
            <w:tcBorders>
              <w:left w:val="single" w:sz="2" w:space="0" w:color="000000" w:themeColor="text1"/>
              <w:right w:val="single" w:sz="2" w:space="0" w:color="000000" w:themeColor="text1"/>
            </w:tcBorders>
            <w:hideMark/>
          </w:tcPr>
          <w:p w14:paraId="1346D685" w14:textId="77777777" w:rsidR="00CA5C3C" w:rsidRPr="009B0571" w:rsidRDefault="00CA5C3C" w:rsidP="00F12FC2">
            <w:pPr>
              <w:jc w:val="center"/>
              <w:rPr>
                <w:rFonts w:eastAsia="Times New Roman"/>
                <w:sz w:val="18"/>
                <w:szCs w:val="18"/>
              </w:rPr>
            </w:pPr>
            <w:r w:rsidRPr="009B0571">
              <w:rPr>
                <w:rFonts w:eastAsia="Times New Roman"/>
                <w:sz w:val="18"/>
                <w:szCs w:val="18"/>
              </w:rPr>
              <w:t>12.8</w:t>
            </w:r>
          </w:p>
        </w:tc>
        <w:tc>
          <w:tcPr>
            <w:tcW w:w="921" w:type="dxa"/>
            <w:tcBorders>
              <w:left w:val="single" w:sz="2" w:space="0" w:color="000000" w:themeColor="text1"/>
              <w:right w:val="single" w:sz="2" w:space="0" w:color="000000" w:themeColor="text1"/>
            </w:tcBorders>
            <w:hideMark/>
          </w:tcPr>
          <w:p w14:paraId="1FA0577A" w14:textId="77777777" w:rsidR="00CA5C3C" w:rsidRPr="009B0571" w:rsidRDefault="00CA5C3C" w:rsidP="00F12FC2">
            <w:pPr>
              <w:jc w:val="center"/>
              <w:rPr>
                <w:rFonts w:eastAsia="Times New Roman"/>
                <w:sz w:val="18"/>
                <w:szCs w:val="18"/>
              </w:rPr>
            </w:pPr>
            <w:r w:rsidRPr="009B0571">
              <w:rPr>
                <w:rFonts w:eastAsia="Times New Roman"/>
                <w:sz w:val="18"/>
                <w:szCs w:val="18"/>
              </w:rPr>
              <w:t>16.3</w:t>
            </w:r>
          </w:p>
        </w:tc>
        <w:tc>
          <w:tcPr>
            <w:tcW w:w="921" w:type="dxa"/>
            <w:tcBorders>
              <w:left w:val="single" w:sz="2" w:space="0" w:color="000000" w:themeColor="text1"/>
              <w:right w:val="single" w:sz="2" w:space="0" w:color="000000" w:themeColor="text1"/>
            </w:tcBorders>
            <w:hideMark/>
          </w:tcPr>
          <w:p w14:paraId="6548AEC5" w14:textId="77777777" w:rsidR="00CA5C3C" w:rsidRPr="009B0571" w:rsidRDefault="00CA5C3C" w:rsidP="00F12FC2">
            <w:pPr>
              <w:jc w:val="center"/>
              <w:rPr>
                <w:rFonts w:eastAsia="Times New Roman"/>
                <w:sz w:val="18"/>
                <w:szCs w:val="18"/>
              </w:rPr>
            </w:pPr>
            <w:r w:rsidRPr="009B0571">
              <w:rPr>
                <w:rFonts w:eastAsia="Times New Roman"/>
                <w:sz w:val="18"/>
                <w:szCs w:val="18"/>
              </w:rPr>
              <w:t>3.8</w:t>
            </w:r>
          </w:p>
        </w:tc>
        <w:tc>
          <w:tcPr>
            <w:tcW w:w="922" w:type="dxa"/>
            <w:tcBorders>
              <w:left w:val="single" w:sz="2" w:space="0" w:color="000000" w:themeColor="text1"/>
              <w:right w:val="single" w:sz="2" w:space="0" w:color="000000" w:themeColor="text1"/>
            </w:tcBorders>
            <w:hideMark/>
          </w:tcPr>
          <w:p w14:paraId="3065B866" w14:textId="77777777" w:rsidR="00CA5C3C" w:rsidRPr="009B0571" w:rsidRDefault="00CA5C3C" w:rsidP="00F12FC2">
            <w:pPr>
              <w:jc w:val="center"/>
              <w:rPr>
                <w:rFonts w:eastAsia="Times New Roman"/>
                <w:sz w:val="18"/>
                <w:szCs w:val="18"/>
              </w:rPr>
            </w:pPr>
            <w:r w:rsidRPr="009B0571">
              <w:rPr>
                <w:rFonts w:eastAsia="Times New Roman"/>
                <w:sz w:val="18"/>
                <w:szCs w:val="18"/>
              </w:rPr>
              <w:t>10.0</w:t>
            </w:r>
          </w:p>
        </w:tc>
        <w:tc>
          <w:tcPr>
            <w:tcW w:w="921" w:type="dxa"/>
            <w:tcBorders>
              <w:left w:val="single" w:sz="2" w:space="0" w:color="000000" w:themeColor="text1"/>
              <w:right w:val="single" w:sz="2" w:space="0" w:color="000000" w:themeColor="text1"/>
            </w:tcBorders>
            <w:hideMark/>
          </w:tcPr>
          <w:p w14:paraId="495FEC0F" w14:textId="77777777" w:rsidR="00CA5C3C" w:rsidRPr="009B0571" w:rsidRDefault="00CA5C3C" w:rsidP="00F12FC2">
            <w:pPr>
              <w:jc w:val="center"/>
              <w:rPr>
                <w:rFonts w:eastAsia="Times New Roman"/>
                <w:sz w:val="18"/>
                <w:szCs w:val="18"/>
              </w:rPr>
            </w:pPr>
            <w:r w:rsidRPr="009B0571">
              <w:rPr>
                <w:rFonts w:eastAsia="Times New Roman"/>
                <w:sz w:val="18"/>
                <w:szCs w:val="18"/>
              </w:rPr>
              <w:t>5.5</w:t>
            </w:r>
          </w:p>
        </w:tc>
        <w:tc>
          <w:tcPr>
            <w:tcW w:w="921" w:type="dxa"/>
            <w:tcBorders>
              <w:left w:val="single" w:sz="2" w:space="0" w:color="000000" w:themeColor="text1"/>
              <w:right w:val="single" w:sz="2" w:space="0" w:color="000000" w:themeColor="text1"/>
            </w:tcBorders>
            <w:hideMark/>
          </w:tcPr>
          <w:p w14:paraId="7FEFCE77" w14:textId="77777777" w:rsidR="00CA5C3C" w:rsidRPr="009B0571" w:rsidRDefault="00CA5C3C" w:rsidP="00F12FC2">
            <w:pPr>
              <w:jc w:val="center"/>
              <w:rPr>
                <w:rFonts w:eastAsia="Times New Roman"/>
                <w:sz w:val="18"/>
                <w:szCs w:val="18"/>
              </w:rPr>
            </w:pPr>
            <w:r w:rsidRPr="009B0571">
              <w:rPr>
                <w:rFonts w:eastAsia="Times New Roman"/>
                <w:sz w:val="18"/>
                <w:szCs w:val="18"/>
              </w:rPr>
              <w:t>9.4</w:t>
            </w:r>
          </w:p>
        </w:tc>
        <w:tc>
          <w:tcPr>
            <w:tcW w:w="921" w:type="dxa"/>
            <w:tcBorders>
              <w:left w:val="single" w:sz="2" w:space="0" w:color="000000" w:themeColor="text1"/>
              <w:right w:val="single" w:sz="2" w:space="0" w:color="000000" w:themeColor="text1"/>
            </w:tcBorders>
            <w:hideMark/>
          </w:tcPr>
          <w:p w14:paraId="2DD0B553" w14:textId="77777777" w:rsidR="00CA5C3C" w:rsidRPr="009B0571" w:rsidRDefault="00CA5C3C" w:rsidP="00F12FC2">
            <w:pPr>
              <w:jc w:val="center"/>
              <w:rPr>
                <w:rFonts w:eastAsia="Times New Roman"/>
                <w:sz w:val="18"/>
                <w:szCs w:val="18"/>
              </w:rPr>
            </w:pPr>
            <w:r w:rsidRPr="009B0571">
              <w:rPr>
                <w:rFonts w:eastAsia="Times New Roman"/>
                <w:sz w:val="18"/>
                <w:szCs w:val="18"/>
              </w:rPr>
              <w:t>1.8</w:t>
            </w:r>
          </w:p>
        </w:tc>
        <w:tc>
          <w:tcPr>
            <w:tcW w:w="922" w:type="dxa"/>
            <w:tcBorders>
              <w:left w:val="single" w:sz="2" w:space="0" w:color="000000" w:themeColor="text1"/>
              <w:right w:val="single" w:sz="2" w:space="0" w:color="000000" w:themeColor="text1"/>
            </w:tcBorders>
            <w:hideMark/>
          </w:tcPr>
          <w:p w14:paraId="3AC90200" w14:textId="77777777" w:rsidR="00CA5C3C" w:rsidRPr="009B0571" w:rsidRDefault="00CA5C3C" w:rsidP="00F12FC2">
            <w:pPr>
              <w:jc w:val="center"/>
              <w:rPr>
                <w:rFonts w:eastAsia="Times New Roman"/>
                <w:sz w:val="18"/>
                <w:szCs w:val="18"/>
              </w:rPr>
            </w:pPr>
            <w:r w:rsidRPr="009B0571">
              <w:rPr>
                <w:rFonts w:eastAsia="Times New Roman"/>
                <w:sz w:val="18"/>
                <w:szCs w:val="18"/>
              </w:rPr>
              <w:t>5.6</w:t>
            </w:r>
          </w:p>
        </w:tc>
        <w:tc>
          <w:tcPr>
            <w:tcW w:w="921" w:type="dxa"/>
            <w:tcBorders>
              <w:left w:val="single" w:sz="2" w:space="0" w:color="000000" w:themeColor="text1"/>
              <w:right w:val="single" w:sz="2" w:space="0" w:color="000000" w:themeColor="text1"/>
            </w:tcBorders>
            <w:hideMark/>
          </w:tcPr>
          <w:p w14:paraId="4C5E9377" w14:textId="77777777" w:rsidR="00CA5C3C" w:rsidRPr="009B0571" w:rsidRDefault="00CA5C3C" w:rsidP="00F12FC2">
            <w:pPr>
              <w:jc w:val="center"/>
              <w:rPr>
                <w:rFonts w:eastAsia="Times New Roman"/>
                <w:sz w:val="18"/>
                <w:szCs w:val="18"/>
              </w:rPr>
            </w:pPr>
            <w:r w:rsidRPr="009B0571">
              <w:rPr>
                <w:rFonts w:eastAsia="Times New Roman"/>
                <w:sz w:val="18"/>
                <w:szCs w:val="18"/>
              </w:rPr>
              <w:t>0.8</w:t>
            </w:r>
          </w:p>
        </w:tc>
        <w:tc>
          <w:tcPr>
            <w:tcW w:w="921" w:type="dxa"/>
            <w:tcBorders>
              <w:left w:val="single" w:sz="2" w:space="0" w:color="000000" w:themeColor="text1"/>
              <w:right w:val="single" w:sz="2" w:space="0" w:color="000000" w:themeColor="text1"/>
            </w:tcBorders>
            <w:hideMark/>
          </w:tcPr>
          <w:p w14:paraId="634C116C" w14:textId="77777777" w:rsidR="00CA5C3C" w:rsidRPr="009B0571" w:rsidRDefault="00CA5C3C" w:rsidP="00F12FC2">
            <w:pPr>
              <w:jc w:val="center"/>
              <w:rPr>
                <w:rFonts w:eastAsia="Times New Roman"/>
                <w:sz w:val="18"/>
                <w:szCs w:val="18"/>
              </w:rPr>
            </w:pPr>
            <w:r w:rsidRPr="009B0571">
              <w:rPr>
                <w:rFonts w:eastAsia="Times New Roman"/>
                <w:sz w:val="18"/>
                <w:szCs w:val="18"/>
              </w:rPr>
              <w:t>2.1</w:t>
            </w:r>
          </w:p>
        </w:tc>
        <w:tc>
          <w:tcPr>
            <w:tcW w:w="921" w:type="dxa"/>
            <w:tcBorders>
              <w:left w:val="single" w:sz="2" w:space="0" w:color="000000" w:themeColor="text1"/>
              <w:right w:val="single" w:sz="2" w:space="0" w:color="000000" w:themeColor="text1"/>
            </w:tcBorders>
            <w:hideMark/>
          </w:tcPr>
          <w:p w14:paraId="78454A3A" w14:textId="77777777" w:rsidR="00CA5C3C" w:rsidRPr="009B0571" w:rsidRDefault="00CA5C3C" w:rsidP="00F12FC2">
            <w:pPr>
              <w:jc w:val="center"/>
              <w:rPr>
                <w:rFonts w:eastAsia="Times New Roman"/>
                <w:sz w:val="18"/>
                <w:szCs w:val="18"/>
              </w:rPr>
            </w:pPr>
            <w:r w:rsidRPr="009B0571">
              <w:rPr>
                <w:rFonts w:eastAsia="Times New Roman"/>
                <w:sz w:val="18"/>
                <w:szCs w:val="18"/>
              </w:rPr>
              <w:t>1.8</w:t>
            </w:r>
          </w:p>
        </w:tc>
        <w:tc>
          <w:tcPr>
            <w:tcW w:w="922" w:type="dxa"/>
            <w:tcBorders>
              <w:left w:val="single" w:sz="2" w:space="0" w:color="000000" w:themeColor="text1"/>
            </w:tcBorders>
            <w:hideMark/>
          </w:tcPr>
          <w:p w14:paraId="153D85CA" w14:textId="77777777" w:rsidR="00CA5C3C" w:rsidRPr="009B0571" w:rsidRDefault="00CA5C3C" w:rsidP="00F12FC2">
            <w:pPr>
              <w:jc w:val="center"/>
              <w:rPr>
                <w:rFonts w:eastAsia="Times New Roman"/>
                <w:sz w:val="18"/>
                <w:szCs w:val="18"/>
              </w:rPr>
            </w:pPr>
            <w:r w:rsidRPr="009B0571">
              <w:rPr>
                <w:rFonts w:eastAsia="Times New Roman"/>
                <w:sz w:val="18"/>
                <w:szCs w:val="18"/>
              </w:rPr>
              <w:t>3.6</w:t>
            </w:r>
          </w:p>
        </w:tc>
      </w:tr>
      <w:tr w:rsidR="0070707F" w:rsidRPr="009B0571" w14:paraId="1D047A57" w14:textId="77777777" w:rsidTr="00301504">
        <w:tc>
          <w:tcPr>
            <w:tcW w:w="2815" w:type="dxa"/>
            <w:tcBorders>
              <w:right w:val="single" w:sz="2" w:space="0" w:color="000000" w:themeColor="text1"/>
            </w:tcBorders>
            <w:hideMark/>
          </w:tcPr>
          <w:p w14:paraId="2EA24863" w14:textId="77777777" w:rsidR="00CA5C3C" w:rsidRPr="009B0571" w:rsidRDefault="00CA5C3C">
            <w:pPr>
              <w:rPr>
                <w:rFonts w:eastAsia="Times New Roman"/>
                <w:sz w:val="18"/>
                <w:szCs w:val="18"/>
              </w:rPr>
            </w:pPr>
            <w:r w:rsidRPr="009B0571">
              <w:rPr>
                <w:rFonts w:eastAsia="Times New Roman"/>
                <w:sz w:val="18"/>
                <w:szCs w:val="18"/>
              </w:rPr>
              <w:t xml:space="preserve">Gentamicin </w:t>
            </w:r>
          </w:p>
        </w:tc>
        <w:tc>
          <w:tcPr>
            <w:tcW w:w="1001" w:type="dxa"/>
            <w:tcBorders>
              <w:left w:val="single" w:sz="2" w:space="0" w:color="000000" w:themeColor="text1"/>
              <w:right w:val="single" w:sz="2" w:space="0" w:color="000000" w:themeColor="text1"/>
            </w:tcBorders>
            <w:hideMark/>
          </w:tcPr>
          <w:p w14:paraId="22BFD183"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33D5565F" w14:textId="77777777" w:rsidR="00CA5C3C" w:rsidRPr="009B0571" w:rsidRDefault="00CA5C3C" w:rsidP="00F12FC2">
            <w:pPr>
              <w:jc w:val="center"/>
              <w:rPr>
                <w:rFonts w:eastAsia="Times New Roman"/>
                <w:sz w:val="18"/>
                <w:szCs w:val="18"/>
              </w:rPr>
            </w:pPr>
            <w:r w:rsidRPr="009B0571">
              <w:rPr>
                <w:rFonts w:eastAsia="Times New Roman"/>
                <w:sz w:val="18"/>
                <w:szCs w:val="18"/>
              </w:rPr>
              <w:t>7.4</w:t>
            </w:r>
          </w:p>
        </w:tc>
        <w:tc>
          <w:tcPr>
            <w:tcW w:w="921" w:type="dxa"/>
            <w:tcBorders>
              <w:left w:val="single" w:sz="2" w:space="0" w:color="000000" w:themeColor="text1"/>
              <w:right w:val="single" w:sz="2" w:space="0" w:color="000000" w:themeColor="text1"/>
            </w:tcBorders>
            <w:hideMark/>
          </w:tcPr>
          <w:p w14:paraId="1A5F54CE" w14:textId="77777777" w:rsidR="00CA5C3C" w:rsidRPr="009B0571" w:rsidRDefault="00CA5C3C" w:rsidP="00F12FC2">
            <w:pPr>
              <w:jc w:val="center"/>
              <w:rPr>
                <w:rFonts w:eastAsia="Times New Roman"/>
                <w:sz w:val="18"/>
                <w:szCs w:val="18"/>
              </w:rPr>
            </w:pPr>
            <w:r w:rsidRPr="009B0571">
              <w:rPr>
                <w:rFonts w:eastAsia="Times New Roman"/>
                <w:sz w:val="18"/>
                <w:szCs w:val="18"/>
              </w:rPr>
              <w:t>7.6</w:t>
            </w:r>
          </w:p>
        </w:tc>
        <w:tc>
          <w:tcPr>
            <w:tcW w:w="921" w:type="dxa"/>
            <w:tcBorders>
              <w:left w:val="single" w:sz="2" w:space="0" w:color="000000" w:themeColor="text1"/>
              <w:right w:val="single" w:sz="2" w:space="0" w:color="000000" w:themeColor="text1"/>
            </w:tcBorders>
            <w:hideMark/>
          </w:tcPr>
          <w:p w14:paraId="56451197" w14:textId="77777777" w:rsidR="00CA5C3C" w:rsidRPr="009B0571" w:rsidRDefault="00CA5C3C" w:rsidP="00F12FC2">
            <w:pPr>
              <w:jc w:val="center"/>
              <w:rPr>
                <w:rFonts w:eastAsia="Times New Roman"/>
                <w:sz w:val="18"/>
                <w:szCs w:val="18"/>
              </w:rPr>
            </w:pPr>
            <w:r w:rsidRPr="009B0571">
              <w:rPr>
                <w:rFonts w:eastAsia="Times New Roman"/>
                <w:sz w:val="18"/>
                <w:szCs w:val="18"/>
              </w:rPr>
              <w:t>4.3</w:t>
            </w:r>
          </w:p>
        </w:tc>
        <w:tc>
          <w:tcPr>
            <w:tcW w:w="922" w:type="dxa"/>
            <w:tcBorders>
              <w:left w:val="single" w:sz="2" w:space="0" w:color="000000" w:themeColor="text1"/>
              <w:right w:val="single" w:sz="2" w:space="0" w:color="000000" w:themeColor="text1"/>
            </w:tcBorders>
            <w:hideMark/>
          </w:tcPr>
          <w:p w14:paraId="32C0B4E2" w14:textId="77777777" w:rsidR="00CA5C3C" w:rsidRPr="009B0571" w:rsidRDefault="00CA5C3C" w:rsidP="00F12FC2">
            <w:pPr>
              <w:jc w:val="center"/>
              <w:rPr>
                <w:rFonts w:eastAsia="Times New Roman"/>
                <w:sz w:val="18"/>
                <w:szCs w:val="18"/>
              </w:rPr>
            </w:pPr>
            <w:r w:rsidRPr="009B0571">
              <w:rPr>
                <w:rFonts w:eastAsia="Times New Roman"/>
                <w:sz w:val="18"/>
                <w:szCs w:val="18"/>
              </w:rPr>
              <w:t>4.3</w:t>
            </w:r>
          </w:p>
        </w:tc>
        <w:tc>
          <w:tcPr>
            <w:tcW w:w="921" w:type="dxa"/>
            <w:tcBorders>
              <w:left w:val="single" w:sz="2" w:space="0" w:color="000000" w:themeColor="text1"/>
              <w:right w:val="single" w:sz="2" w:space="0" w:color="000000" w:themeColor="text1"/>
            </w:tcBorders>
            <w:hideMark/>
          </w:tcPr>
          <w:p w14:paraId="25E81294" w14:textId="77777777" w:rsidR="00CA5C3C" w:rsidRPr="009B0571" w:rsidRDefault="00CA5C3C" w:rsidP="00F12FC2">
            <w:pPr>
              <w:jc w:val="center"/>
              <w:rPr>
                <w:rFonts w:eastAsia="Times New Roman"/>
                <w:sz w:val="18"/>
                <w:szCs w:val="18"/>
              </w:rPr>
            </w:pPr>
            <w:r w:rsidRPr="009B0571">
              <w:rPr>
                <w:rFonts w:eastAsia="Times New Roman"/>
                <w:sz w:val="18"/>
                <w:szCs w:val="18"/>
              </w:rPr>
              <w:t>1.7</w:t>
            </w:r>
          </w:p>
        </w:tc>
        <w:tc>
          <w:tcPr>
            <w:tcW w:w="921" w:type="dxa"/>
            <w:tcBorders>
              <w:left w:val="single" w:sz="2" w:space="0" w:color="000000" w:themeColor="text1"/>
              <w:right w:val="single" w:sz="2" w:space="0" w:color="000000" w:themeColor="text1"/>
            </w:tcBorders>
            <w:hideMark/>
          </w:tcPr>
          <w:p w14:paraId="531D6E63" w14:textId="77777777" w:rsidR="00CA5C3C" w:rsidRPr="009B0571" w:rsidRDefault="00CA5C3C" w:rsidP="00F12FC2">
            <w:pPr>
              <w:jc w:val="center"/>
              <w:rPr>
                <w:rFonts w:eastAsia="Times New Roman"/>
                <w:sz w:val="18"/>
                <w:szCs w:val="18"/>
              </w:rPr>
            </w:pPr>
            <w:r w:rsidRPr="009B0571">
              <w:rPr>
                <w:rFonts w:eastAsia="Times New Roman"/>
                <w:sz w:val="18"/>
                <w:szCs w:val="18"/>
              </w:rPr>
              <w:t>4.2</w:t>
            </w:r>
          </w:p>
        </w:tc>
        <w:tc>
          <w:tcPr>
            <w:tcW w:w="921" w:type="dxa"/>
            <w:tcBorders>
              <w:left w:val="single" w:sz="2" w:space="0" w:color="000000" w:themeColor="text1"/>
              <w:right w:val="single" w:sz="2" w:space="0" w:color="000000" w:themeColor="text1"/>
            </w:tcBorders>
            <w:hideMark/>
          </w:tcPr>
          <w:p w14:paraId="2B20B5C4" w14:textId="77777777" w:rsidR="00CA5C3C" w:rsidRPr="009B0571" w:rsidRDefault="00CA5C3C" w:rsidP="00F12FC2">
            <w:pPr>
              <w:jc w:val="center"/>
              <w:rPr>
                <w:rFonts w:eastAsia="Times New Roman"/>
                <w:sz w:val="18"/>
                <w:szCs w:val="18"/>
              </w:rPr>
            </w:pPr>
            <w:r w:rsidRPr="009B0571">
              <w:rPr>
                <w:rFonts w:eastAsia="Times New Roman"/>
                <w:sz w:val="18"/>
                <w:szCs w:val="18"/>
              </w:rPr>
              <w:t>5.6</w:t>
            </w:r>
          </w:p>
        </w:tc>
        <w:tc>
          <w:tcPr>
            <w:tcW w:w="922" w:type="dxa"/>
            <w:tcBorders>
              <w:left w:val="single" w:sz="2" w:space="0" w:color="000000" w:themeColor="text1"/>
              <w:right w:val="single" w:sz="2" w:space="0" w:color="000000" w:themeColor="text1"/>
            </w:tcBorders>
            <w:hideMark/>
          </w:tcPr>
          <w:p w14:paraId="20E9E5F7" w14:textId="77777777" w:rsidR="00CA5C3C" w:rsidRPr="009B0571" w:rsidRDefault="00CA5C3C" w:rsidP="00F12FC2">
            <w:pPr>
              <w:jc w:val="center"/>
              <w:rPr>
                <w:rFonts w:eastAsia="Times New Roman"/>
                <w:sz w:val="18"/>
                <w:szCs w:val="18"/>
              </w:rPr>
            </w:pPr>
            <w:r w:rsidRPr="009B0571">
              <w:rPr>
                <w:rFonts w:eastAsia="Times New Roman"/>
                <w:sz w:val="18"/>
                <w:szCs w:val="18"/>
              </w:rPr>
              <w:t>5.6</w:t>
            </w:r>
          </w:p>
        </w:tc>
        <w:tc>
          <w:tcPr>
            <w:tcW w:w="921" w:type="dxa"/>
            <w:tcBorders>
              <w:left w:val="single" w:sz="2" w:space="0" w:color="000000" w:themeColor="text1"/>
              <w:right w:val="single" w:sz="2" w:space="0" w:color="000000" w:themeColor="text1"/>
            </w:tcBorders>
            <w:hideMark/>
          </w:tcPr>
          <w:p w14:paraId="4827EC54" w14:textId="77777777" w:rsidR="00CA5C3C" w:rsidRPr="009B0571" w:rsidRDefault="00CA5C3C" w:rsidP="00F12FC2">
            <w:pPr>
              <w:jc w:val="center"/>
              <w:rPr>
                <w:rFonts w:eastAsia="Times New Roman"/>
                <w:sz w:val="18"/>
                <w:szCs w:val="18"/>
              </w:rPr>
            </w:pPr>
            <w:r w:rsidRPr="009B0571">
              <w:rPr>
                <w:rFonts w:eastAsia="Times New Roman"/>
                <w:sz w:val="18"/>
                <w:szCs w:val="18"/>
              </w:rPr>
              <w:t>1.2</w:t>
            </w:r>
          </w:p>
        </w:tc>
        <w:tc>
          <w:tcPr>
            <w:tcW w:w="921" w:type="dxa"/>
            <w:tcBorders>
              <w:left w:val="single" w:sz="2" w:space="0" w:color="000000" w:themeColor="text1"/>
              <w:right w:val="single" w:sz="2" w:space="0" w:color="000000" w:themeColor="text1"/>
            </w:tcBorders>
            <w:hideMark/>
          </w:tcPr>
          <w:p w14:paraId="3EA223D0" w14:textId="77777777" w:rsidR="00CA5C3C" w:rsidRPr="009B0571" w:rsidRDefault="00CA5C3C" w:rsidP="00F12FC2">
            <w:pPr>
              <w:jc w:val="center"/>
              <w:rPr>
                <w:rFonts w:eastAsia="Times New Roman"/>
                <w:sz w:val="18"/>
                <w:szCs w:val="18"/>
              </w:rPr>
            </w:pPr>
            <w:r w:rsidRPr="009B0571">
              <w:rPr>
                <w:rFonts w:eastAsia="Times New Roman"/>
                <w:sz w:val="18"/>
                <w:szCs w:val="18"/>
              </w:rPr>
              <w:t>1.2</w:t>
            </w:r>
          </w:p>
        </w:tc>
        <w:tc>
          <w:tcPr>
            <w:tcW w:w="921" w:type="dxa"/>
            <w:tcBorders>
              <w:left w:val="single" w:sz="2" w:space="0" w:color="000000" w:themeColor="text1"/>
              <w:right w:val="single" w:sz="2" w:space="0" w:color="000000" w:themeColor="text1"/>
            </w:tcBorders>
            <w:hideMark/>
          </w:tcPr>
          <w:p w14:paraId="6D44BF79" w14:textId="77777777" w:rsidR="00CA5C3C" w:rsidRPr="009B0571" w:rsidRDefault="00CA5C3C" w:rsidP="00F12FC2">
            <w:pPr>
              <w:jc w:val="center"/>
              <w:rPr>
                <w:rFonts w:eastAsia="Times New Roman"/>
                <w:sz w:val="18"/>
                <w:szCs w:val="18"/>
              </w:rPr>
            </w:pPr>
            <w:r w:rsidRPr="009B0571">
              <w:rPr>
                <w:rFonts w:eastAsia="Times New Roman"/>
                <w:sz w:val="18"/>
                <w:szCs w:val="18"/>
              </w:rPr>
              <w:t>0.4</w:t>
            </w:r>
          </w:p>
        </w:tc>
        <w:tc>
          <w:tcPr>
            <w:tcW w:w="922" w:type="dxa"/>
            <w:tcBorders>
              <w:left w:val="single" w:sz="2" w:space="0" w:color="000000" w:themeColor="text1"/>
            </w:tcBorders>
            <w:hideMark/>
          </w:tcPr>
          <w:p w14:paraId="017267CB" w14:textId="77777777" w:rsidR="00CA5C3C" w:rsidRPr="009B0571" w:rsidRDefault="00CA5C3C" w:rsidP="00F12FC2">
            <w:pPr>
              <w:jc w:val="center"/>
              <w:rPr>
                <w:rFonts w:eastAsia="Times New Roman"/>
                <w:sz w:val="18"/>
                <w:szCs w:val="18"/>
              </w:rPr>
            </w:pPr>
            <w:r w:rsidRPr="009B0571">
              <w:rPr>
                <w:rFonts w:eastAsia="Times New Roman"/>
                <w:sz w:val="18"/>
                <w:szCs w:val="18"/>
              </w:rPr>
              <w:t>2.2</w:t>
            </w:r>
          </w:p>
        </w:tc>
      </w:tr>
      <w:tr w:rsidR="00260928" w:rsidRPr="009B0571" w14:paraId="451F8D06" w14:textId="77777777" w:rsidTr="00301504">
        <w:trPr>
          <w:cnfStyle w:val="000000010000" w:firstRow="0" w:lastRow="0" w:firstColumn="0" w:lastColumn="0" w:oddVBand="0" w:evenVBand="0" w:oddHBand="0" w:evenHBand="1" w:firstRowFirstColumn="0" w:firstRowLastColumn="0" w:lastRowFirstColumn="0" w:lastRowLastColumn="0"/>
        </w:trPr>
        <w:tc>
          <w:tcPr>
            <w:tcW w:w="2815" w:type="dxa"/>
            <w:tcBorders>
              <w:right w:val="single" w:sz="2" w:space="0" w:color="000000" w:themeColor="text1"/>
            </w:tcBorders>
            <w:hideMark/>
          </w:tcPr>
          <w:p w14:paraId="4FD619CC" w14:textId="77777777" w:rsidR="00CA5C3C" w:rsidRPr="009B0571" w:rsidRDefault="00CA5C3C">
            <w:pPr>
              <w:rPr>
                <w:rFonts w:eastAsia="Times New Roman"/>
                <w:sz w:val="18"/>
                <w:szCs w:val="18"/>
              </w:rPr>
            </w:pPr>
            <w:r w:rsidRPr="009B0571">
              <w:rPr>
                <w:rFonts w:eastAsia="Times New Roman"/>
                <w:sz w:val="18"/>
                <w:szCs w:val="18"/>
              </w:rPr>
              <w:t xml:space="preserve">Trimethoprim </w:t>
            </w:r>
          </w:p>
        </w:tc>
        <w:tc>
          <w:tcPr>
            <w:tcW w:w="1001" w:type="dxa"/>
            <w:tcBorders>
              <w:left w:val="single" w:sz="2" w:space="0" w:color="000000" w:themeColor="text1"/>
              <w:right w:val="single" w:sz="2" w:space="0" w:color="000000" w:themeColor="text1"/>
            </w:tcBorders>
            <w:hideMark/>
          </w:tcPr>
          <w:p w14:paraId="63A8834F"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52C247E9" w14:textId="77777777" w:rsidR="00CA5C3C" w:rsidRPr="009B0571" w:rsidRDefault="00CA5C3C" w:rsidP="00F12FC2">
            <w:pPr>
              <w:jc w:val="center"/>
              <w:rPr>
                <w:rFonts w:eastAsia="Times New Roman"/>
                <w:sz w:val="18"/>
                <w:szCs w:val="18"/>
              </w:rPr>
            </w:pPr>
            <w:r w:rsidRPr="009B0571">
              <w:rPr>
                <w:rFonts w:eastAsia="Times New Roman"/>
                <w:sz w:val="18"/>
                <w:szCs w:val="18"/>
              </w:rPr>
              <w:t>32.1</w:t>
            </w:r>
          </w:p>
        </w:tc>
        <w:tc>
          <w:tcPr>
            <w:tcW w:w="921" w:type="dxa"/>
            <w:tcBorders>
              <w:left w:val="single" w:sz="2" w:space="0" w:color="000000" w:themeColor="text1"/>
              <w:right w:val="single" w:sz="2" w:space="0" w:color="000000" w:themeColor="text1"/>
            </w:tcBorders>
            <w:hideMark/>
          </w:tcPr>
          <w:p w14:paraId="024DAA2A" w14:textId="77777777" w:rsidR="00CA5C3C" w:rsidRPr="009B0571" w:rsidRDefault="00CA5C3C" w:rsidP="00F12FC2">
            <w:pPr>
              <w:jc w:val="center"/>
              <w:rPr>
                <w:rFonts w:eastAsia="Times New Roman"/>
                <w:sz w:val="18"/>
                <w:szCs w:val="18"/>
              </w:rPr>
            </w:pPr>
            <w:r w:rsidRPr="009B0571">
              <w:rPr>
                <w:rFonts w:eastAsia="Times New Roman"/>
                <w:sz w:val="18"/>
                <w:szCs w:val="18"/>
              </w:rPr>
              <w:t>32.3</w:t>
            </w:r>
          </w:p>
        </w:tc>
        <w:tc>
          <w:tcPr>
            <w:tcW w:w="921" w:type="dxa"/>
            <w:tcBorders>
              <w:left w:val="single" w:sz="2" w:space="0" w:color="000000" w:themeColor="text1"/>
              <w:right w:val="single" w:sz="2" w:space="0" w:color="000000" w:themeColor="text1"/>
            </w:tcBorders>
            <w:hideMark/>
          </w:tcPr>
          <w:p w14:paraId="7885ABAD" w14:textId="77777777" w:rsidR="00CA5C3C" w:rsidRPr="009B0571" w:rsidRDefault="00CA5C3C" w:rsidP="00F12FC2">
            <w:pPr>
              <w:jc w:val="center"/>
              <w:rPr>
                <w:rFonts w:eastAsia="Times New Roman"/>
                <w:sz w:val="18"/>
                <w:szCs w:val="18"/>
              </w:rPr>
            </w:pPr>
            <w:r w:rsidRPr="009B0571">
              <w:rPr>
                <w:rFonts w:eastAsia="Times New Roman"/>
                <w:sz w:val="18"/>
                <w:szCs w:val="18"/>
              </w:rPr>
              <w:t>15.8</w:t>
            </w:r>
          </w:p>
        </w:tc>
        <w:tc>
          <w:tcPr>
            <w:tcW w:w="922" w:type="dxa"/>
            <w:tcBorders>
              <w:left w:val="single" w:sz="2" w:space="0" w:color="000000" w:themeColor="text1"/>
              <w:right w:val="single" w:sz="2" w:space="0" w:color="000000" w:themeColor="text1"/>
            </w:tcBorders>
            <w:hideMark/>
          </w:tcPr>
          <w:p w14:paraId="3B180250" w14:textId="77777777" w:rsidR="00CA5C3C" w:rsidRPr="009B0571" w:rsidRDefault="00CA5C3C" w:rsidP="00F12FC2">
            <w:pPr>
              <w:jc w:val="center"/>
              <w:rPr>
                <w:rFonts w:eastAsia="Times New Roman"/>
                <w:sz w:val="18"/>
                <w:szCs w:val="18"/>
              </w:rPr>
            </w:pPr>
            <w:r w:rsidRPr="009B0571">
              <w:rPr>
                <w:rFonts w:eastAsia="Times New Roman"/>
                <w:sz w:val="18"/>
                <w:szCs w:val="18"/>
              </w:rPr>
              <w:t>16.6</w:t>
            </w:r>
          </w:p>
        </w:tc>
        <w:tc>
          <w:tcPr>
            <w:tcW w:w="921" w:type="dxa"/>
            <w:tcBorders>
              <w:left w:val="single" w:sz="2" w:space="0" w:color="000000" w:themeColor="text1"/>
              <w:right w:val="single" w:sz="2" w:space="0" w:color="000000" w:themeColor="text1"/>
            </w:tcBorders>
            <w:hideMark/>
          </w:tcPr>
          <w:p w14:paraId="231D8836"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3EFF4E98"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6376E1ED" w14:textId="77777777" w:rsidR="00CA5C3C" w:rsidRPr="009B0571" w:rsidRDefault="00CA5C3C" w:rsidP="00F12FC2">
            <w:pPr>
              <w:jc w:val="center"/>
              <w:rPr>
                <w:rFonts w:eastAsia="Times New Roman"/>
                <w:sz w:val="18"/>
                <w:szCs w:val="18"/>
              </w:rPr>
            </w:pPr>
            <w:r w:rsidRPr="009B0571">
              <w:rPr>
                <w:rFonts w:eastAsia="Times New Roman"/>
                <w:sz w:val="18"/>
                <w:szCs w:val="18"/>
              </w:rPr>
              <w:t>15.2</w:t>
            </w:r>
          </w:p>
        </w:tc>
        <w:tc>
          <w:tcPr>
            <w:tcW w:w="922" w:type="dxa"/>
            <w:tcBorders>
              <w:left w:val="single" w:sz="2" w:space="0" w:color="000000" w:themeColor="text1"/>
              <w:right w:val="single" w:sz="2" w:space="0" w:color="000000" w:themeColor="text1"/>
            </w:tcBorders>
            <w:hideMark/>
          </w:tcPr>
          <w:p w14:paraId="62C63097" w14:textId="77777777" w:rsidR="00CA5C3C" w:rsidRPr="009B0571" w:rsidRDefault="00CA5C3C" w:rsidP="00F12FC2">
            <w:pPr>
              <w:jc w:val="center"/>
              <w:rPr>
                <w:rFonts w:eastAsia="Times New Roman"/>
                <w:sz w:val="18"/>
                <w:szCs w:val="18"/>
              </w:rPr>
            </w:pPr>
            <w:r w:rsidRPr="009B0571">
              <w:rPr>
                <w:rFonts w:eastAsia="Times New Roman"/>
                <w:sz w:val="18"/>
                <w:szCs w:val="18"/>
              </w:rPr>
              <w:t>15.4</w:t>
            </w:r>
          </w:p>
        </w:tc>
        <w:tc>
          <w:tcPr>
            <w:tcW w:w="921" w:type="dxa"/>
            <w:tcBorders>
              <w:left w:val="single" w:sz="2" w:space="0" w:color="000000" w:themeColor="text1"/>
              <w:right w:val="single" w:sz="2" w:space="0" w:color="000000" w:themeColor="text1"/>
            </w:tcBorders>
            <w:hideMark/>
          </w:tcPr>
          <w:p w14:paraId="6842F57B" w14:textId="77777777" w:rsidR="00CA5C3C" w:rsidRPr="009B0571" w:rsidRDefault="00CA5C3C" w:rsidP="00F12FC2">
            <w:pPr>
              <w:jc w:val="center"/>
              <w:rPr>
                <w:rFonts w:eastAsia="Times New Roman"/>
                <w:sz w:val="18"/>
                <w:szCs w:val="18"/>
              </w:rPr>
            </w:pPr>
            <w:r w:rsidRPr="009B0571">
              <w:rPr>
                <w:rFonts w:eastAsia="Times New Roman"/>
                <w:sz w:val="18"/>
                <w:szCs w:val="18"/>
              </w:rPr>
              <w:t>2.9</w:t>
            </w:r>
          </w:p>
        </w:tc>
        <w:tc>
          <w:tcPr>
            <w:tcW w:w="921" w:type="dxa"/>
            <w:tcBorders>
              <w:left w:val="single" w:sz="2" w:space="0" w:color="000000" w:themeColor="text1"/>
              <w:right w:val="single" w:sz="2" w:space="0" w:color="000000" w:themeColor="text1"/>
            </w:tcBorders>
            <w:hideMark/>
          </w:tcPr>
          <w:p w14:paraId="6BD06DB6" w14:textId="77777777" w:rsidR="00CA5C3C" w:rsidRPr="009B0571" w:rsidRDefault="00CA5C3C" w:rsidP="00F12FC2">
            <w:pPr>
              <w:jc w:val="center"/>
              <w:rPr>
                <w:rFonts w:eastAsia="Times New Roman"/>
                <w:sz w:val="18"/>
                <w:szCs w:val="18"/>
              </w:rPr>
            </w:pPr>
            <w:r w:rsidRPr="009B0571">
              <w:rPr>
                <w:rFonts w:eastAsia="Times New Roman"/>
                <w:sz w:val="18"/>
                <w:szCs w:val="18"/>
              </w:rPr>
              <w:t>2.9</w:t>
            </w:r>
          </w:p>
        </w:tc>
        <w:tc>
          <w:tcPr>
            <w:tcW w:w="921" w:type="dxa"/>
            <w:tcBorders>
              <w:left w:val="single" w:sz="2" w:space="0" w:color="000000" w:themeColor="text1"/>
              <w:right w:val="single" w:sz="2" w:space="0" w:color="000000" w:themeColor="text1"/>
            </w:tcBorders>
            <w:hideMark/>
          </w:tcPr>
          <w:p w14:paraId="360DCCE3" w14:textId="77777777" w:rsidR="00CA5C3C" w:rsidRPr="009B0571" w:rsidRDefault="00CA5C3C" w:rsidP="00F12FC2">
            <w:pPr>
              <w:jc w:val="center"/>
              <w:rPr>
                <w:rFonts w:eastAsia="Times New Roman"/>
                <w:sz w:val="18"/>
                <w:szCs w:val="18"/>
              </w:rPr>
            </w:pPr>
            <w:r w:rsidRPr="009B0571">
              <w:rPr>
                <w:rFonts w:eastAsia="Times New Roman"/>
                <w:sz w:val="18"/>
                <w:szCs w:val="18"/>
              </w:rPr>
              <w:t>20.9</w:t>
            </w:r>
          </w:p>
        </w:tc>
        <w:tc>
          <w:tcPr>
            <w:tcW w:w="922" w:type="dxa"/>
            <w:tcBorders>
              <w:left w:val="single" w:sz="2" w:space="0" w:color="000000" w:themeColor="text1"/>
            </w:tcBorders>
            <w:hideMark/>
          </w:tcPr>
          <w:p w14:paraId="4A79FE5A" w14:textId="77777777" w:rsidR="00CA5C3C" w:rsidRPr="009B0571" w:rsidRDefault="00CA5C3C" w:rsidP="00F12FC2">
            <w:pPr>
              <w:jc w:val="center"/>
              <w:rPr>
                <w:rFonts w:eastAsia="Times New Roman"/>
                <w:sz w:val="18"/>
                <w:szCs w:val="18"/>
              </w:rPr>
            </w:pPr>
            <w:r w:rsidRPr="009B0571">
              <w:rPr>
                <w:rFonts w:eastAsia="Times New Roman"/>
                <w:sz w:val="18"/>
                <w:szCs w:val="18"/>
              </w:rPr>
              <w:t>20.9</w:t>
            </w:r>
          </w:p>
        </w:tc>
      </w:tr>
      <w:tr w:rsidR="0070707F" w:rsidRPr="009B0571" w14:paraId="7CC72486" w14:textId="77777777" w:rsidTr="00301504">
        <w:tc>
          <w:tcPr>
            <w:tcW w:w="2815" w:type="dxa"/>
            <w:tcBorders>
              <w:right w:val="single" w:sz="2" w:space="0" w:color="000000" w:themeColor="text1"/>
            </w:tcBorders>
            <w:hideMark/>
          </w:tcPr>
          <w:p w14:paraId="66720036" w14:textId="77777777" w:rsidR="00CA5C3C" w:rsidRPr="009B0571" w:rsidRDefault="00CA5C3C">
            <w:pPr>
              <w:rPr>
                <w:rFonts w:eastAsia="Times New Roman"/>
                <w:sz w:val="18"/>
                <w:szCs w:val="18"/>
              </w:rPr>
            </w:pPr>
            <w:r w:rsidRPr="009B0571">
              <w:rPr>
                <w:rFonts w:eastAsia="Times New Roman"/>
                <w:sz w:val="18"/>
                <w:szCs w:val="18"/>
              </w:rPr>
              <w:t xml:space="preserve">Nitrofurantoin </w:t>
            </w:r>
          </w:p>
        </w:tc>
        <w:tc>
          <w:tcPr>
            <w:tcW w:w="1001" w:type="dxa"/>
            <w:tcBorders>
              <w:left w:val="single" w:sz="2" w:space="0" w:color="000000" w:themeColor="text1"/>
              <w:right w:val="single" w:sz="2" w:space="0" w:color="000000" w:themeColor="text1"/>
            </w:tcBorders>
            <w:hideMark/>
          </w:tcPr>
          <w:p w14:paraId="3E7EFA13" w14:textId="77777777" w:rsidR="00CA5C3C" w:rsidRPr="009B0571" w:rsidRDefault="00CA5C3C" w:rsidP="00F12FC2">
            <w:pPr>
              <w:jc w:val="center"/>
              <w:rPr>
                <w:rFonts w:eastAsia="Times New Roman"/>
                <w:sz w:val="18"/>
                <w:szCs w:val="18"/>
              </w:rPr>
            </w:pPr>
            <w:r w:rsidRPr="009B0571">
              <w:rPr>
                <w:rFonts w:eastAsia="Times New Roman"/>
                <w:sz w:val="18"/>
                <w:szCs w:val="18"/>
              </w:rPr>
              <w:t>R</w:t>
            </w:r>
          </w:p>
        </w:tc>
        <w:tc>
          <w:tcPr>
            <w:tcW w:w="921" w:type="dxa"/>
            <w:tcBorders>
              <w:left w:val="single" w:sz="2" w:space="0" w:color="000000" w:themeColor="text1"/>
              <w:right w:val="single" w:sz="2" w:space="0" w:color="000000" w:themeColor="text1"/>
            </w:tcBorders>
            <w:hideMark/>
          </w:tcPr>
          <w:p w14:paraId="284C784E" w14:textId="77777777" w:rsidR="00CA5C3C" w:rsidRPr="009B0571" w:rsidRDefault="00CA5C3C" w:rsidP="00F12FC2">
            <w:pPr>
              <w:jc w:val="center"/>
              <w:rPr>
                <w:rFonts w:eastAsia="Times New Roman"/>
                <w:sz w:val="18"/>
                <w:szCs w:val="18"/>
              </w:rPr>
            </w:pPr>
            <w:r w:rsidRPr="009B0571">
              <w:rPr>
                <w:rFonts w:eastAsia="Times New Roman"/>
                <w:sz w:val="18"/>
                <w:szCs w:val="18"/>
              </w:rPr>
              <w:t>0.8</w:t>
            </w:r>
          </w:p>
        </w:tc>
        <w:tc>
          <w:tcPr>
            <w:tcW w:w="921" w:type="dxa"/>
            <w:tcBorders>
              <w:left w:val="single" w:sz="2" w:space="0" w:color="000000" w:themeColor="text1"/>
              <w:right w:val="single" w:sz="2" w:space="0" w:color="000000" w:themeColor="text1"/>
            </w:tcBorders>
            <w:hideMark/>
          </w:tcPr>
          <w:p w14:paraId="18B0142B" w14:textId="77777777" w:rsidR="00CA5C3C" w:rsidRPr="009B0571" w:rsidRDefault="00CA5C3C" w:rsidP="00F12FC2">
            <w:pPr>
              <w:jc w:val="center"/>
              <w:rPr>
                <w:rFonts w:eastAsia="Times New Roman"/>
                <w:sz w:val="18"/>
                <w:szCs w:val="18"/>
              </w:rPr>
            </w:pPr>
            <w:r w:rsidRPr="009B0571">
              <w:rPr>
                <w:rFonts w:eastAsia="Times New Roman"/>
                <w:sz w:val="18"/>
                <w:szCs w:val="18"/>
              </w:rPr>
              <w:t>0.8</w:t>
            </w:r>
          </w:p>
        </w:tc>
        <w:tc>
          <w:tcPr>
            <w:tcW w:w="921" w:type="dxa"/>
            <w:tcBorders>
              <w:left w:val="single" w:sz="2" w:space="0" w:color="000000" w:themeColor="text1"/>
              <w:right w:val="single" w:sz="2" w:space="0" w:color="000000" w:themeColor="text1"/>
            </w:tcBorders>
            <w:hideMark/>
          </w:tcPr>
          <w:p w14:paraId="36026234" w14:textId="77777777" w:rsidR="00CA5C3C" w:rsidRPr="009B0571" w:rsidRDefault="00CA5C3C" w:rsidP="00F12FC2">
            <w:pPr>
              <w:jc w:val="center"/>
              <w:rPr>
                <w:rFonts w:eastAsia="Times New Roman"/>
                <w:sz w:val="18"/>
                <w:szCs w:val="18"/>
              </w:rPr>
            </w:pPr>
            <w:r w:rsidRPr="009B0571">
              <w:rPr>
                <w:rFonts w:eastAsia="Times New Roman"/>
                <w:sz w:val="18"/>
                <w:szCs w:val="18"/>
              </w:rPr>
              <w:t>23.2</w:t>
            </w:r>
          </w:p>
        </w:tc>
        <w:tc>
          <w:tcPr>
            <w:tcW w:w="922" w:type="dxa"/>
            <w:tcBorders>
              <w:left w:val="single" w:sz="2" w:space="0" w:color="000000" w:themeColor="text1"/>
              <w:right w:val="single" w:sz="2" w:space="0" w:color="000000" w:themeColor="text1"/>
            </w:tcBorders>
            <w:hideMark/>
          </w:tcPr>
          <w:p w14:paraId="147E41A8"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4AA97890"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6282FE6F" w14:textId="77777777" w:rsidR="00CA5C3C" w:rsidRPr="009B0571" w:rsidRDefault="00CA5C3C" w:rsidP="00F12FC2">
            <w:pPr>
              <w:jc w:val="center"/>
              <w:rPr>
                <w:rFonts w:eastAsia="Times New Roman"/>
                <w:sz w:val="18"/>
                <w:szCs w:val="18"/>
              </w:rPr>
            </w:pPr>
            <w:proofErr w:type="spellStart"/>
            <w:r w:rsidRPr="009B0571">
              <w:rPr>
                <w:rFonts w:eastAsia="Times New Roman"/>
                <w:sz w:val="18"/>
                <w:szCs w:val="18"/>
              </w:rPr>
              <w:t>na</w:t>
            </w:r>
            <w:proofErr w:type="spellEnd"/>
          </w:p>
        </w:tc>
        <w:tc>
          <w:tcPr>
            <w:tcW w:w="921" w:type="dxa"/>
            <w:tcBorders>
              <w:left w:val="single" w:sz="2" w:space="0" w:color="000000" w:themeColor="text1"/>
              <w:right w:val="single" w:sz="2" w:space="0" w:color="000000" w:themeColor="text1"/>
            </w:tcBorders>
            <w:hideMark/>
          </w:tcPr>
          <w:p w14:paraId="5667C529" w14:textId="77777777" w:rsidR="00CA5C3C" w:rsidRPr="009B0571" w:rsidRDefault="00CA5C3C" w:rsidP="00F12FC2">
            <w:pPr>
              <w:jc w:val="center"/>
              <w:rPr>
                <w:rFonts w:eastAsia="Times New Roman"/>
                <w:sz w:val="18"/>
                <w:szCs w:val="18"/>
              </w:rPr>
            </w:pPr>
            <w:r w:rsidRPr="009B0571">
              <w:rPr>
                <w:rFonts w:eastAsia="Times New Roman"/>
                <w:sz w:val="18"/>
                <w:szCs w:val="18"/>
              </w:rPr>
              <w:t>13.5</w:t>
            </w:r>
          </w:p>
        </w:tc>
        <w:tc>
          <w:tcPr>
            <w:tcW w:w="922" w:type="dxa"/>
            <w:tcBorders>
              <w:left w:val="single" w:sz="2" w:space="0" w:color="000000" w:themeColor="text1"/>
              <w:right w:val="single" w:sz="2" w:space="0" w:color="000000" w:themeColor="text1"/>
            </w:tcBorders>
            <w:hideMark/>
          </w:tcPr>
          <w:p w14:paraId="660391C1"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31FB8D7A" w14:textId="77777777" w:rsidR="00CA5C3C" w:rsidRPr="009B0571" w:rsidRDefault="00CA5C3C" w:rsidP="00F12FC2">
            <w:pPr>
              <w:jc w:val="center"/>
              <w:rPr>
                <w:rFonts w:eastAsia="Times New Roman"/>
                <w:sz w:val="18"/>
                <w:szCs w:val="18"/>
              </w:rPr>
            </w:pPr>
            <w:r w:rsidRPr="009B0571">
              <w:rPr>
                <w:rFonts w:eastAsia="Times New Roman"/>
                <w:sz w:val="18"/>
                <w:szCs w:val="18"/>
              </w:rPr>
              <w:t>2.9</w:t>
            </w:r>
          </w:p>
        </w:tc>
        <w:tc>
          <w:tcPr>
            <w:tcW w:w="921" w:type="dxa"/>
            <w:tcBorders>
              <w:left w:val="single" w:sz="2" w:space="0" w:color="000000" w:themeColor="text1"/>
              <w:right w:val="single" w:sz="2" w:space="0" w:color="000000" w:themeColor="text1"/>
            </w:tcBorders>
            <w:hideMark/>
          </w:tcPr>
          <w:p w14:paraId="1A6F5E89" w14:textId="77777777" w:rsidR="00CA5C3C" w:rsidRPr="009B0571" w:rsidRDefault="00CA5C3C" w:rsidP="00F12FC2">
            <w:pPr>
              <w:jc w:val="center"/>
              <w:rPr>
                <w:rFonts w:eastAsia="Times New Roman"/>
                <w:sz w:val="18"/>
                <w:szCs w:val="18"/>
              </w:rPr>
            </w:pPr>
            <w:r w:rsidRPr="009B0571">
              <w:rPr>
                <w:rFonts w:eastAsia="Times New Roman"/>
                <w:sz w:val="18"/>
                <w:szCs w:val="18"/>
              </w:rPr>
              <w:t>/</w:t>
            </w:r>
          </w:p>
        </w:tc>
        <w:tc>
          <w:tcPr>
            <w:tcW w:w="921" w:type="dxa"/>
            <w:tcBorders>
              <w:left w:val="single" w:sz="2" w:space="0" w:color="000000" w:themeColor="text1"/>
              <w:right w:val="single" w:sz="2" w:space="0" w:color="000000" w:themeColor="text1"/>
            </w:tcBorders>
            <w:hideMark/>
          </w:tcPr>
          <w:p w14:paraId="3D8A5FBF"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c>
          <w:tcPr>
            <w:tcW w:w="922" w:type="dxa"/>
            <w:tcBorders>
              <w:left w:val="single" w:sz="2" w:space="0" w:color="000000" w:themeColor="text1"/>
            </w:tcBorders>
            <w:hideMark/>
          </w:tcPr>
          <w:p w14:paraId="00880226" w14:textId="77777777" w:rsidR="00CA5C3C" w:rsidRPr="009B0571" w:rsidRDefault="00CA5C3C" w:rsidP="00F12FC2">
            <w:pPr>
              <w:jc w:val="center"/>
              <w:rPr>
                <w:rFonts w:eastAsia="Times New Roman"/>
                <w:sz w:val="18"/>
                <w:szCs w:val="18"/>
              </w:rPr>
            </w:pPr>
            <w:r w:rsidRPr="009B0571">
              <w:rPr>
                <w:rFonts w:eastAsia="Times New Roman"/>
                <w:sz w:val="18"/>
                <w:szCs w:val="18"/>
                <w:vertAlign w:val="superscript"/>
              </w:rPr>
              <w:t>†</w:t>
            </w:r>
          </w:p>
        </w:tc>
      </w:tr>
    </w:tbl>
    <w:p w14:paraId="7ED115C6" w14:textId="77777777" w:rsidR="00CA5C3C" w:rsidRDefault="00CA5C3C" w:rsidP="00F12FC2">
      <w:pPr>
        <w:pStyle w:val="CDIfootnotes"/>
        <w:rPr>
          <w:rFonts w:eastAsia="Times New Roman"/>
        </w:rPr>
      </w:pPr>
      <w:r>
        <w:rPr>
          <w:rFonts w:eastAsia="Times New Roman"/>
          <w:vertAlign w:val="superscript"/>
        </w:rPr>
        <w:t>*</w:t>
      </w:r>
      <w:r>
        <w:rPr>
          <w:rFonts w:eastAsia="Times New Roman"/>
        </w:rPr>
        <w:t xml:space="preserve"> R = resistant, I = intermediate, NS = non-susceptible (intermediate + resistant), using criteria as published by the CLSI [2017] and EUCAST [2017].</w:t>
      </w:r>
      <w:r>
        <w:rPr>
          <w:rFonts w:eastAsia="Times New Roman"/>
        </w:rPr>
        <w:br/>
      </w:r>
      <w:r>
        <w:rPr>
          <w:rFonts w:eastAsia="Times New Roman"/>
          <w:vertAlign w:val="superscript"/>
        </w:rPr>
        <w:t>†</w:t>
      </w:r>
      <w:r>
        <w:rPr>
          <w:rFonts w:eastAsia="Times New Roman"/>
        </w:rPr>
        <w:t xml:space="preserve"> Considered largely intrinsically resistant due to natural β-lactamases; – no intermediate category; / no breakpoints defined; </w:t>
      </w:r>
      <w:proofErr w:type="spellStart"/>
      <w:r>
        <w:rPr>
          <w:rFonts w:eastAsia="Times New Roman"/>
        </w:rPr>
        <w:t>na</w:t>
      </w:r>
      <w:proofErr w:type="spellEnd"/>
      <w:r>
        <w:rPr>
          <w:rFonts w:eastAsia="Times New Roman"/>
        </w:rPr>
        <w:t xml:space="preserve"> = not applicable (testing not recommended)</w:t>
      </w:r>
      <w:r>
        <w:rPr>
          <w:rFonts w:eastAsia="Times New Roman"/>
        </w:rPr>
        <w:br/>
      </w:r>
      <w:r>
        <w:rPr>
          <w:rFonts w:eastAsia="Times New Roman"/>
          <w:vertAlign w:val="superscript"/>
        </w:rPr>
        <w:t>‡</w:t>
      </w:r>
      <w:r>
        <w:rPr>
          <w:rFonts w:eastAsia="Times New Roman"/>
        </w:rPr>
        <w:t xml:space="preserve"> For EUCAST interpretation, the clavulanate is fixed at 2 mg/L, rather than a 2:1 ratio used in CLSI guidelines. As all susceptibility test cards used have a 2:1 ratio of clavulanate no EUCAST category has been applied. </w:t>
      </w:r>
    </w:p>
    <w:p w14:paraId="363D444B" w14:textId="77777777" w:rsidR="00C13B86" w:rsidRDefault="00CA5C3C" w:rsidP="00C13B86">
      <w:pPr>
        <w:pStyle w:val="NormalWeb"/>
        <w:sectPr w:rsidR="00C13B86" w:rsidSect="00C13B86">
          <w:pgSz w:w="16838" w:h="11906" w:orient="landscape"/>
          <w:pgMar w:top="720" w:right="720" w:bottom="720" w:left="1134" w:header="709" w:footer="284" w:gutter="0"/>
          <w:cols w:space="708"/>
          <w:titlePg/>
          <w:docGrid w:linePitch="360"/>
        </w:sectPr>
      </w:pPr>
      <w:r>
        <w:t> </w:t>
      </w:r>
    </w:p>
    <w:p w14:paraId="6771B25B" w14:textId="77777777" w:rsidR="00CA5C3C" w:rsidRDefault="00CA5C3C" w:rsidP="00C13B86">
      <w:pPr>
        <w:pStyle w:val="NormalWeb"/>
      </w:pPr>
    </w:p>
    <w:p w14:paraId="0FD44758" w14:textId="77777777" w:rsidR="00CA5C3C" w:rsidRDefault="00CA5C3C">
      <w:pPr>
        <w:pStyle w:val="NormalWeb"/>
      </w:pPr>
      <w:r>
        <w:t> </w:t>
      </w:r>
    </w:p>
    <w:p w14:paraId="5DC1BF3A" w14:textId="77777777" w:rsidR="00CA5C3C" w:rsidRDefault="00CA5C3C" w:rsidP="00694ECF">
      <w:pPr>
        <w:pStyle w:val="CDIFigures"/>
        <w:rPr>
          <w:rFonts w:eastAsia="Times New Roman"/>
        </w:rPr>
      </w:pPr>
      <w:r>
        <w:rPr>
          <w:rFonts w:eastAsia="Times New Roman"/>
        </w:rPr>
        <w:t xml:space="preserve">Table 3. Multiple acquired resistances by species, 2016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3. Multiple acquired resistances by species, 2016 "/>
        <w:tblDescription w:val="Number and proportion of acquired resistances in of Escherichia coli, Klebsiella pneumoniae, Enterobacter cloacae complex, Proteus mirabilis, Serratia marcescens, Klebsiella oxytoca, Enterobacter aerogenes and Salmonella spp (non typhoidal) using EUCAST breakpoints&#10;"/>
      </w:tblPr>
      <w:tblGrid>
        <w:gridCol w:w="2648"/>
        <w:gridCol w:w="524"/>
        <w:gridCol w:w="709"/>
        <w:gridCol w:w="710"/>
        <w:gridCol w:w="710"/>
        <w:gridCol w:w="710"/>
        <w:gridCol w:w="1134"/>
        <w:gridCol w:w="666"/>
        <w:gridCol w:w="666"/>
        <w:gridCol w:w="666"/>
        <w:gridCol w:w="666"/>
        <w:gridCol w:w="667"/>
        <w:gridCol w:w="666"/>
        <w:gridCol w:w="666"/>
        <w:gridCol w:w="666"/>
        <w:gridCol w:w="666"/>
        <w:gridCol w:w="667"/>
        <w:gridCol w:w="1190"/>
      </w:tblGrid>
      <w:tr w:rsidR="00CE0E97" w:rsidRPr="00075737" w14:paraId="1CA2EA4C" w14:textId="77777777" w:rsidTr="001B1128">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6CD2001D" w14:textId="77777777" w:rsidR="00CA5C3C" w:rsidRPr="00075737" w:rsidRDefault="00CA5C3C">
            <w:pPr>
              <w:rPr>
                <w:rFonts w:eastAsia="Times New Roman"/>
                <w:color w:val="FFFFFF" w:themeColor="background1"/>
                <w:sz w:val="18"/>
                <w:szCs w:val="18"/>
              </w:rPr>
            </w:pPr>
          </w:p>
        </w:tc>
        <w:tc>
          <w:tcPr>
            <w:tcW w:w="0" w:type="auto"/>
            <w:hideMark/>
          </w:tcPr>
          <w:p w14:paraId="4F5B55E4" w14:textId="77777777" w:rsidR="00CA5C3C" w:rsidRPr="00075737" w:rsidRDefault="00CA5C3C" w:rsidP="005F132A">
            <w:pPr>
              <w:jc w:val="center"/>
              <w:rPr>
                <w:rFonts w:eastAsia="Times New Roman"/>
                <w:color w:val="FFFFFF" w:themeColor="background1"/>
                <w:sz w:val="18"/>
                <w:szCs w:val="18"/>
              </w:rPr>
            </w:pPr>
          </w:p>
        </w:tc>
        <w:tc>
          <w:tcPr>
            <w:tcW w:w="11825" w:type="dxa"/>
            <w:gridSpan w:val="16"/>
            <w:tcBorders>
              <w:left w:val="nil"/>
              <w:bottom w:val="single" w:sz="2" w:space="0" w:color="FFFFFF" w:themeColor="background1"/>
            </w:tcBorders>
            <w:hideMark/>
          </w:tcPr>
          <w:p w14:paraId="7DFAE151"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Number of acquired resistances (EUCAST breakpoints)</w:t>
            </w:r>
          </w:p>
        </w:tc>
      </w:tr>
      <w:tr w:rsidR="005F132A" w:rsidRPr="00075737" w14:paraId="63046CB1" w14:textId="77777777" w:rsidTr="0009103D">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tcBorders>
            <w:hideMark/>
          </w:tcPr>
          <w:p w14:paraId="3103217A" w14:textId="77777777" w:rsidR="00CA5C3C" w:rsidRPr="00075737" w:rsidRDefault="00CA5C3C">
            <w:pPr>
              <w:rPr>
                <w:rFonts w:eastAsia="Times New Roman"/>
                <w:color w:val="FFFFFF" w:themeColor="background1"/>
                <w:sz w:val="18"/>
                <w:szCs w:val="18"/>
              </w:rPr>
            </w:pPr>
          </w:p>
        </w:tc>
        <w:tc>
          <w:tcPr>
            <w:tcW w:w="0" w:type="auto"/>
            <w:tcBorders>
              <w:bottom w:val="single" w:sz="2" w:space="0" w:color="FFFFFF" w:themeColor="background1"/>
              <w:right w:val="single" w:sz="2" w:space="0" w:color="FFFFFF" w:themeColor="background1"/>
            </w:tcBorders>
            <w:hideMark/>
          </w:tcPr>
          <w:p w14:paraId="6028242E" w14:textId="77777777" w:rsidR="00CA5C3C" w:rsidRPr="00075737" w:rsidRDefault="00CA5C3C" w:rsidP="005F132A">
            <w:pPr>
              <w:jc w:val="center"/>
              <w:rPr>
                <w:rFonts w:eastAsia="Times New Roman"/>
                <w:color w:val="FFFFFF" w:themeColor="background1"/>
                <w:sz w:val="18"/>
                <w:szCs w:val="18"/>
              </w:rPr>
            </w:pPr>
          </w:p>
        </w:tc>
        <w:tc>
          <w:tcPr>
            <w:tcW w:w="283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F00D0E6"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Non-multi-resistant</w:t>
            </w:r>
          </w:p>
        </w:tc>
        <w:tc>
          <w:tcPr>
            <w:tcW w:w="113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D5AFFBD"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Cumulative%</w:t>
            </w:r>
          </w:p>
        </w:tc>
        <w:tc>
          <w:tcPr>
            <w:tcW w:w="6662"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711DCFD"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Multi-resistant</w:t>
            </w:r>
          </w:p>
        </w:tc>
        <w:tc>
          <w:tcPr>
            <w:tcW w:w="1190" w:type="dxa"/>
            <w:vMerge w:val="restart"/>
            <w:tcBorders>
              <w:top w:val="single" w:sz="2" w:space="0" w:color="FFFFFF" w:themeColor="background1"/>
              <w:left w:val="single" w:sz="2" w:space="0" w:color="FFFFFF" w:themeColor="background1"/>
              <w:bottom w:val="single" w:sz="2" w:space="0" w:color="FFFFFF" w:themeColor="background1"/>
            </w:tcBorders>
            <w:hideMark/>
          </w:tcPr>
          <w:p w14:paraId="53579BE4"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Cumulative%</w:t>
            </w:r>
          </w:p>
        </w:tc>
      </w:tr>
      <w:tr w:rsidR="005F132A" w:rsidRPr="00075737" w14:paraId="518B754B" w14:textId="77777777" w:rsidTr="005C6499">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14:paraId="3BCAAD99" w14:textId="77777777" w:rsidR="00CA5C3C" w:rsidRPr="00075737" w:rsidRDefault="00CA5C3C">
            <w:pPr>
              <w:rPr>
                <w:rFonts w:eastAsia="Times New Roman"/>
                <w:color w:val="FFFFFF" w:themeColor="background1"/>
                <w:sz w:val="18"/>
                <w:szCs w:val="18"/>
              </w:rPr>
            </w:pPr>
            <w:r w:rsidRPr="00075737">
              <w:rPr>
                <w:rFonts w:eastAsia="Times New Roman"/>
                <w:color w:val="FFFFFF" w:themeColor="background1"/>
                <w:sz w:val="18"/>
                <w:szCs w:val="18"/>
              </w:rPr>
              <w:t xml:space="preserve">Species </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6972A49D"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Total</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6E2219A9"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0</w:t>
            </w:r>
          </w:p>
        </w:tc>
        <w:tc>
          <w:tcPr>
            <w:tcW w:w="710" w:type="dxa"/>
            <w:tcBorders>
              <w:top w:val="single" w:sz="2" w:space="0" w:color="FFFFFF" w:themeColor="background1"/>
              <w:left w:val="single" w:sz="2" w:space="0" w:color="FFFFFF" w:themeColor="background1"/>
              <w:right w:val="single" w:sz="2" w:space="0" w:color="FFFFFF" w:themeColor="background1"/>
            </w:tcBorders>
            <w:hideMark/>
          </w:tcPr>
          <w:p w14:paraId="2D3F678D"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1</w:t>
            </w:r>
          </w:p>
        </w:tc>
        <w:tc>
          <w:tcPr>
            <w:tcW w:w="710" w:type="dxa"/>
            <w:tcBorders>
              <w:top w:val="single" w:sz="2" w:space="0" w:color="FFFFFF" w:themeColor="background1"/>
              <w:left w:val="single" w:sz="2" w:space="0" w:color="FFFFFF" w:themeColor="background1"/>
              <w:right w:val="single" w:sz="2" w:space="0" w:color="FFFFFF" w:themeColor="background1"/>
            </w:tcBorders>
            <w:hideMark/>
          </w:tcPr>
          <w:p w14:paraId="74744923"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2</w:t>
            </w:r>
          </w:p>
        </w:tc>
        <w:tc>
          <w:tcPr>
            <w:tcW w:w="710" w:type="dxa"/>
            <w:tcBorders>
              <w:top w:val="single" w:sz="2" w:space="0" w:color="FFFFFF" w:themeColor="background1"/>
              <w:left w:val="single" w:sz="2" w:space="0" w:color="FFFFFF" w:themeColor="background1"/>
              <w:right w:val="single" w:sz="2" w:space="0" w:color="FFFFFF" w:themeColor="background1"/>
            </w:tcBorders>
            <w:hideMark/>
          </w:tcPr>
          <w:p w14:paraId="2C26B768"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3</w:t>
            </w:r>
          </w:p>
        </w:tc>
        <w:tc>
          <w:tcPr>
            <w:tcW w:w="1134" w:type="dxa"/>
            <w:vMerge/>
            <w:tcBorders>
              <w:top w:val="single" w:sz="2" w:space="0" w:color="FFFFFF" w:themeColor="background1"/>
              <w:left w:val="single" w:sz="2" w:space="0" w:color="FFFFFF" w:themeColor="background1"/>
              <w:right w:val="single" w:sz="2" w:space="0" w:color="FFFFFF" w:themeColor="background1"/>
            </w:tcBorders>
            <w:hideMark/>
          </w:tcPr>
          <w:p w14:paraId="6456D5A3" w14:textId="77777777" w:rsidR="00CA5C3C" w:rsidRPr="00075737" w:rsidRDefault="00CA5C3C" w:rsidP="005F132A">
            <w:pPr>
              <w:jc w:val="center"/>
              <w:rPr>
                <w:rFonts w:eastAsia="Times New Roman"/>
                <w:color w:val="FFFFFF" w:themeColor="background1"/>
                <w:sz w:val="18"/>
                <w:szCs w:val="18"/>
              </w:rPr>
            </w:pP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724ECBA4"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4</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53E75554"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5</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6CC15001"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6</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4F27240F"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7</w:t>
            </w:r>
          </w:p>
        </w:tc>
        <w:tc>
          <w:tcPr>
            <w:tcW w:w="667" w:type="dxa"/>
            <w:tcBorders>
              <w:top w:val="single" w:sz="2" w:space="0" w:color="FFFFFF" w:themeColor="background1"/>
              <w:left w:val="single" w:sz="2" w:space="0" w:color="FFFFFF" w:themeColor="background1"/>
              <w:right w:val="single" w:sz="2" w:space="0" w:color="FFFFFF" w:themeColor="background1"/>
            </w:tcBorders>
            <w:hideMark/>
          </w:tcPr>
          <w:p w14:paraId="2B9F2A4B"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8</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142646BB"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9</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1B74325A"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10</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53BC65EF"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11</w:t>
            </w:r>
          </w:p>
        </w:tc>
        <w:tc>
          <w:tcPr>
            <w:tcW w:w="666" w:type="dxa"/>
            <w:tcBorders>
              <w:top w:val="single" w:sz="2" w:space="0" w:color="FFFFFF" w:themeColor="background1"/>
              <w:left w:val="single" w:sz="2" w:space="0" w:color="FFFFFF" w:themeColor="background1"/>
              <w:right w:val="single" w:sz="2" w:space="0" w:color="FFFFFF" w:themeColor="background1"/>
            </w:tcBorders>
            <w:hideMark/>
          </w:tcPr>
          <w:p w14:paraId="7D9F6759"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12</w:t>
            </w:r>
          </w:p>
        </w:tc>
        <w:tc>
          <w:tcPr>
            <w:tcW w:w="667" w:type="dxa"/>
            <w:tcBorders>
              <w:top w:val="single" w:sz="2" w:space="0" w:color="FFFFFF" w:themeColor="background1"/>
              <w:left w:val="single" w:sz="2" w:space="0" w:color="FFFFFF" w:themeColor="background1"/>
              <w:right w:val="single" w:sz="2" w:space="0" w:color="FFFFFF" w:themeColor="background1"/>
            </w:tcBorders>
            <w:hideMark/>
          </w:tcPr>
          <w:p w14:paraId="674CC641" w14:textId="77777777" w:rsidR="00CA5C3C" w:rsidRPr="00075737" w:rsidRDefault="00CA5C3C" w:rsidP="005F132A">
            <w:pPr>
              <w:jc w:val="center"/>
              <w:rPr>
                <w:rFonts w:eastAsia="Times New Roman"/>
                <w:color w:val="FFFFFF" w:themeColor="background1"/>
                <w:sz w:val="18"/>
                <w:szCs w:val="18"/>
              </w:rPr>
            </w:pPr>
            <w:r w:rsidRPr="00075737">
              <w:rPr>
                <w:rFonts w:eastAsia="Times New Roman"/>
                <w:color w:val="FFFFFF" w:themeColor="background1"/>
                <w:sz w:val="18"/>
                <w:szCs w:val="18"/>
              </w:rPr>
              <w:t>13</w:t>
            </w:r>
          </w:p>
        </w:tc>
        <w:tc>
          <w:tcPr>
            <w:tcW w:w="1190" w:type="dxa"/>
            <w:vMerge/>
            <w:tcBorders>
              <w:top w:val="single" w:sz="2" w:space="0" w:color="FFFFFF" w:themeColor="background1"/>
              <w:left w:val="single" w:sz="2" w:space="0" w:color="FFFFFF" w:themeColor="background1"/>
            </w:tcBorders>
            <w:hideMark/>
          </w:tcPr>
          <w:p w14:paraId="075E8E73" w14:textId="77777777" w:rsidR="00CA5C3C" w:rsidRPr="00075737" w:rsidRDefault="00CA5C3C">
            <w:pPr>
              <w:rPr>
                <w:rFonts w:eastAsia="Times New Roman"/>
                <w:color w:val="FFFFFF" w:themeColor="background1"/>
                <w:sz w:val="18"/>
                <w:szCs w:val="18"/>
              </w:rPr>
            </w:pPr>
          </w:p>
        </w:tc>
      </w:tr>
      <w:tr w:rsidR="005F132A" w:rsidRPr="00075737" w14:paraId="0C6F3F60" w14:textId="77777777" w:rsidTr="005C6499">
        <w:tc>
          <w:tcPr>
            <w:tcW w:w="0" w:type="auto"/>
            <w:tcBorders>
              <w:right w:val="single" w:sz="2" w:space="0" w:color="000000" w:themeColor="text1"/>
            </w:tcBorders>
            <w:hideMark/>
          </w:tcPr>
          <w:p w14:paraId="6E1F9BD4" w14:textId="77777777" w:rsidR="00CA5C3C" w:rsidRPr="00075737" w:rsidRDefault="005009FB" w:rsidP="00075737">
            <w:pPr>
              <w:rPr>
                <w:rFonts w:eastAsia="Times New Roman"/>
                <w:sz w:val="18"/>
                <w:szCs w:val="18"/>
              </w:rPr>
            </w:pPr>
            <w:r w:rsidRPr="005009FB">
              <w:rPr>
                <w:rFonts w:eastAsia="Times New Roman"/>
                <w:sz w:val="18"/>
                <w:szCs w:val="18"/>
              </w:rPr>
              <w:t xml:space="preserve">Escherichia </w:t>
            </w:r>
            <w:r w:rsidR="00FB3A23">
              <w:rPr>
                <w:rFonts w:eastAsia="Times New Roman"/>
                <w:sz w:val="18"/>
                <w:szCs w:val="18"/>
              </w:rPr>
              <w:t>coli</w:t>
            </w:r>
            <w:r w:rsidR="00CA5C3C" w:rsidRPr="00075737">
              <w:rPr>
                <w:rFonts w:eastAsia="Times New Roman"/>
                <w:sz w:val="18"/>
                <w:szCs w:val="18"/>
              </w:rPr>
              <w:t xml:space="preserve"> </w:t>
            </w:r>
          </w:p>
        </w:tc>
        <w:tc>
          <w:tcPr>
            <w:tcW w:w="0" w:type="auto"/>
            <w:tcBorders>
              <w:left w:val="single" w:sz="2" w:space="0" w:color="000000" w:themeColor="text1"/>
              <w:right w:val="single" w:sz="2" w:space="0" w:color="000000" w:themeColor="text1"/>
            </w:tcBorders>
            <w:hideMark/>
          </w:tcPr>
          <w:p w14:paraId="4DAA0F32" w14:textId="77777777" w:rsidR="00CA5C3C" w:rsidRPr="00075737" w:rsidRDefault="00CA5C3C" w:rsidP="005F132A">
            <w:pPr>
              <w:jc w:val="center"/>
              <w:rPr>
                <w:rFonts w:eastAsia="Times New Roman"/>
                <w:sz w:val="18"/>
                <w:szCs w:val="18"/>
              </w:rPr>
            </w:pPr>
            <w:r w:rsidRPr="00075737">
              <w:rPr>
                <w:rFonts w:eastAsia="Times New Roman"/>
                <w:sz w:val="18"/>
                <w:szCs w:val="18"/>
              </w:rPr>
              <w:t>3,944</w:t>
            </w:r>
          </w:p>
        </w:tc>
        <w:tc>
          <w:tcPr>
            <w:tcW w:w="709" w:type="dxa"/>
            <w:tcBorders>
              <w:left w:val="single" w:sz="2" w:space="0" w:color="000000" w:themeColor="text1"/>
              <w:right w:val="single" w:sz="2" w:space="0" w:color="000000" w:themeColor="text1"/>
            </w:tcBorders>
            <w:hideMark/>
          </w:tcPr>
          <w:p w14:paraId="1015E2AF" w14:textId="77777777" w:rsidR="00CA5C3C" w:rsidRPr="00075737" w:rsidRDefault="00CA5C3C" w:rsidP="005F132A">
            <w:pPr>
              <w:jc w:val="center"/>
              <w:rPr>
                <w:rFonts w:eastAsia="Times New Roman"/>
                <w:sz w:val="18"/>
                <w:szCs w:val="18"/>
              </w:rPr>
            </w:pPr>
            <w:r w:rsidRPr="00075737">
              <w:rPr>
                <w:rFonts w:eastAsia="Times New Roman"/>
                <w:sz w:val="18"/>
                <w:szCs w:val="18"/>
              </w:rPr>
              <w:t>1,552</w:t>
            </w:r>
          </w:p>
        </w:tc>
        <w:tc>
          <w:tcPr>
            <w:tcW w:w="710" w:type="dxa"/>
            <w:tcBorders>
              <w:left w:val="single" w:sz="2" w:space="0" w:color="000000" w:themeColor="text1"/>
              <w:right w:val="single" w:sz="2" w:space="0" w:color="000000" w:themeColor="text1"/>
            </w:tcBorders>
            <w:hideMark/>
          </w:tcPr>
          <w:p w14:paraId="32A60E2B" w14:textId="77777777" w:rsidR="00CA5C3C" w:rsidRPr="00075737" w:rsidRDefault="00CA5C3C" w:rsidP="005F132A">
            <w:pPr>
              <w:jc w:val="center"/>
              <w:rPr>
                <w:rFonts w:eastAsia="Times New Roman"/>
                <w:sz w:val="18"/>
                <w:szCs w:val="18"/>
              </w:rPr>
            </w:pPr>
            <w:r w:rsidRPr="00075737">
              <w:rPr>
                <w:rFonts w:eastAsia="Times New Roman"/>
                <w:sz w:val="18"/>
                <w:szCs w:val="18"/>
              </w:rPr>
              <w:t>540</w:t>
            </w:r>
          </w:p>
        </w:tc>
        <w:tc>
          <w:tcPr>
            <w:tcW w:w="710" w:type="dxa"/>
            <w:tcBorders>
              <w:left w:val="single" w:sz="2" w:space="0" w:color="000000" w:themeColor="text1"/>
              <w:right w:val="single" w:sz="2" w:space="0" w:color="000000" w:themeColor="text1"/>
            </w:tcBorders>
            <w:hideMark/>
          </w:tcPr>
          <w:p w14:paraId="277A631C" w14:textId="77777777" w:rsidR="00CA5C3C" w:rsidRPr="00075737" w:rsidRDefault="00CA5C3C" w:rsidP="005F132A">
            <w:pPr>
              <w:jc w:val="center"/>
              <w:rPr>
                <w:rFonts w:eastAsia="Times New Roman"/>
                <w:sz w:val="18"/>
                <w:szCs w:val="18"/>
              </w:rPr>
            </w:pPr>
            <w:r w:rsidRPr="00075737">
              <w:rPr>
                <w:rFonts w:eastAsia="Times New Roman"/>
                <w:sz w:val="18"/>
                <w:szCs w:val="18"/>
              </w:rPr>
              <w:t>648</w:t>
            </w:r>
          </w:p>
        </w:tc>
        <w:tc>
          <w:tcPr>
            <w:tcW w:w="710" w:type="dxa"/>
            <w:tcBorders>
              <w:left w:val="single" w:sz="2" w:space="0" w:color="000000" w:themeColor="text1"/>
              <w:right w:val="single" w:sz="2" w:space="0" w:color="000000" w:themeColor="text1"/>
            </w:tcBorders>
            <w:hideMark/>
          </w:tcPr>
          <w:p w14:paraId="1D38FAB2" w14:textId="77777777" w:rsidR="00CA5C3C" w:rsidRPr="00075737" w:rsidRDefault="00CA5C3C" w:rsidP="005F132A">
            <w:pPr>
              <w:jc w:val="center"/>
              <w:rPr>
                <w:rFonts w:eastAsia="Times New Roman"/>
                <w:sz w:val="18"/>
                <w:szCs w:val="18"/>
              </w:rPr>
            </w:pPr>
            <w:r w:rsidRPr="00075737">
              <w:rPr>
                <w:rFonts w:eastAsia="Times New Roman"/>
                <w:sz w:val="18"/>
                <w:szCs w:val="18"/>
              </w:rPr>
              <w:t>367</w:t>
            </w:r>
          </w:p>
        </w:tc>
        <w:tc>
          <w:tcPr>
            <w:tcW w:w="1134" w:type="dxa"/>
            <w:tcBorders>
              <w:left w:val="single" w:sz="2" w:space="0" w:color="000000" w:themeColor="text1"/>
              <w:right w:val="single" w:sz="2" w:space="0" w:color="000000" w:themeColor="text1"/>
            </w:tcBorders>
            <w:hideMark/>
          </w:tcPr>
          <w:p w14:paraId="2DF64A1E"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5C86375D" w14:textId="77777777" w:rsidR="00CA5C3C" w:rsidRPr="00075737" w:rsidRDefault="00CA5C3C" w:rsidP="005F132A">
            <w:pPr>
              <w:jc w:val="center"/>
              <w:rPr>
                <w:rFonts w:eastAsia="Times New Roman"/>
                <w:sz w:val="18"/>
                <w:szCs w:val="18"/>
              </w:rPr>
            </w:pPr>
            <w:r w:rsidRPr="00075737">
              <w:rPr>
                <w:rFonts w:eastAsia="Times New Roman"/>
                <w:sz w:val="18"/>
                <w:szCs w:val="18"/>
              </w:rPr>
              <w:t>239</w:t>
            </w:r>
          </w:p>
        </w:tc>
        <w:tc>
          <w:tcPr>
            <w:tcW w:w="666" w:type="dxa"/>
            <w:tcBorders>
              <w:left w:val="single" w:sz="2" w:space="0" w:color="000000" w:themeColor="text1"/>
              <w:right w:val="single" w:sz="2" w:space="0" w:color="000000" w:themeColor="text1"/>
            </w:tcBorders>
            <w:hideMark/>
          </w:tcPr>
          <w:p w14:paraId="2406DC27" w14:textId="77777777" w:rsidR="00CA5C3C" w:rsidRPr="00075737" w:rsidRDefault="00CA5C3C" w:rsidP="005F132A">
            <w:pPr>
              <w:jc w:val="center"/>
              <w:rPr>
                <w:rFonts w:eastAsia="Times New Roman"/>
                <w:sz w:val="18"/>
                <w:szCs w:val="18"/>
              </w:rPr>
            </w:pPr>
            <w:r w:rsidRPr="00075737">
              <w:rPr>
                <w:rFonts w:eastAsia="Times New Roman"/>
                <w:sz w:val="18"/>
                <w:szCs w:val="18"/>
              </w:rPr>
              <w:t>157</w:t>
            </w:r>
          </w:p>
        </w:tc>
        <w:tc>
          <w:tcPr>
            <w:tcW w:w="666" w:type="dxa"/>
            <w:tcBorders>
              <w:left w:val="single" w:sz="2" w:space="0" w:color="000000" w:themeColor="text1"/>
              <w:right w:val="single" w:sz="2" w:space="0" w:color="000000" w:themeColor="text1"/>
            </w:tcBorders>
            <w:hideMark/>
          </w:tcPr>
          <w:p w14:paraId="36389730" w14:textId="77777777" w:rsidR="00CA5C3C" w:rsidRPr="00075737" w:rsidRDefault="00CA5C3C" w:rsidP="005F132A">
            <w:pPr>
              <w:jc w:val="center"/>
              <w:rPr>
                <w:rFonts w:eastAsia="Times New Roman"/>
                <w:sz w:val="18"/>
                <w:szCs w:val="18"/>
              </w:rPr>
            </w:pPr>
            <w:r w:rsidRPr="00075737">
              <w:rPr>
                <w:rFonts w:eastAsia="Times New Roman"/>
                <w:sz w:val="18"/>
                <w:szCs w:val="18"/>
              </w:rPr>
              <w:t>117</w:t>
            </w:r>
          </w:p>
        </w:tc>
        <w:tc>
          <w:tcPr>
            <w:tcW w:w="666" w:type="dxa"/>
            <w:tcBorders>
              <w:left w:val="single" w:sz="2" w:space="0" w:color="000000" w:themeColor="text1"/>
              <w:right w:val="single" w:sz="2" w:space="0" w:color="000000" w:themeColor="text1"/>
            </w:tcBorders>
            <w:hideMark/>
          </w:tcPr>
          <w:p w14:paraId="340CF02B" w14:textId="77777777" w:rsidR="00CA5C3C" w:rsidRPr="00075737" w:rsidRDefault="00CA5C3C" w:rsidP="005F132A">
            <w:pPr>
              <w:jc w:val="center"/>
              <w:rPr>
                <w:rFonts w:eastAsia="Times New Roman"/>
                <w:sz w:val="18"/>
                <w:szCs w:val="18"/>
              </w:rPr>
            </w:pPr>
            <w:r w:rsidRPr="00075737">
              <w:rPr>
                <w:rFonts w:eastAsia="Times New Roman"/>
                <w:sz w:val="18"/>
                <w:szCs w:val="18"/>
              </w:rPr>
              <w:t>148</w:t>
            </w:r>
          </w:p>
        </w:tc>
        <w:tc>
          <w:tcPr>
            <w:tcW w:w="667" w:type="dxa"/>
            <w:tcBorders>
              <w:left w:val="single" w:sz="2" w:space="0" w:color="000000" w:themeColor="text1"/>
              <w:right w:val="single" w:sz="2" w:space="0" w:color="000000" w:themeColor="text1"/>
            </w:tcBorders>
            <w:hideMark/>
          </w:tcPr>
          <w:p w14:paraId="6F667264" w14:textId="77777777" w:rsidR="00CA5C3C" w:rsidRPr="00075737" w:rsidRDefault="00CA5C3C" w:rsidP="005F132A">
            <w:pPr>
              <w:jc w:val="center"/>
              <w:rPr>
                <w:rFonts w:eastAsia="Times New Roman"/>
                <w:sz w:val="18"/>
                <w:szCs w:val="18"/>
              </w:rPr>
            </w:pPr>
            <w:r w:rsidRPr="00075737">
              <w:rPr>
                <w:rFonts w:eastAsia="Times New Roman"/>
                <w:sz w:val="18"/>
                <w:szCs w:val="18"/>
              </w:rPr>
              <w:t>76</w:t>
            </w:r>
          </w:p>
        </w:tc>
        <w:tc>
          <w:tcPr>
            <w:tcW w:w="666" w:type="dxa"/>
            <w:tcBorders>
              <w:left w:val="single" w:sz="2" w:space="0" w:color="000000" w:themeColor="text1"/>
              <w:right w:val="single" w:sz="2" w:space="0" w:color="000000" w:themeColor="text1"/>
            </w:tcBorders>
            <w:hideMark/>
          </w:tcPr>
          <w:p w14:paraId="483F5F30" w14:textId="77777777" w:rsidR="00CA5C3C" w:rsidRPr="00075737" w:rsidRDefault="00CA5C3C" w:rsidP="005F132A">
            <w:pPr>
              <w:jc w:val="center"/>
              <w:rPr>
                <w:rFonts w:eastAsia="Times New Roman"/>
                <w:sz w:val="18"/>
                <w:szCs w:val="18"/>
              </w:rPr>
            </w:pPr>
            <w:r w:rsidRPr="00075737">
              <w:rPr>
                <w:rFonts w:eastAsia="Times New Roman"/>
                <w:sz w:val="18"/>
                <w:szCs w:val="18"/>
              </w:rPr>
              <w:t>58</w:t>
            </w:r>
          </w:p>
        </w:tc>
        <w:tc>
          <w:tcPr>
            <w:tcW w:w="666" w:type="dxa"/>
            <w:tcBorders>
              <w:left w:val="single" w:sz="2" w:space="0" w:color="000000" w:themeColor="text1"/>
              <w:right w:val="single" w:sz="2" w:space="0" w:color="000000" w:themeColor="text1"/>
            </w:tcBorders>
            <w:hideMark/>
          </w:tcPr>
          <w:p w14:paraId="42338DD4" w14:textId="77777777" w:rsidR="00CA5C3C" w:rsidRPr="00075737" w:rsidRDefault="00CA5C3C" w:rsidP="005F132A">
            <w:pPr>
              <w:jc w:val="center"/>
              <w:rPr>
                <w:rFonts w:eastAsia="Times New Roman"/>
                <w:sz w:val="18"/>
                <w:szCs w:val="18"/>
              </w:rPr>
            </w:pPr>
            <w:r w:rsidRPr="00075737">
              <w:rPr>
                <w:rFonts w:eastAsia="Times New Roman"/>
                <w:sz w:val="18"/>
                <w:szCs w:val="18"/>
              </w:rPr>
              <w:t>30</w:t>
            </w:r>
          </w:p>
        </w:tc>
        <w:tc>
          <w:tcPr>
            <w:tcW w:w="666" w:type="dxa"/>
            <w:tcBorders>
              <w:left w:val="single" w:sz="2" w:space="0" w:color="000000" w:themeColor="text1"/>
              <w:right w:val="single" w:sz="2" w:space="0" w:color="000000" w:themeColor="text1"/>
            </w:tcBorders>
            <w:hideMark/>
          </w:tcPr>
          <w:p w14:paraId="4ED4CC3D" w14:textId="77777777" w:rsidR="00CA5C3C" w:rsidRPr="00075737" w:rsidRDefault="00CA5C3C" w:rsidP="005F132A">
            <w:pPr>
              <w:jc w:val="center"/>
              <w:rPr>
                <w:rFonts w:eastAsia="Times New Roman"/>
                <w:sz w:val="18"/>
                <w:szCs w:val="18"/>
              </w:rPr>
            </w:pPr>
            <w:r w:rsidRPr="00075737">
              <w:rPr>
                <w:rFonts w:eastAsia="Times New Roman"/>
                <w:sz w:val="18"/>
                <w:szCs w:val="18"/>
              </w:rPr>
              <w:t>11</w:t>
            </w:r>
          </w:p>
        </w:tc>
        <w:tc>
          <w:tcPr>
            <w:tcW w:w="666" w:type="dxa"/>
            <w:tcBorders>
              <w:left w:val="single" w:sz="2" w:space="0" w:color="000000" w:themeColor="text1"/>
              <w:right w:val="single" w:sz="2" w:space="0" w:color="000000" w:themeColor="text1"/>
            </w:tcBorders>
            <w:hideMark/>
          </w:tcPr>
          <w:p w14:paraId="54AC3246"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7" w:type="dxa"/>
            <w:tcBorders>
              <w:left w:val="single" w:sz="2" w:space="0" w:color="000000" w:themeColor="text1"/>
              <w:right w:val="single" w:sz="2" w:space="0" w:color="000000" w:themeColor="text1"/>
            </w:tcBorders>
            <w:hideMark/>
          </w:tcPr>
          <w:p w14:paraId="6D1199C5"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1190" w:type="dxa"/>
            <w:tcBorders>
              <w:left w:val="single" w:sz="2" w:space="0" w:color="000000" w:themeColor="text1"/>
            </w:tcBorders>
            <w:hideMark/>
          </w:tcPr>
          <w:p w14:paraId="5744FB73" w14:textId="77777777" w:rsidR="00CA5C3C" w:rsidRPr="00075737" w:rsidRDefault="00CA5C3C" w:rsidP="005F132A">
            <w:pPr>
              <w:jc w:val="center"/>
              <w:rPr>
                <w:rFonts w:eastAsia="Times New Roman"/>
                <w:sz w:val="18"/>
                <w:szCs w:val="18"/>
              </w:rPr>
            </w:pPr>
          </w:p>
        </w:tc>
      </w:tr>
      <w:tr w:rsidR="005F132A" w:rsidRPr="00075737" w14:paraId="1673CE82"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22DEFC20"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5F7B1E95" w14:textId="77777777" w:rsidR="00CA5C3C" w:rsidRPr="00075737" w:rsidRDefault="00CA5C3C" w:rsidP="005F132A">
            <w:pPr>
              <w:jc w:val="center"/>
              <w:rPr>
                <w:rFonts w:eastAsia="Times New Roman"/>
                <w:sz w:val="18"/>
                <w:szCs w:val="18"/>
              </w:rPr>
            </w:pPr>
            <w:r w:rsidRPr="00075737">
              <w:rPr>
                <w:rFonts w:eastAsia="Times New Roman"/>
                <w:sz w:val="18"/>
                <w:szCs w:val="18"/>
              </w:rPr>
              <w:t>%</w:t>
            </w:r>
          </w:p>
        </w:tc>
        <w:tc>
          <w:tcPr>
            <w:tcW w:w="709" w:type="dxa"/>
            <w:tcBorders>
              <w:left w:val="single" w:sz="2" w:space="0" w:color="000000" w:themeColor="text1"/>
              <w:right w:val="single" w:sz="2" w:space="0" w:color="000000" w:themeColor="text1"/>
            </w:tcBorders>
            <w:hideMark/>
          </w:tcPr>
          <w:p w14:paraId="1151147F" w14:textId="77777777" w:rsidR="00CA5C3C" w:rsidRPr="00075737" w:rsidRDefault="00CA5C3C" w:rsidP="005F132A">
            <w:pPr>
              <w:jc w:val="center"/>
              <w:rPr>
                <w:rFonts w:eastAsia="Times New Roman"/>
                <w:sz w:val="18"/>
                <w:szCs w:val="18"/>
              </w:rPr>
            </w:pPr>
            <w:r w:rsidRPr="00075737">
              <w:rPr>
                <w:rFonts w:eastAsia="Times New Roman"/>
                <w:sz w:val="18"/>
                <w:szCs w:val="18"/>
              </w:rPr>
              <w:t>39.4</w:t>
            </w:r>
          </w:p>
        </w:tc>
        <w:tc>
          <w:tcPr>
            <w:tcW w:w="710" w:type="dxa"/>
            <w:tcBorders>
              <w:left w:val="single" w:sz="2" w:space="0" w:color="000000" w:themeColor="text1"/>
              <w:right w:val="single" w:sz="2" w:space="0" w:color="000000" w:themeColor="text1"/>
            </w:tcBorders>
            <w:hideMark/>
          </w:tcPr>
          <w:p w14:paraId="6E8C01DC" w14:textId="77777777" w:rsidR="00CA5C3C" w:rsidRPr="00075737" w:rsidRDefault="00CA5C3C" w:rsidP="005F132A">
            <w:pPr>
              <w:jc w:val="center"/>
              <w:rPr>
                <w:rFonts w:eastAsia="Times New Roman"/>
                <w:sz w:val="18"/>
                <w:szCs w:val="18"/>
              </w:rPr>
            </w:pPr>
            <w:r w:rsidRPr="00075737">
              <w:rPr>
                <w:rFonts w:eastAsia="Times New Roman"/>
                <w:sz w:val="18"/>
                <w:szCs w:val="18"/>
              </w:rPr>
              <w:t>13.7</w:t>
            </w:r>
          </w:p>
        </w:tc>
        <w:tc>
          <w:tcPr>
            <w:tcW w:w="710" w:type="dxa"/>
            <w:tcBorders>
              <w:left w:val="single" w:sz="2" w:space="0" w:color="000000" w:themeColor="text1"/>
              <w:right w:val="single" w:sz="2" w:space="0" w:color="000000" w:themeColor="text1"/>
            </w:tcBorders>
            <w:hideMark/>
          </w:tcPr>
          <w:p w14:paraId="0C3037D5" w14:textId="77777777" w:rsidR="00CA5C3C" w:rsidRPr="00075737" w:rsidRDefault="00CA5C3C" w:rsidP="005F132A">
            <w:pPr>
              <w:jc w:val="center"/>
              <w:rPr>
                <w:rFonts w:eastAsia="Times New Roman"/>
                <w:sz w:val="18"/>
                <w:szCs w:val="18"/>
              </w:rPr>
            </w:pPr>
            <w:r w:rsidRPr="00075737">
              <w:rPr>
                <w:rFonts w:eastAsia="Times New Roman"/>
                <w:sz w:val="18"/>
                <w:szCs w:val="18"/>
              </w:rPr>
              <w:t>16.4</w:t>
            </w:r>
          </w:p>
        </w:tc>
        <w:tc>
          <w:tcPr>
            <w:tcW w:w="710" w:type="dxa"/>
            <w:tcBorders>
              <w:left w:val="single" w:sz="2" w:space="0" w:color="000000" w:themeColor="text1"/>
              <w:right w:val="single" w:sz="2" w:space="0" w:color="000000" w:themeColor="text1"/>
            </w:tcBorders>
            <w:hideMark/>
          </w:tcPr>
          <w:p w14:paraId="30DA90DD" w14:textId="77777777" w:rsidR="00CA5C3C" w:rsidRPr="00075737" w:rsidRDefault="00CA5C3C" w:rsidP="005F132A">
            <w:pPr>
              <w:jc w:val="center"/>
              <w:rPr>
                <w:rFonts w:eastAsia="Times New Roman"/>
                <w:sz w:val="18"/>
                <w:szCs w:val="18"/>
              </w:rPr>
            </w:pPr>
            <w:r w:rsidRPr="00075737">
              <w:rPr>
                <w:rFonts w:eastAsia="Times New Roman"/>
                <w:sz w:val="18"/>
                <w:szCs w:val="18"/>
              </w:rPr>
              <w:t>9.3</w:t>
            </w:r>
          </w:p>
        </w:tc>
        <w:tc>
          <w:tcPr>
            <w:tcW w:w="1134" w:type="dxa"/>
            <w:tcBorders>
              <w:left w:val="single" w:sz="2" w:space="0" w:color="000000" w:themeColor="text1"/>
              <w:right w:val="single" w:sz="2" w:space="0" w:color="000000" w:themeColor="text1"/>
            </w:tcBorders>
            <w:hideMark/>
          </w:tcPr>
          <w:p w14:paraId="4BF447C0" w14:textId="77777777" w:rsidR="00CA5C3C" w:rsidRPr="00075737" w:rsidRDefault="00CA5C3C" w:rsidP="005F132A">
            <w:pPr>
              <w:jc w:val="center"/>
              <w:rPr>
                <w:rFonts w:eastAsia="Times New Roman"/>
                <w:sz w:val="18"/>
                <w:szCs w:val="18"/>
              </w:rPr>
            </w:pPr>
            <w:r w:rsidRPr="00075737">
              <w:rPr>
                <w:rFonts w:eastAsia="Times New Roman"/>
                <w:sz w:val="18"/>
                <w:szCs w:val="18"/>
              </w:rPr>
              <w:t>78.8%</w:t>
            </w:r>
          </w:p>
        </w:tc>
        <w:tc>
          <w:tcPr>
            <w:tcW w:w="666" w:type="dxa"/>
            <w:tcBorders>
              <w:left w:val="single" w:sz="2" w:space="0" w:color="000000" w:themeColor="text1"/>
              <w:right w:val="single" w:sz="2" w:space="0" w:color="000000" w:themeColor="text1"/>
            </w:tcBorders>
            <w:hideMark/>
          </w:tcPr>
          <w:p w14:paraId="757165F1" w14:textId="77777777" w:rsidR="00CA5C3C" w:rsidRPr="00075737" w:rsidRDefault="00CA5C3C" w:rsidP="005F132A">
            <w:pPr>
              <w:jc w:val="center"/>
              <w:rPr>
                <w:rFonts w:eastAsia="Times New Roman"/>
                <w:sz w:val="18"/>
                <w:szCs w:val="18"/>
              </w:rPr>
            </w:pPr>
            <w:r w:rsidRPr="00075737">
              <w:rPr>
                <w:rFonts w:eastAsia="Times New Roman"/>
                <w:sz w:val="18"/>
                <w:szCs w:val="18"/>
              </w:rPr>
              <w:t>6.1</w:t>
            </w:r>
          </w:p>
        </w:tc>
        <w:tc>
          <w:tcPr>
            <w:tcW w:w="666" w:type="dxa"/>
            <w:tcBorders>
              <w:left w:val="single" w:sz="2" w:space="0" w:color="000000" w:themeColor="text1"/>
              <w:right w:val="single" w:sz="2" w:space="0" w:color="000000" w:themeColor="text1"/>
            </w:tcBorders>
            <w:hideMark/>
          </w:tcPr>
          <w:p w14:paraId="1A60BC8C" w14:textId="77777777" w:rsidR="00CA5C3C" w:rsidRPr="00075737" w:rsidRDefault="00CA5C3C" w:rsidP="005F132A">
            <w:pPr>
              <w:jc w:val="center"/>
              <w:rPr>
                <w:rFonts w:eastAsia="Times New Roman"/>
                <w:sz w:val="18"/>
                <w:szCs w:val="18"/>
              </w:rPr>
            </w:pPr>
            <w:r w:rsidRPr="00075737">
              <w:rPr>
                <w:rFonts w:eastAsia="Times New Roman"/>
                <w:sz w:val="18"/>
                <w:szCs w:val="18"/>
              </w:rPr>
              <w:t>4.0</w:t>
            </w:r>
          </w:p>
        </w:tc>
        <w:tc>
          <w:tcPr>
            <w:tcW w:w="666" w:type="dxa"/>
            <w:tcBorders>
              <w:left w:val="single" w:sz="2" w:space="0" w:color="000000" w:themeColor="text1"/>
              <w:right w:val="single" w:sz="2" w:space="0" w:color="000000" w:themeColor="text1"/>
            </w:tcBorders>
            <w:hideMark/>
          </w:tcPr>
          <w:p w14:paraId="0C2E1337" w14:textId="77777777" w:rsidR="00CA5C3C" w:rsidRPr="00075737" w:rsidRDefault="00CA5C3C" w:rsidP="005F132A">
            <w:pPr>
              <w:jc w:val="center"/>
              <w:rPr>
                <w:rFonts w:eastAsia="Times New Roman"/>
                <w:sz w:val="18"/>
                <w:szCs w:val="18"/>
              </w:rPr>
            </w:pPr>
            <w:r w:rsidRPr="00075737">
              <w:rPr>
                <w:rFonts w:eastAsia="Times New Roman"/>
                <w:sz w:val="18"/>
                <w:szCs w:val="18"/>
              </w:rPr>
              <w:t>3.0</w:t>
            </w:r>
          </w:p>
        </w:tc>
        <w:tc>
          <w:tcPr>
            <w:tcW w:w="666" w:type="dxa"/>
            <w:tcBorders>
              <w:left w:val="single" w:sz="2" w:space="0" w:color="000000" w:themeColor="text1"/>
              <w:right w:val="single" w:sz="2" w:space="0" w:color="000000" w:themeColor="text1"/>
            </w:tcBorders>
            <w:hideMark/>
          </w:tcPr>
          <w:p w14:paraId="5EA3DBFA" w14:textId="77777777" w:rsidR="00CA5C3C" w:rsidRPr="00075737" w:rsidRDefault="00CA5C3C" w:rsidP="005F132A">
            <w:pPr>
              <w:jc w:val="center"/>
              <w:rPr>
                <w:rFonts w:eastAsia="Times New Roman"/>
                <w:sz w:val="18"/>
                <w:szCs w:val="18"/>
              </w:rPr>
            </w:pPr>
            <w:r w:rsidRPr="00075737">
              <w:rPr>
                <w:rFonts w:eastAsia="Times New Roman"/>
                <w:sz w:val="18"/>
                <w:szCs w:val="18"/>
              </w:rPr>
              <w:t>3.8</w:t>
            </w:r>
          </w:p>
        </w:tc>
        <w:tc>
          <w:tcPr>
            <w:tcW w:w="667" w:type="dxa"/>
            <w:tcBorders>
              <w:left w:val="single" w:sz="2" w:space="0" w:color="000000" w:themeColor="text1"/>
              <w:right w:val="single" w:sz="2" w:space="0" w:color="000000" w:themeColor="text1"/>
            </w:tcBorders>
            <w:hideMark/>
          </w:tcPr>
          <w:p w14:paraId="4F3AEC19" w14:textId="77777777" w:rsidR="00CA5C3C" w:rsidRPr="00075737" w:rsidRDefault="00CA5C3C" w:rsidP="005F132A">
            <w:pPr>
              <w:jc w:val="center"/>
              <w:rPr>
                <w:rFonts w:eastAsia="Times New Roman"/>
                <w:sz w:val="18"/>
                <w:szCs w:val="18"/>
              </w:rPr>
            </w:pPr>
            <w:r w:rsidRPr="00075737">
              <w:rPr>
                <w:rFonts w:eastAsia="Times New Roman"/>
                <w:sz w:val="18"/>
                <w:szCs w:val="18"/>
              </w:rPr>
              <w:t>1.9</w:t>
            </w:r>
          </w:p>
        </w:tc>
        <w:tc>
          <w:tcPr>
            <w:tcW w:w="666" w:type="dxa"/>
            <w:tcBorders>
              <w:left w:val="single" w:sz="2" w:space="0" w:color="000000" w:themeColor="text1"/>
              <w:right w:val="single" w:sz="2" w:space="0" w:color="000000" w:themeColor="text1"/>
            </w:tcBorders>
            <w:hideMark/>
          </w:tcPr>
          <w:p w14:paraId="2280529A" w14:textId="77777777" w:rsidR="00CA5C3C" w:rsidRPr="00075737" w:rsidRDefault="00CA5C3C" w:rsidP="005F132A">
            <w:pPr>
              <w:jc w:val="center"/>
              <w:rPr>
                <w:rFonts w:eastAsia="Times New Roman"/>
                <w:sz w:val="18"/>
                <w:szCs w:val="18"/>
              </w:rPr>
            </w:pPr>
            <w:r w:rsidRPr="00075737">
              <w:rPr>
                <w:rFonts w:eastAsia="Times New Roman"/>
                <w:sz w:val="18"/>
                <w:szCs w:val="18"/>
              </w:rPr>
              <w:t>1.5</w:t>
            </w:r>
          </w:p>
        </w:tc>
        <w:tc>
          <w:tcPr>
            <w:tcW w:w="666" w:type="dxa"/>
            <w:tcBorders>
              <w:left w:val="single" w:sz="2" w:space="0" w:color="000000" w:themeColor="text1"/>
              <w:right w:val="single" w:sz="2" w:space="0" w:color="000000" w:themeColor="text1"/>
            </w:tcBorders>
            <w:hideMark/>
          </w:tcPr>
          <w:p w14:paraId="2FED976B" w14:textId="77777777" w:rsidR="00CA5C3C" w:rsidRPr="00075737" w:rsidRDefault="00CA5C3C" w:rsidP="005F132A">
            <w:pPr>
              <w:jc w:val="center"/>
              <w:rPr>
                <w:rFonts w:eastAsia="Times New Roman"/>
                <w:sz w:val="18"/>
                <w:szCs w:val="18"/>
              </w:rPr>
            </w:pPr>
            <w:r w:rsidRPr="00075737">
              <w:rPr>
                <w:rFonts w:eastAsia="Times New Roman"/>
                <w:sz w:val="18"/>
                <w:szCs w:val="18"/>
              </w:rPr>
              <w:t>0.8</w:t>
            </w:r>
          </w:p>
        </w:tc>
        <w:tc>
          <w:tcPr>
            <w:tcW w:w="666" w:type="dxa"/>
            <w:tcBorders>
              <w:left w:val="single" w:sz="2" w:space="0" w:color="000000" w:themeColor="text1"/>
              <w:right w:val="single" w:sz="2" w:space="0" w:color="000000" w:themeColor="text1"/>
            </w:tcBorders>
            <w:hideMark/>
          </w:tcPr>
          <w:p w14:paraId="48D6A38F" w14:textId="77777777" w:rsidR="00CA5C3C" w:rsidRPr="00075737" w:rsidRDefault="00CA5C3C" w:rsidP="005F132A">
            <w:pPr>
              <w:jc w:val="center"/>
              <w:rPr>
                <w:rFonts w:eastAsia="Times New Roman"/>
                <w:sz w:val="18"/>
                <w:szCs w:val="18"/>
              </w:rPr>
            </w:pPr>
            <w:r w:rsidRPr="00075737">
              <w:rPr>
                <w:rFonts w:eastAsia="Times New Roman"/>
                <w:sz w:val="18"/>
                <w:szCs w:val="18"/>
              </w:rPr>
              <w:t>0.3</w:t>
            </w:r>
          </w:p>
        </w:tc>
        <w:tc>
          <w:tcPr>
            <w:tcW w:w="666" w:type="dxa"/>
            <w:tcBorders>
              <w:left w:val="single" w:sz="2" w:space="0" w:color="000000" w:themeColor="text1"/>
              <w:right w:val="single" w:sz="2" w:space="0" w:color="000000" w:themeColor="text1"/>
            </w:tcBorders>
            <w:hideMark/>
          </w:tcPr>
          <w:p w14:paraId="6D4D8DEC"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7" w:type="dxa"/>
            <w:tcBorders>
              <w:left w:val="single" w:sz="2" w:space="0" w:color="000000" w:themeColor="text1"/>
              <w:right w:val="single" w:sz="2" w:space="0" w:color="000000" w:themeColor="text1"/>
            </w:tcBorders>
            <w:hideMark/>
          </w:tcPr>
          <w:p w14:paraId="534A82EE"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1190" w:type="dxa"/>
            <w:tcBorders>
              <w:left w:val="single" w:sz="2" w:space="0" w:color="000000" w:themeColor="text1"/>
            </w:tcBorders>
            <w:hideMark/>
          </w:tcPr>
          <w:p w14:paraId="6C8DC963" w14:textId="77777777" w:rsidR="00CA5C3C" w:rsidRPr="00075737" w:rsidRDefault="00CA5C3C" w:rsidP="005F132A">
            <w:pPr>
              <w:jc w:val="center"/>
              <w:rPr>
                <w:rFonts w:eastAsia="Times New Roman"/>
                <w:sz w:val="18"/>
                <w:szCs w:val="18"/>
              </w:rPr>
            </w:pPr>
            <w:r w:rsidRPr="00075737">
              <w:rPr>
                <w:rFonts w:eastAsia="Times New Roman"/>
                <w:sz w:val="18"/>
                <w:szCs w:val="18"/>
              </w:rPr>
              <w:t>21.2%</w:t>
            </w:r>
          </w:p>
        </w:tc>
      </w:tr>
      <w:tr w:rsidR="005F132A" w:rsidRPr="00075737" w14:paraId="1A224EBC" w14:textId="77777777" w:rsidTr="005C6499">
        <w:tc>
          <w:tcPr>
            <w:tcW w:w="0" w:type="auto"/>
            <w:tcBorders>
              <w:right w:val="single" w:sz="2" w:space="0" w:color="000000" w:themeColor="text1"/>
            </w:tcBorders>
            <w:hideMark/>
          </w:tcPr>
          <w:p w14:paraId="73C6084C" w14:textId="77777777" w:rsidR="00CA5C3C" w:rsidRPr="00F94BCC" w:rsidRDefault="00935BE3">
            <w:pPr>
              <w:rPr>
                <w:rFonts w:eastAsia="Times New Roman"/>
                <w:i/>
                <w:sz w:val="18"/>
                <w:szCs w:val="18"/>
              </w:rPr>
            </w:pPr>
            <w:r w:rsidRPr="00935BE3">
              <w:rPr>
                <w:rFonts w:eastAsia="Times New Roman"/>
                <w:i/>
                <w:sz w:val="18"/>
                <w:szCs w:val="18"/>
              </w:rPr>
              <w:t>Klebsiella</w:t>
            </w:r>
            <w:r w:rsidR="00CA5C3C" w:rsidRPr="00F94BCC">
              <w:rPr>
                <w:rFonts w:eastAsia="Times New Roman"/>
                <w:i/>
                <w:sz w:val="18"/>
                <w:szCs w:val="18"/>
              </w:rPr>
              <w:t xml:space="preserve"> pneumoniae</w:t>
            </w:r>
            <w:r w:rsidR="00CA5C3C" w:rsidRPr="00F94BCC">
              <w:rPr>
                <w:rFonts w:eastAsia="Times New Roman"/>
                <w:i/>
                <w:sz w:val="18"/>
                <w:szCs w:val="18"/>
                <w:vertAlign w:val="superscript"/>
              </w:rPr>
              <w:t>*</w:t>
            </w:r>
          </w:p>
        </w:tc>
        <w:tc>
          <w:tcPr>
            <w:tcW w:w="0" w:type="auto"/>
            <w:tcBorders>
              <w:left w:val="single" w:sz="2" w:space="0" w:color="000000" w:themeColor="text1"/>
              <w:right w:val="single" w:sz="2" w:space="0" w:color="000000" w:themeColor="text1"/>
            </w:tcBorders>
            <w:hideMark/>
          </w:tcPr>
          <w:p w14:paraId="0F3938DC" w14:textId="77777777" w:rsidR="00CA5C3C" w:rsidRPr="00075737" w:rsidRDefault="00CA5C3C" w:rsidP="005F132A">
            <w:pPr>
              <w:jc w:val="center"/>
              <w:rPr>
                <w:rFonts w:eastAsia="Times New Roman"/>
                <w:sz w:val="18"/>
                <w:szCs w:val="18"/>
              </w:rPr>
            </w:pPr>
            <w:r w:rsidRPr="00075737">
              <w:rPr>
                <w:rFonts w:eastAsia="Times New Roman"/>
                <w:sz w:val="18"/>
                <w:szCs w:val="18"/>
              </w:rPr>
              <w:t>919</w:t>
            </w:r>
          </w:p>
        </w:tc>
        <w:tc>
          <w:tcPr>
            <w:tcW w:w="709" w:type="dxa"/>
            <w:tcBorders>
              <w:left w:val="single" w:sz="2" w:space="0" w:color="000000" w:themeColor="text1"/>
              <w:right w:val="single" w:sz="2" w:space="0" w:color="000000" w:themeColor="text1"/>
            </w:tcBorders>
            <w:hideMark/>
          </w:tcPr>
          <w:p w14:paraId="2146FD1B" w14:textId="77777777" w:rsidR="00CA5C3C" w:rsidRPr="00075737" w:rsidRDefault="00CA5C3C" w:rsidP="005F132A">
            <w:pPr>
              <w:jc w:val="center"/>
              <w:rPr>
                <w:rFonts w:eastAsia="Times New Roman"/>
                <w:sz w:val="18"/>
                <w:szCs w:val="18"/>
              </w:rPr>
            </w:pPr>
            <w:r w:rsidRPr="00075737">
              <w:rPr>
                <w:rFonts w:eastAsia="Times New Roman"/>
                <w:sz w:val="18"/>
                <w:szCs w:val="18"/>
              </w:rPr>
              <w:t>676</w:t>
            </w:r>
          </w:p>
        </w:tc>
        <w:tc>
          <w:tcPr>
            <w:tcW w:w="710" w:type="dxa"/>
            <w:tcBorders>
              <w:left w:val="single" w:sz="2" w:space="0" w:color="000000" w:themeColor="text1"/>
              <w:right w:val="single" w:sz="2" w:space="0" w:color="000000" w:themeColor="text1"/>
            </w:tcBorders>
            <w:hideMark/>
          </w:tcPr>
          <w:p w14:paraId="3B68BC97" w14:textId="77777777" w:rsidR="00CA5C3C" w:rsidRPr="00075737" w:rsidRDefault="00CA5C3C" w:rsidP="005F132A">
            <w:pPr>
              <w:jc w:val="center"/>
              <w:rPr>
                <w:rFonts w:eastAsia="Times New Roman"/>
                <w:sz w:val="18"/>
                <w:szCs w:val="18"/>
              </w:rPr>
            </w:pPr>
            <w:r w:rsidRPr="00075737">
              <w:rPr>
                <w:rFonts w:eastAsia="Times New Roman"/>
                <w:sz w:val="18"/>
                <w:szCs w:val="18"/>
              </w:rPr>
              <w:t>99</w:t>
            </w:r>
          </w:p>
        </w:tc>
        <w:tc>
          <w:tcPr>
            <w:tcW w:w="710" w:type="dxa"/>
            <w:tcBorders>
              <w:left w:val="single" w:sz="2" w:space="0" w:color="000000" w:themeColor="text1"/>
              <w:right w:val="single" w:sz="2" w:space="0" w:color="000000" w:themeColor="text1"/>
            </w:tcBorders>
            <w:hideMark/>
          </w:tcPr>
          <w:p w14:paraId="3C17C725" w14:textId="77777777" w:rsidR="00CA5C3C" w:rsidRPr="00075737" w:rsidRDefault="00CA5C3C" w:rsidP="005F132A">
            <w:pPr>
              <w:jc w:val="center"/>
              <w:rPr>
                <w:rFonts w:eastAsia="Times New Roman"/>
                <w:sz w:val="18"/>
                <w:szCs w:val="18"/>
              </w:rPr>
            </w:pPr>
            <w:r w:rsidRPr="00075737">
              <w:rPr>
                <w:rFonts w:eastAsia="Times New Roman"/>
                <w:sz w:val="18"/>
                <w:szCs w:val="18"/>
              </w:rPr>
              <w:t>35</w:t>
            </w:r>
          </w:p>
        </w:tc>
        <w:tc>
          <w:tcPr>
            <w:tcW w:w="710" w:type="dxa"/>
            <w:tcBorders>
              <w:left w:val="single" w:sz="2" w:space="0" w:color="000000" w:themeColor="text1"/>
              <w:right w:val="single" w:sz="2" w:space="0" w:color="000000" w:themeColor="text1"/>
            </w:tcBorders>
            <w:hideMark/>
          </w:tcPr>
          <w:p w14:paraId="773FAB8F" w14:textId="77777777" w:rsidR="00CA5C3C" w:rsidRPr="00075737" w:rsidRDefault="00CA5C3C" w:rsidP="005F132A">
            <w:pPr>
              <w:jc w:val="center"/>
              <w:rPr>
                <w:rFonts w:eastAsia="Times New Roman"/>
                <w:sz w:val="18"/>
                <w:szCs w:val="18"/>
              </w:rPr>
            </w:pPr>
            <w:r w:rsidRPr="00075737">
              <w:rPr>
                <w:rFonts w:eastAsia="Times New Roman"/>
                <w:sz w:val="18"/>
                <w:szCs w:val="18"/>
              </w:rPr>
              <w:t>18</w:t>
            </w:r>
          </w:p>
        </w:tc>
        <w:tc>
          <w:tcPr>
            <w:tcW w:w="1134" w:type="dxa"/>
            <w:tcBorders>
              <w:left w:val="single" w:sz="2" w:space="0" w:color="000000" w:themeColor="text1"/>
              <w:right w:val="single" w:sz="2" w:space="0" w:color="000000" w:themeColor="text1"/>
            </w:tcBorders>
            <w:hideMark/>
          </w:tcPr>
          <w:p w14:paraId="60A573F9"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465F0E5E" w14:textId="77777777" w:rsidR="00CA5C3C" w:rsidRPr="00075737" w:rsidRDefault="00CA5C3C" w:rsidP="005F132A">
            <w:pPr>
              <w:jc w:val="center"/>
              <w:rPr>
                <w:rFonts w:eastAsia="Times New Roman"/>
                <w:sz w:val="18"/>
                <w:szCs w:val="18"/>
              </w:rPr>
            </w:pPr>
            <w:r w:rsidRPr="00075737">
              <w:rPr>
                <w:rFonts w:eastAsia="Times New Roman"/>
                <w:sz w:val="18"/>
                <w:szCs w:val="18"/>
              </w:rPr>
              <w:t>17</w:t>
            </w:r>
          </w:p>
        </w:tc>
        <w:tc>
          <w:tcPr>
            <w:tcW w:w="666" w:type="dxa"/>
            <w:tcBorders>
              <w:left w:val="single" w:sz="2" w:space="0" w:color="000000" w:themeColor="text1"/>
              <w:right w:val="single" w:sz="2" w:space="0" w:color="000000" w:themeColor="text1"/>
            </w:tcBorders>
            <w:hideMark/>
          </w:tcPr>
          <w:p w14:paraId="47B7101A" w14:textId="77777777" w:rsidR="00CA5C3C" w:rsidRPr="00075737" w:rsidRDefault="00CA5C3C" w:rsidP="005F132A">
            <w:pPr>
              <w:jc w:val="center"/>
              <w:rPr>
                <w:rFonts w:eastAsia="Times New Roman"/>
                <w:sz w:val="18"/>
                <w:szCs w:val="18"/>
              </w:rPr>
            </w:pPr>
            <w:r w:rsidRPr="00075737">
              <w:rPr>
                <w:rFonts w:eastAsia="Times New Roman"/>
                <w:sz w:val="18"/>
                <w:szCs w:val="18"/>
              </w:rPr>
              <w:t>12</w:t>
            </w:r>
          </w:p>
        </w:tc>
        <w:tc>
          <w:tcPr>
            <w:tcW w:w="666" w:type="dxa"/>
            <w:tcBorders>
              <w:left w:val="single" w:sz="2" w:space="0" w:color="000000" w:themeColor="text1"/>
              <w:right w:val="single" w:sz="2" w:space="0" w:color="000000" w:themeColor="text1"/>
            </w:tcBorders>
            <w:hideMark/>
          </w:tcPr>
          <w:p w14:paraId="54F19B1F" w14:textId="77777777" w:rsidR="00CA5C3C" w:rsidRPr="00075737" w:rsidRDefault="00CA5C3C" w:rsidP="005F132A">
            <w:pPr>
              <w:jc w:val="center"/>
              <w:rPr>
                <w:rFonts w:eastAsia="Times New Roman"/>
                <w:sz w:val="18"/>
                <w:szCs w:val="18"/>
              </w:rPr>
            </w:pPr>
            <w:r w:rsidRPr="00075737">
              <w:rPr>
                <w:rFonts w:eastAsia="Times New Roman"/>
                <w:sz w:val="18"/>
                <w:szCs w:val="18"/>
              </w:rPr>
              <w:t>15</w:t>
            </w:r>
          </w:p>
        </w:tc>
        <w:tc>
          <w:tcPr>
            <w:tcW w:w="666" w:type="dxa"/>
            <w:tcBorders>
              <w:left w:val="single" w:sz="2" w:space="0" w:color="000000" w:themeColor="text1"/>
              <w:right w:val="single" w:sz="2" w:space="0" w:color="000000" w:themeColor="text1"/>
            </w:tcBorders>
            <w:hideMark/>
          </w:tcPr>
          <w:p w14:paraId="53D8E0C2" w14:textId="77777777" w:rsidR="00CA5C3C" w:rsidRPr="00075737" w:rsidRDefault="00CA5C3C" w:rsidP="005F132A">
            <w:pPr>
              <w:jc w:val="center"/>
              <w:rPr>
                <w:rFonts w:eastAsia="Times New Roman"/>
                <w:sz w:val="18"/>
                <w:szCs w:val="18"/>
              </w:rPr>
            </w:pPr>
            <w:r w:rsidRPr="00075737">
              <w:rPr>
                <w:rFonts w:eastAsia="Times New Roman"/>
                <w:sz w:val="18"/>
                <w:szCs w:val="18"/>
              </w:rPr>
              <w:t>12</w:t>
            </w:r>
          </w:p>
        </w:tc>
        <w:tc>
          <w:tcPr>
            <w:tcW w:w="667" w:type="dxa"/>
            <w:tcBorders>
              <w:left w:val="single" w:sz="2" w:space="0" w:color="000000" w:themeColor="text1"/>
              <w:right w:val="single" w:sz="2" w:space="0" w:color="000000" w:themeColor="text1"/>
            </w:tcBorders>
            <w:hideMark/>
          </w:tcPr>
          <w:p w14:paraId="42334CEA" w14:textId="77777777" w:rsidR="00CA5C3C" w:rsidRPr="00075737" w:rsidRDefault="00CA5C3C" w:rsidP="005F132A">
            <w:pPr>
              <w:jc w:val="center"/>
              <w:rPr>
                <w:rFonts w:eastAsia="Times New Roman"/>
                <w:sz w:val="18"/>
                <w:szCs w:val="18"/>
              </w:rPr>
            </w:pPr>
            <w:r w:rsidRPr="00075737">
              <w:rPr>
                <w:rFonts w:eastAsia="Times New Roman"/>
                <w:sz w:val="18"/>
                <w:szCs w:val="18"/>
              </w:rPr>
              <w:t>12</w:t>
            </w:r>
          </w:p>
        </w:tc>
        <w:tc>
          <w:tcPr>
            <w:tcW w:w="666" w:type="dxa"/>
            <w:tcBorders>
              <w:left w:val="single" w:sz="2" w:space="0" w:color="000000" w:themeColor="text1"/>
              <w:right w:val="single" w:sz="2" w:space="0" w:color="000000" w:themeColor="text1"/>
            </w:tcBorders>
            <w:hideMark/>
          </w:tcPr>
          <w:p w14:paraId="451A9010" w14:textId="77777777" w:rsidR="00CA5C3C" w:rsidRPr="00075737" w:rsidRDefault="00CA5C3C" w:rsidP="005F132A">
            <w:pPr>
              <w:jc w:val="center"/>
              <w:rPr>
                <w:rFonts w:eastAsia="Times New Roman"/>
                <w:sz w:val="18"/>
                <w:szCs w:val="18"/>
              </w:rPr>
            </w:pPr>
            <w:r w:rsidRPr="00075737">
              <w:rPr>
                <w:rFonts w:eastAsia="Times New Roman"/>
                <w:sz w:val="18"/>
                <w:szCs w:val="18"/>
              </w:rPr>
              <w:t>21</w:t>
            </w:r>
          </w:p>
        </w:tc>
        <w:tc>
          <w:tcPr>
            <w:tcW w:w="666" w:type="dxa"/>
            <w:tcBorders>
              <w:left w:val="single" w:sz="2" w:space="0" w:color="000000" w:themeColor="text1"/>
              <w:right w:val="single" w:sz="2" w:space="0" w:color="000000" w:themeColor="text1"/>
            </w:tcBorders>
            <w:hideMark/>
          </w:tcPr>
          <w:p w14:paraId="27159499"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01F282CF"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4F90EEC7"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06252F40"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5B926465" w14:textId="77777777" w:rsidR="00CA5C3C" w:rsidRPr="00075737" w:rsidRDefault="00CA5C3C" w:rsidP="005F132A">
            <w:pPr>
              <w:jc w:val="center"/>
              <w:rPr>
                <w:rFonts w:eastAsia="Times New Roman"/>
                <w:sz w:val="18"/>
                <w:szCs w:val="18"/>
              </w:rPr>
            </w:pPr>
          </w:p>
        </w:tc>
      </w:tr>
      <w:tr w:rsidR="005F132A" w:rsidRPr="00075737" w14:paraId="4CAC2762"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133462F"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17184248"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18B38965" w14:textId="77777777" w:rsidR="00CA5C3C" w:rsidRPr="00075737" w:rsidRDefault="00CA5C3C" w:rsidP="005F132A">
            <w:pPr>
              <w:jc w:val="center"/>
              <w:rPr>
                <w:rFonts w:eastAsia="Times New Roman"/>
                <w:sz w:val="18"/>
                <w:szCs w:val="18"/>
              </w:rPr>
            </w:pPr>
            <w:r w:rsidRPr="00075737">
              <w:rPr>
                <w:rFonts w:eastAsia="Times New Roman"/>
                <w:sz w:val="18"/>
                <w:szCs w:val="18"/>
              </w:rPr>
              <w:t>73.6</w:t>
            </w:r>
          </w:p>
        </w:tc>
        <w:tc>
          <w:tcPr>
            <w:tcW w:w="710" w:type="dxa"/>
            <w:tcBorders>
              <w:left w:val="single" w:sz="2" w:space="0" w:color="000000" w:themeColor="text1"/>
              <w:right w:val="single" w:sz="2" w:space="0" w:color="000000" w:themeColor="text1"/>
            </w:tcBorders>
            <w:hideMark/>
          </w:tcPr>
          <w:p w14:paraId="3AAA94E0" w14:textId="77777777" w:rsidR="00CA5C3C" w:rsidRPr="00075737" w:rsidRDefault="00CA5C3C" w:rsidP="005F132A">
            <w:pPr>
              <w:jc w:val="center"/>
              <w:rPr>
                <w:rFonts w:eastAsia="Times New Roman"/>
                <w:sz w:val="18"/>
                <w:szCs w:val="18"/>
              </w:rPr>
            </w:pPr>
            <w:r w:rsidRPr="00075737">
              <w:rPr>
                <w:rFonts w:eastAsia="Times New Roman"/>
                <w:sz w:val="18"/>
                <w:szCs w:val="18"/>
              </w:rPr>
              <w:t>10.8</w:t>
            </w:r>
          </w:p>
        </w:tc>
        <w:tc>
          <w:tcPr>
            <w:tcW w:w="710" w:type="dxa"/>
            <w:tcBorders>
              <w:left w:val="single" w:sz="2" w:space="0" w:color="000000" w:themeColor="text1"/>
              <w:right w:val="single" w:sz="2" w:space="0" w:color="000000" w:themeColor="text1"/>
            </w:tcBorders>
            <w:hideMark/>
          </w:tcPr>
          <w:p w14:paraId="3D1E1D28" w14:textId="77777777" w:rsidR="00CA5C3C" w:rsidRPr="00075737" w:rsidRDefault="00CA5C3C" w:rsidP="005F132A">
            <w:pPr>
              <w:jc w:val="center"/>
              <w:rPr>
                <w:rFonts w:eastAsia="Times New Roman"/>
                <w:sz w:val="18"/>
                <w:szCs w:val="18"/>
              </w:rPr>
            </w:pPr>
            <w:r w:rsidRPr="00075737">
              <w:rPr>
                <w:rFonts w:eastAsia="Times New Roman"/>
                <w:sz w:val="18"/>
                <w:szCs w:val="18"/>
              </w:rPr>
              <w:t>3.8</w:t>
            </w:r>
          </w:p>
        </w:tc>
        <w:tc>
          <w:tcPr>
            <w:tcW w:w="710" w:type="dxa"/>
            <w:tcBorders>
              <w:left w:val="single" w:sz="2" w:space="0" w:color="000000" w:themeColor="text1"/>
              <w:right w:val="single" w:sz="2" w:space="0" w:color="000000" w:themeColor="text1"/>
            </w:tcBorders>
            <w:hideMark/>
          </w:tcPr>
          <w:p w14:paraId="475161D2" w14:textId="77777777" w:rsidR="00CA5C3C" w:rsidRPr="00075737" w:rsidRDefault="00CA5C3C" w:rsidP="005F132A">
            <w:pPr>
              <w:jc w:val="center"/>
              <w:rPr>
                <w:rFonts w:eastAsia="Times New Roman"/>
                <w:sz w:val="18"/>
                <w:szCs w:val="18"/>
              </w:rPr>
            </w:pPr>
            <w:r w:rsidRPr="00075737">
              <w:rPr>
                <w:rFonts w:eastAsia="Times New Roman"/>
                <w:sz w:val="18"/>
                <w:szCs w:val="18"/>
              </w:rPr>
              <w:t>2.0</w:t>
            </w:r>
          </w:p>
        </w:tc>
        <w:tc>
          <w:tcPr>
            <w:tcW w:w="1134" w:type="dxa"/>
            <w:tcBorders>
              <w:left w:val="single" w:sz="2" w:space="0" w:color="000000" w:themeColor="text1"/>
              <w:right w:val="single" w:sz="2" w:space="0" w:color="000000" w:themeColor="text1"/>
            </w:tcBorders>
            <w:hideMark/>
          </w:tcPr>
          <w:p w14:paraId="18228A69" w14:textId="77777777" w:rsidR="00CA5C3C" w:rsidRPr="00075737" w:rsidRDefault="00CA5C3C" w:rsidP="005F132A">
            <w:pPr>
              <w:jc w:val="center"/>
              <w:rPr>
                <w:rFonts w:eastAsia="Times New Roman"/>
                <w:sz w:val="18"/>
                <w:szCs w:val="18"/>
              </w:rPr>
            </w:pPr>
            <w:r w:rsidRPr="00075737">
              <w:rPr>
                <w:rFonts w:eastAsia="Times New Roman"/>
                <w:sz w:val="18"/>
                <w:szCs w:val="18"/>
              </w:rPr>
              <w:t>90.1%</w:t>
            </w:r>
          </w:p>
        </w:tc>
        <w:tc>
          <w:tcPr>
            <w:tcW w:w="666" w:type="dxa"/>
            <w:tcBorders>
              <w:left w:val="single" w:sz="2" w:space="0" w:color="000000" w:themeColor="text1"/>
              <w:right w:val="single" w:sz="2" w:space="0" w:color="000000" w:themeColor="text1"/>
            </w:tcBorders>
            <w:hideMark/>
          </w:tcPr>
          <w:p w14:paraId="00249ED0" w14:textId="77777777" w:rsidR="00CA5C3C" w:rsidRPr="00075737" w:rsidRDefault="00CA5C3C" w:rsidP="005F132A">
            <w:pPr>
              <w:jc w:val="center"/>
              <w:rPr>
                <w:rFonts w:eastAsia="Times New Roman"/>
                <w:sz w:val="18"/>
                <w:szCs w:val="18"/>
              </w:rPr>
            </w:pPr>
            <w:r w:rsidRPr="00075737">
              <w:rPr>
                <w:rFonts w:eastAsia="Times New Roman"/>
                <w:sz w:val="18"/>
                <w:szCs w:val="18"/>
              </w:rPr>
              <w:t>1.8</w:t>
            </w:r>
          </w:p>
        </w:tc>
        <w:tc>
          <w:tcPr>
            <w:tcW w:w="666" w:type="dxa"/>
            <w:tcBorders>
              <w:left w:val="single" w:sz="2" w:space="0" w:color="000000" w:themeColor="text1"/>
              <w:right w:val="single" w:sz="2" w:space="0" w:color="000000" w:themeColor="text1"/>
            </w:tcBorders>
            <w:hideMark/>
          </w:tcPr>
          <w:p w14:paraId="17ED3BAD" w14:textId="77777777" w:rsidR="00CA5C3C" w:rsidRPr="00075737" w:rsidRDefault="00CA5C3C" w:rsidP="005F132A">
            <w:pPr>
              <w:jc w:val="center"/>
              <w:rPr>
                <w:rFonts w:eastAsia="Times New Roman"/>
                <w:sz w:val="18"/>
                <w:szCs w:val="18"/>
              </w:rPr>
            </w:pPr>
            <w:r w:rsidRPr="00075737">
              <w:rPr>
                <w:rFonts w:eastAsia="Times New Roman"/>
                <w:sz w:val="18"/>
                <w:szCs w:val="18"/>
              </w:rPr>
              <w:t>1.3</w:t>
            </w:r>
          </w:p>
        </w:tc>
        <w:tc>
          <w:tcPr>
            <w:tcW w:w="666" w:type="dxa"/>
            <w:tcBorders>
              <w:left w:val="single" w:sz="2" w:space="0" w:color="000000" w:themeColor="text1"/>
              <w:right w:val="single" w:sz="2" w:space="0" w:color="000000" w:themeColor="text1"/>
            </w:tcBorders>
            <w:hideMark/>
          </w:tcPr>
          <w:p w14:paraId="0317127A" w14:textId="77777777" w:rsidR="00CA5C3C" w:rsidRPr="00075737" w:rsidRDefault="00CA5C3C" w:rsidP="005F132A">
            <w:pPr>
              <w:jc w:val="center"/>
              <w:rPr>
                <w:rFonts w:eastAsia="Times New Roman"/>
                <w:sz w:val="18"/>
                <w:szCs w:val="18"/>
              </w:rPr>
            </w:pPr>
            <w:r w:rsidRPr="00075737">
              <w:rPr>
                <w:rFonts w:eastAsia="Times New Roman"/>
                <w:sz w:val="18"/>
                <w:szCs w:val="18"/>
              </w:rPr>
              <w:t>1.6</w:t>
            </w:r>
          </w:p>
        </w:tc>
        <w:tc>
          <w:tcPr>
            <w:tcW w:w="666" w:type="dxa"/>
            <w:tcBorders>
              <w:left w:val="single" w:sz="2" w:space="0" w:color="000000" w:themeColor="text1"/>
              <w:right w:val="single" w:sz="2" w:space="0" w:color="000000" w:themeColor="text1"/>
            </w:tcBorders>
            <w:hideMark/>
          </w:tcPr>
          <w:p w14:paraId="272C7DC3" w14:textId="77777777" w:rsidR="00CA5C3C" w:rsidRPr="00075737" w:rsidRDefault="00CA5C3C" w:rsidP="005F132A">
            <w:pPr>
              <w:jc w:val="center"/>
              <w:rPr>
                <w:rFonts w:eastAsia="Times New Roman"/>
                <w:sz w:val="18"/>
                <w:szCs w:val="18"/>
              </w:rPr>
            </w:pPr>
            <w:r w:rsidRPr="00075737">
              <w:rPr>
                <w:rFonts w:eastAsia="Times New Roman"/>
                <w:sz w:val="18"/>
                <w:szCs w:val="18"/>
              </w:rPr>
              <w:t>1.3</w:t>
            </w:r>
          </w:p>
        </w:tc>
        <w:tc>
          <w:tcPr>
            <w:tcW w:w="667" w:type="dxa"/>
            <w:tcBorders>
              <w:left w:val="single" w:sz="2" w:space="0" w:color="000000" w:themeColor="text1"/>
              <w:right w:val="single" w:sz="2" w:space="0" w:color="000000" w:themeColor="text1"/>
            </w:tcBorders>
            <w:hideMark/>
          </w:tcPr>
          <w:p w14:paraId="70E16AA7" w14:textId="77777777" w:rsidR="00CA5C3C" w:rsidRPr="00075737" w:rsidRDefault="00CA5C3C" w:rsidP="005F132A">
            <w:pPr>
              <w:jc w:val="center"/>
              <w:rPr>
                <w:rFonts w:eastAsia="Times New Roman"/>
                <w:sz w:val="18"/>
                <w:szCs w:val="18"/>
              </w:rPr>
            </w:pPr>
            <w:r w:rsidRPr="00075737">
              <w:rPr>
                <w:rFonts w:eastAsia="Times New Roman"/>
                <w:sz w:val="18"/>
                <w:szCs w:val="18"/>
              </w:rPr>
              <w:t>1.3</w:t>
            </w:r>
          </w:p>
        </w:tc>
        <w:tc>
          <w:tcPr>
            <w:tcW w:w="666" w:type="dxa"/>
            <w:tcBorders>
              <w:left w:val="single" w:sz="2" w:space="0" w:color="000000" w:themeColor="text1"/>
              <w:right w:val="single" w:sz="2" w:space="0" w:color="000000" w:themeColor="text1"/>
            </w:tcBorders>
            <w:hideMark/>
          </w:tcPr>
          <w:p w14:paraId="12C57042" w14:textId="77777777" w:rsidR="00CA5C3C" w:rsidRPr="00075737" w:rsidRDefault="00CA5C3C" w:rsidP="005F132A">
            <w:pPr>
              <w:jc w:val="center"/>
              <w:rPr>
                <w:rFonts w:eastAsia="Times New Roman"/>
                <w:sz w:val="18"/>
                <w:szCs w:val="18"/>
              </w:rPr>
            </w:pPr>
            <w:r w:rsidRPr="00075737">
              <w:rPr>
                <w:rFonts w:eastAsia="Times New Roman"/>
                <w:sz w:val="18"/>
                <w:szCs w:val="18"/>
              </w:rPr>
              <w:t>2.3</w:t>
            </w:r>
          </w:p>
        </w:tc>
        <w:tc>
          <w:tcPr>
            <w:tcW w:w="666" w:type="dxa"/>
            <w:tcBorders>
              <w:left w:val="single" w:sz="2" w:space="0" w:color="000000" w:themeColor="text1"/>
              <w:right w:val="single" w:sz="2" w:space="0" w:color="000000" w:themeColor="text1"/>
            </w:tcBorders>
            <w:hideMark/>
          </w:tcPr>
          <w:p w14:paraId="3B705F48" w14:textId="77777777" w:rsidR="00CA5C3C" w:rsidRPr="00075737" w:rsidRDefault="00CA5C3C" w:rsidP="005F132A">
            <w:pPr>
              <w:jc w:val="center"/>
              <w:rPr>
                <w:rFonts w:eastAsia="Times New Roman"/>
                <w:sz w:val="18"/>
                <w:szCs w:val="18"/>
              </w:rPr>
            </w:pPr>
            <w:r w:rsidRPr="00075737">
              <w:rPr>
                <w:rFonts w:eastAsia="Times New Roman"/>
                <w:sz w:val="18"/>
                <w:szCs w:val="18"/>
              </w:rPr>
              <w:t>0.1</w:t>
            </w:r>
          </w:p>
        </w:tc>
        <w:tc>
          <w:tcPr>
            <w:tcW w:w="666" w:type="dxa"/>
            <w:tcBorders>
              <w:left w:val="single" w:sz="2" w:space="0" w:color="000000" w:themeColor="text1"/>
              <w:right w:val="single" w:sz="2" w:space="0" w:color="000000" w:themeColor="text1"/>
            </w:tcBorders>
            <w:hideMark/>
          </w:tcPr>
          <w:p w14:paraId="610415AF" w14:textId="77777777" w:rsidR="00CA5C3C" w:rsidRPr="00075737" w:rsidRDefault="00CA5C3C" w:rsidP="005F132A">
            <w:pPr>
              <w:jc w:val="center"/>
              <w:rPr>
                <w:rFonts w:eastAsia="Times New Roman"/>
                <w:sz w:val="18"/>
                <w:szCs w:val="18"/>
              </w:rPr>
            </w:pPr>
            <w:r w:rsidRPr="00075737">
              <w:rPr>
                <w:rFonts w:eastAsia="Times New Roman"/>
                <w:sz w:val="18"/>
                <w:szCs w:val="18"/>
              </w:rPr>
              <w:t>0.1</w:t>
            </w:r>
          </w:p>
        </w:tc>
        <w:tc>
          <w:tcPr>
            <w:tcW w:w="666" w:type="dxa"/>
            <w:tcBorders>
              <w:left w:val="single" w:sz="2" w:space="0" w:color="000000" w:themeColor="text1"/>
              <w:right w:val="single" w:sz="2" w:space="0" w:color="000000" w:themeColor="text1"/>
            </w:tcBorders>
            <w:hideMark/>
          </w:tcPr>
          <w:p w14:paraId="74C0D42E"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2498E159"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1809D7E5" w14:textId="77777777" w:rsidR="00CA5C3C" w:rsidRPr="00075737" w:rsidRDefault="00CA5C3C" w:rsidP="005F132A">
            <w:pPr>
              <w:jc w:val="center"/>
              <w:rPr>
                <w:rFonts w:eastAsia="Times New Roman"/>
                <w:sz w:val="18"/>
                <w:szCs w:val="18"/>
              </w:rPr>
            </w:pPr>
            <w:r w:rsidRPr="00075737">
              <w:rPr>
                <w:rFonts w:eastAsia="Times New Roman"/>
                <w:sz w:val="18"/>
                <w:szCs w:val="18"/>
              </w:rPr>
              <w:t>9.9%</w:t>
            </w:r>
          </w:p>
        </w:tc>
      </w:tr>
      <w:tr w:rsidR="005F132A" w:rsidRPr="00075737" w14:paraId="45E870B0" w14:textId="77777777" w:rsidTr="005C6499">
        <w:tc>
          <w:tcPr>
            <w:tcW w:w="0" w:type="auto"/>
            <w:tcBorders>
              <w:right w:val="single" w:sz="2" w:space="0" w:color="000000" w:themeColor="text1"/>
            </w:tcBorders>
            <w:hideMark/>
          </w:tcPr>
          <w:p w14:paraId="036FC77A" w14:textId="77777777" w:rsidR="00CA5C3C" w:rsidRPr="00F94BCC" w:rsidRDefault="00DE18C8">
            <w:pPr>
              <w:rPr>
                <w:rFonts w:eastAsia="Times New Roman"/>
                <w:i/>
                <w:sz w:val="18"/>
                <w:szCs w:val="18"/>
              </w:rPr>
            </w:pPr>
            <w:r w:rsidRPr="00DE18C8">
              <w:rPr>
                <w:rFonts w:eastAsia="Times New Roman"/>
                <w:i/>
                <w:sz w:val="18"/>
                <w:szCs w:val="18"/>
              </w:rPr>
              <w:t xml:space="preserve">Enterobacter </w:t>
            </w:r>
            <w:r w:rsidR="00CA5C3C" w:rsidRPr="00F94BCC">
              <w:rPr>
                <w:rFonts w:eastAsia="Times New Roman"/>
                <w:i/>
                <w:sz w:val="18"/>
                <w:szCs w:val="18"/>
              </w:rPr>
              <w:t>cloacae complex</w:t>
            </w:r>
            <w:r w:rsidR="00CA5C3C" w:rsidRPr="00F94BCC">
              <w:rPr>
                <w:rFonts w:eastAsia="Times New Roman"/>
                <w:i/>
                <w:sz w:val="18"/>
                <w:szCs w:val="18"/>
                <w:vertAlign w:val="superscript"/>
              </w:rPr>
              <w:t>†</w:t>
            </w:r>
          </w:p>
        </w:tc>
        <w:tc>
          <w:tcPr>
            <w:tcW w:w="0" w:type="auto"/>
            <w:tcBorders>
              <w:left w:val="single" w:sz="2" w:space="0" w:color="000000" w:themeColor="text1"/>
              <w:right w:val="single" w:sz="2" w:space="0" w:color="000000" w:themeColor="text1"/>
            </w:tcBorders>
            <w:hideMark/>
          </w:tcPr>
          <w:p w14:paraId="724443DF" w14:textId="77777777" w:rsidR="00CA5C3C" w:rsidRPr="00075737" w:rsidRDefault="00CA5C3C" w:rsidP="005F132A">
            <w:pPr>
              <w:jc w:val="center"/>
              <w:rPr>
                <w:rFonts w:eastAsia="Times New Roman"/>
                <w:sz w:val="18"/>
                <w:szCs w:val="18"/>
              </w:rPr>
            </w:pPr>
            <w:r w:rsidRPr="00075737">
              <w:rPr>
                <w:rFonts w:eastAsia="Times New Roman"/>
                <w:sz w:val="18"/>
                <w:szCs w:val="18"/>
              </w:rPr>
              <w:t>339</w:t>
            </w:r>
          </w:p>
        </w:tc>
        <w:tc>
          <w:tcPr>
            <w:tcW w:w="709" w:type="dxa"/>
            <w:tcBorders>
              <w:left w:val="single" w:sz="2" w:space="0" w:color="000000" w:themeColor="text1"/>
              <w:right w:val="single" w:sz="2" w:space="0" w:color="000000" w:themeColor="text1"/>
            </w:tcBorders>
            <w:hideMark/>
          </w:tcPr>
          <w:p w14:paraId="3FECB6D3" w14:textId="77777777" w:rsidR="00CA5C3C" w:rsidRPr="00075737" w:rsidRDefault="00CA5C3C" w:rsidP="005F132A">
            <w:pPr>
              <w:jc w:val="center"/>
              <w:rPr>
                <w:rFonts w:eastAsia="Times New Roman"/>
                <w:sz w:val="18"/>
                <w:szCs w:val="18"/>
              </w:rPr>
            </w:pPr>
            <w:r w:rsidRPr="00075737">
              <w:rPr>
                <w:rFonts w:eastAsia="Times New Roman"/>
                <w:sz w:val="18"/>
                <w:szCs w:val="18"/>
              </w:rPr>
              <w:t>216</w:t>
            </w:r>
          </w:p>
        </w:tc>
        <w:tc>
          <w:tcPr>
            <w:tcW w:w="710" w:type="dxa"/>
            <w:tcBorders>
              <w:left w:val="single" w:sz="2" w:space="0" w:color="000000" w:themeColor="text1"/>
              <w:right w:val="single" w:sz="2" w:space="0" w:color="000000" w:themeColor="text1"/>
            </w:tcBorders>
            <w:hideMark/>
          </w:tcPr>
          <w:p w14:paraId="772E9D62" w14:textId="77777777" w:rsidR="00CA5C3C" w:rsidRPr="00075737" w:rsidRDefault="00CA5C3C" w:rsidP="005F132A">
            <w:pPr>
              <w:jc w:val="center"/>
              <w:rPr>
                <w:rFonts w:eastAsia="Times New Roman"/>
                <w:sz w:val="18"/>
                <w:szCs w:val="18"/>
              </w:rPr>
            </w:pPr>
            <w:r w:rsidRPr="00075737">
              <w:rPr>
                <w:rFonts w:eastAsia="Times New Roman"/>
                <w:sz w:val="18"/>
                <w:szCs w:val="18"/>
              </w:rPr>
              <w:t>29</w:t>
            </w:r>
          </w:p>
        </w:tc>
        <w:tc>
          <w:tcPr>
            <w:tcW w:w="710" w:type="dxa"/>
            <w:tcBorders>
              <w:left w:val="single" w:sz="2" w:space="0" w:color="000000" w:themeColor="text1"/>
              <w:right w:val="single" w:sz="2" w:space="0" w:color="000000" w:themeColor="text1"/>
            </w:tcBorders>
            <w:hideMark/>
          </w:tcPr>
          <w:p w14:paraId="5258A58C" w14:textId="77777777" w:rsidR="00CA5C3C" w:rsidRPr="00075737" w:rsidRDefault="00CA5C3C" w:rsidP="005F132A">
            <w:pPr>
              <w:jc w:val="center"/>
              <w:rPr>
                <w:rFonts w:eastAsia="Times New Roman"/>
                <w:sz w:val="18"/>
                <w:szCs w:val="18"/>
              </w:rPr>
            </w:pPr>
            <w:r w:rsidRPr="00075737">
              <w:rPr>
                <w:rFonts w:eastAsia="Times New Roman"/>
                <w:sz w:val="18"/>
                <w:szCs w:val="18"/>
              </w:rPr>
              <w:t>7</w:t>
            </w:r>
          </w:p>
        </w:tc>
        <w:tc>
          <w:tcPr>
            <w:tcW w:w="710" w:type="dxa"/>
            <w:tcBorders>
              <w:left w:val="single" w:sz="2" w:space="0" w:color="000000" w:themeColor="text1"/>
              <w:right w:val="single" w:sz="2" w:space="0" w:color="000000" w:themeColor="text1"/>
            </w:tcBorders>
            <w:hideMark/>
          </w:tcPr>
          <w:p w14:paraId="2DD3C9E5" w14:textId="77777777" w:rsidR="00CA5C3C" w:rsidRPr="00075737" w:rsidRDefault="00CA5C3C" w:rsidP="005F132A">
            <w:pPr>
              <w:jc w:val="center"/>
              <w:rPr>
                <w:rFonts w:eastAsia="Times New Roman"/>
                <w:sz w:val="18"/>
                <w:szCs w:val="18"/>
              </w:rPr>
            </w:pPr>
            <w:r w:rsidRPr="00075737">
              <w:rPr>
                <w:rFonts w:eastAsia="Times New Roman"/>
                <w:sz w:val="18"/>
                <w:szCs w:val="18"/>
              </w:rPr>
              <w:t>29</w:t>
            </w:r>
          </w:p>
        </w:tc>
        <w:tc>
          <w:tcPr>
            <w:tcW w:w="1134" w:type="dxa"/>
            <w:tcBorders>
              <w:left w:val="single" w:sz="2" w:space="0" w:color="000000" w:themeColor="text1"/>
              <w:right w:val="single" w:sz="2" w:space="0" w:color="000000" w:themeColor="text1"/>
            </w:tcBorders>
            <w:hideMark/>
          </w:tcPr>
          <w:p w14:paraId="30F52E75"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4904174B" w14:textId="77777777" w:rsidR="00CA5C3C" w:rsidRPr="00075737" w:rsidRDefault="00CA5C3C" w:rsidP="005F132A">
            <w:pPr>
              <w:jc w:val="center"/>
              <w:rPr>
                <w:rFonts w:eastAsia="Times New Roman"/>
                <w:sz w:val="18"/>
                <w:szCs w:val="18"/>
              </w:rPr>
            </w:pPr>
            <w:r w:rsidRPr="00075737">
              <w:rPr>
                <w:rFonts w:eastAsia="Times New Roman"/>
                <w:sz w:val="18"/>
                <w:szCs w:val="18"/>
              </w:rPr>
              <w:t>32</w:t>
            </w:r>
          </w:p>
        </w:tc>
        <w:tc>
          <w:tcPr>
            <w:tcW w:w="666" w:type="dxa"/>
            <w:tcBorders>
              <w:left w:val="single" w:sz="2" w:space="0" w:color="000000" w:themeColor="text1"/>
              <w:right w:val="single" w:sz="2" w:space="0" w:color="000000" w:themeColor="text1"/>
            </w:tcBorders>
            <w:hideMark/>
          </w:tcPr>
          <w:p w14:paraId="3CFE7B74" w14:textId="77777777" w:rsidR="00CA5C3C" w:rsidRPr="00075737" w:rsidRDefault="00CA5C3C" w:rsidP="005F132A">
            <w:pPr>
              <w:jc w:val="center"/>
              <w:rPr>
                <w:rFonts w:eastAsia="Times New Roman"/>
                <w:sz w:val="18"/>
                <w:szCs w:val="18"/>
              </w:rPr>
            </w:pPr>
            <w:r w:rsidRPr="00075737">
              <w:rPr>
                <w:rFonts w:eastAsia="Times New Roman"/>
                <w:sz w:val="18"/>
                <w:szCs w:val="18"/>
              </w:rPr>
              <w:t>9</w:t>
            </w:r>
          </w:p>
        </w:tc>
        <w:tc>
          <w:tcPr>
            <w:tcW w:w="666" w:type="dxa"/>
            <w:tcBorders>
              <w:left w:val="single" w:sz="2" w:space="0" w:color="000000" w:themeColor="text1"/>
              <w:right w:val="single" w:sz="2" w:space="0" w:color="000000" w:themeColor="text1"/>
            </w:tcBorders>
            <w:hideMark/>
          </w:tcPr>
          <w:p w14:paraId="09D2D780" w14:textId="77777777" w:rsidR="00CA5C3C" w:rsidRPr="00075737" w:rsidRDefault="00CA5C3C" w:rsidP="005F132A">
            <w:pPr>
              <w:jc w:val="center"/>
              <w:rPr>
                <w:rFonts w:eastAsia="Times New Roman"/>
                <w:sz w:val="18"/>
                <w:szCs w:val="18"/>
              </w:rPr>
            </w:pPr>
            <w:r w:rsidRPr="00075737">
              <w:rPr>
                <w:rFonts w:eastAsia="Times New Roman"/>
                <w:sz w:val="18"/>
                <w:szCs w:val="18"/>
              </w:rPr>
              <w:t>4</w:t>
            </w:r>
          </w:p>
        </w:tc>
        <w:tc>
          <w:tcPr>
            <w:tcW w:w="666" w:type="dxa"/>
            <w:tcBorders>
              <w:left w:val="single" w:sz="2" w:space="0" w:color="000000" w:themeColor="text1"/>
              <w:right w:val="single" w:sz="2" w:space="0" w:color="000000" w:themeColor="text1"/>
            </w:tcBorders>
            <w:hideMark/>
          </w:tcPr>
          <w:p w14:paraId="78A2127A" w14:textId="77777777" w:rsidR="00CA5C3C" w:rsidRPr="00075737" w:rsidRDefault="00CA5C3C" w:rsidP="005F132A">
            <w:pPr>
              <w:jc w:val="center"/>
              <w:rPr>
                <w:rFonts w:eastAsia="Times New Roman"/>
                <w:sz w:val="18"/>
                <w:szCs w:val="18"/>
              </w:rPr>
            </w:pPr>
            <w:r w:rsidRPr="00075737">
              <w:rPr>
                <w:rFonts w:eastAsia="Times New Roman"/>
                <w:sz w:val="18"/>
                <w:szCs w:val="18"/>
              </w:rPr>
              <w:t>6</w:t>
            </w:r>
          </w:p>
        </w:tc>
        <w:tc>
          <w:tcPr>
            <w:tcW w:w="667" w:type="dxa"/>
            <w:tcBorders>
              <w:left w:val="single" w:sz="2" w:space="0" w:color="000000" w:themeColor="text1"/>
              <w:right w:val="single" w:sz="2" w:space="0" w:color="000000" w:themeColor="text1"/>
            </w:tcBorders>
            <w:hideMark/>
          </w:tcPr>
          <w:p w14:paraId="7CABCF5F" w14:textId="77777777" w:rsidR="00CA5C3C" w:rsidRPr="00075737" w:rsidRDefault="00CA5C3C" w:rsidP="005F132A">
            <w:pPr>
              <w:jc w:val="center"/>
              <w:rPr>
                <w:rFonts w:eastAsia="Times New Roman"/>
                <w:sz w:val="18"/>
                <w:szCs w:val="18"/>
              </w:rPr>
            </w:pPr>
            <w:r w:rsidRPr="00075737">
              <w:rPr>
                <w:rFonts w:eastAsia="Times New Roman"/>
                <w:sz w:val="18"/>
                <w:szCs w:val="18"/>
              </w:rPr>
              <w:t>6</w:t>
            </w:r>
          </w:p>
        </w:tc>
        <w:tc>
          <w:tcPr>
            <w:tcW w:w="666" w:type="dxa"/>
            <w:tcBorders>
              <w:left w:val="single" w:sz="2" w:space="0" w:color="000000" w:themeColor="text1"/>
              <w:right w:val="single" w:sz="2" w:space="0" w:color="000000" w:themeColor="text1"/>
            </w:tcBorders>
            <w:hideMark/>
          </w:tcPr>
          <w:p w14:paraId="663F75DB"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2B9946A0"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32372977"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093E7CB2"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3D427090"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38E50B1F" w14:textId="77777777" w:rsidR="00CA5C3C" w:rsidRPr="00075737" w:rsidRDefault="00CA5C3C" w:rsidP="005F132A">
            <w:pPr>
              <w:jc w:val="center"/>
              <w:rPr>
                <w:rFonts w:eastAsia="Times New Roman"/>
                <w:sz w:val="18"/>
                <w:szCs w:val="18"/>
              </w:rPr>
            </w:pPr>
          </w:p>
        </w:tc>
      </w:tr>
      <w:tr w:rsidR="005F132A" w:rsidRPr="00075737" w14:paraId="680B9462"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137F445"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5AA2B6DC"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2F4DEDD1" w14:textId="77777777" w:rsidR="00CA5C3C" w:rsidRPr="00075737" w:rsidRDefault="00CA5C3C" w:rsidP="005F132A">
            <w:pPr>
              <w:jc w:val="center"/>
              <w:rPr>
                <w:rFonts w:eastAsia="Times New Roman"/>
                <w:sz w:val="18"/>
                <w:szCs w:val="18"/>
              </w:rPr>
            </w:pPr>
            <w:r w:rsidRPr="00075737">
              <w:rPr>
                <w:rFonts w:eastAsia="Times New Roman"/>
                <w:sz w:val="18"/>
                <w:szCs w:val="18"/>
              </w:rPr>
              <w:t>63.7</w:t>
            </w:r>
          </w:p>
        </w:tc>
        <w:tc>
          <w:tcPr>
            <w:tcW w:w="710" w:type="dxa"/>
            <w:tcBorders>
              <w:left w:val="single" w:sz="2" w:space="0" w:color="000000" w:themeColor="text1"/>
              <w:right w:val="single" w:sz="2" w:space="0" w:color="000000" w:themeColor="text1"/>
            </w:tcBorders>
            <w:hideMark/>
          </w:tcPr>
          <w:p w14:paraId="5BA92C56" w14:textId="77777777" w:rsidR="00CA5C3C" w:rsidRPr="00075737" w:rsidRDefault="00CA5C3C" w:rsidP="005F132A">
            <w:pPr>
              <w:jc w:val="center"/>
              <w:rPr>
                <w:rFonts w:eastAsia="Times New Roman"/>
                <w:sz w:val="18"/>
                <w:szCs w:val="18"/>
              </w:rPr>
            </w:pPr>
            <w:r w:rsidRPr="00075737">
              <w:rPr>
                <w:rFonts w:eastAsia="Times New Roman"/>
                <w:sz w:val="18"/>
                <w:szCs w:val="18"/>
              </w:rPr>
              <w:t>8.6</w:t>
            </w:r>
          </w:p>
        </w:tc>
        <w:tc>
          <w:tcPr>
            <w:tcW w:w="710" w:type="dxa"/>
            <w:tcBorders>
              <w:left w:val="single" w:sz="2" w:space="0" w:color="000000" w:themeColor="text1"/>
              <w:right w:val="single" w:sz="2" w:space="0" w:color="000000" w:themeColor="text1"/>
            </w:tcBorders>
            <w:hideMark/>
          </w:tcPr>
          <w:p w14:paraId="0416CF0A" w14:textId="77777777" w:rsidR="00CA5C3C" w:rsidRPr="00075737" w:rsidRDefault="00CA5C3C" w:rsidP="005F132A">
            <w:pPr>
              <w:jc w:val="center"/>
              <w:rPr>
                <w:rFonts w:eastAsia="Times New Roman"/>
                <w:sz w:val="18"/>
                <w:szCs w:val="18"/>
              </w:rPr>
            </w:pPr>
            <w:r w:rsidRPr="00075737">
              <w:rPr>
                <w:rFonts w:eastAsia="Times New Roman"/>
                <w:sz w:val="18"/>
                <w:szCs w:val="18"/>
              </w:rPr>
              <w:t>2.1</w:t>
            </w:r>
          </w:p>
        </w:tc>
        <w:tc>
          <w:tcPr>
            <w:tcW w:w="710" w:type="dxa"/>
            <w:tcBorders>
              <w:left w:val="single" w:sz="2" w:space="0" w:color="000000" w:themeColor="text1"/>
              <w:right w:val="single" w:sz="2" w:space="0" w:color="000000" w:themeColor="text1"/>
            </w:tcBorders>
            <w:hideMark/>
          </w:tcPr>
          <w:p w14:paraId="7A116668" w14:textId="77777777" w:rsidR="00CA5C3C" w:rsidRPr="00075737" w:rsidRDefault="00CA5C3C" w:rsidP="005F132A">
            <w:pPr>
              <w:jc w:val="center"/>
              <w:rPr>
                <w:rFonts w:eastAsia="Times New Roman"/>
                <w:sz w:val="18"/>
                <w:szCs w:val="18"/>
              </w:rPr>
            </w:pPr>
            <w:r w:rsidRPr="00075737">
              <w:rPr>
                <w:rFonts w:eastAsia="Times New Roman"/>
                <w:sz w:val="18"/>
                <w:szCs w:val="18"/>
              </w:rPr>
              <w:t>8.6</w:t>
            </w:r>
          </w:p>
        </w:tc>
        <w:tc>
          <w:tcPr>
            <w:tcW w:w="1134" w:type="dxa"/>
            <w:tcBorders>
              <w:left w:val="single" w:sz="2" w:space="0" w:color="000000" w:themeColor="text1"/>
              <w:right w:val="single" w:sz="2" w:space="0" w:color="000000" w:themeColor="text1"/>
            </w:tcBorders>
            <w:hideMark/>
          </w:tcPr>
          <w:p w14:paraId="08929155" w14:textId="77777777" w:rsidR="00CA5C3C" w:rsidRPr="00075737" w:rsidRDefault="00CA5C3C" w:rsidP="005F132A">
            <w:pPr>
              <w:jc w:val="center"/>
              <w:rPr>
                <w:rFonts w:eastAsia="Times New Roman"/>
                <w:sz w:val="18"/>
                <w:szCs w:val="18"/>
              </w:rPr>
            </w:pPr>
            <w:r w:rsidRPr="00075737">
              <w:rPr>
                <w:rFonts w:eastAsia="Times New Roman"/>
                <w:sz w:val="18"/>
                <w:szCs w:val="18"/>
              </w:rPr>
              <w:t>82.9%</w:t>
            </w:r>
          </w:p>
        </w:tc>
        <w:tc>
          <w:tcPr>
            <w:tcW w:w="666" w:type="dxa"/>
            <w:tcBorders>
              <w:left w:val="single" w:sz="2" w:space="0" w:color="000000" w:themeColor="text1"/>
              <w:right w:val="single" w:sz="2" w:space="0" w:color="000000" w:themeColor="text1"/>
            </w:tcBorders>
            <w:hideMark/>
          </w:tcPr>
          <w:p w14:paraId="79DE0C91" w14:textId="77777777" w:rsidR="00CA5C3C" w:rsidRPr="00075737" w:rsidRDefault="00CA5C3C" w:rsidP="005F132A">
            <w:pPr>
              <w:jc w:val="center"/>
              <w:rPr>
                <w:rFonts w:eastAsia="Times New Roman"/>
                <w:sz w:val="18"/>
                <w:szCs w:val="18"/>
              </w:rPr>
            </w:pPr>
            <w:r w:rsidRPr="00075737">
              <w:rPr>
                <w:rFonts w:eastAsia="Times New Roman"/>
                <w:sz w:val="18"/>
                <w:szCs w:val="18"/>
              </w:rPr>
              <w:t>9.4</w:t>
            </w:r>
          </w:p>
        </w:tc>
        <w:tc>
          <w:tcPr>
            <w:tcW w:w="666" w:type="dxa"/>
            <w:tcBorders>
              <w:left w:val="single" w:sz="2" w:space="0" w:color="000000" w:themeColor="text1"/>
              <w:right w:val="single" w:sz="2" w:space="0" w:color="000000" w:themeColor="text1"/>
            </w:tcBorders>
            <w:hideMark/>
          </w:tcPr>
          <w:p w14:paraId="56951AB3" w14:textId="77777777" w:rsidR="00CA5C3C" w:rsidRPr="00075737" w:rsidRDefault="00CA5C3C" w:rsidP="005F132A">
            <w:pPr>
              <w:jc w:val="center"/>
              <w:rPr>
                <w:rFonts w:eastAsia="Times New Roman"/>
                <w:sz w:val="18"/>
                <w:szCs w:val="18"/>
              </w:rPr>
            </w:pPr>
            <w:r w:rsidRPr="00075737">
              <w:rPr>
                <w:rFonts w:eastAsia="Times New Roman"/>
                <w:sz w:val="18"/>
                <w:szCs w:val="18"/>
              </w:rPr>
              <w:t>2.7</w:t>
            </w:r>
          </w:p>
        </w:tc>
        <w:tc>
          <w:tcPr>
            <w:tcW w:w="666" w:type="dxa"/>
            <w:tcBorders>
              <w:left w:val="single" w:sz="2" w:space="0" w:color="000000" w:themeColor="text1"/>
              <w:right w:val="single" w:sz="2" w:space="0" w:color="000000" w:themeColor="text1"/>
            </w:tcBorders>
            <w:hideMark/>
          </w:tcPr>
          <w:p w14:paraId="312E20F7" w14:textId="77777777" w:rsidR="00CA5C3C" w:rsidRPr="00075737" w:rsidRDefault="00CA5C3C" w:rsidP="005F132A">
            <w:pPr>
              <w:jc w:val="center"/>
              <w:rPr>
                <w:rFonts w:eastAsia="Times New Roman"/>
                <w:sz w:val="18"/>
                <w:szCs w:val="18"/>
              </w:rPr>
            </w:pPr>
            <w:r w:rsidRPr="00075737">
              <w:rPr>
                <w:rFonts w:eastAsia="Times New Roman"/>
                <w:sz w:val="18"/>
                <w:szCs w:val="18"/>
              </w:rPr>
              <w:t>1.2</w:t>
            </w:r>
          </w:p>
        </w:tc>
        <w:tc>
          <w:tcPr>
            <w:tcW w:w="666" w:type="dxa"/>
            <w:tcBorders>
              <w:left w:val="single" w:sz="2" w:space="0" w:color="000000" w:themeColor="text1"/>
              <w:right w:val="single" w:sz="2" w:space="0" w:color="000000" w:themeColor="text1"/>
            </w:tcBorders>
            <w:hideMark/>
          </w:tcPr>
          <w:p w14:paraId="51B378B3" w14:textId="77777777" w:rsidR="00CA5C3C" w:rsidRPr="00075737" w:rsidRDefault="00CA5C3C" w:rsidP="005F132A">
            <w:pPr>
              <w:jc w:val="center"/>
              <w:rPr>
                <w:rFonts w:eastAsia="Times New Roman"/>
                <w:sz w:val="18"/>
                <w:szCs w:val="18"/>
              </w:rPr>
            </w:pPr>
            <w:r w:rsidRPr="00075737">
              <w:rPr>
                <w:rFonts w:eastAsia="Times New Roman"/>
                <w:sz w:val="18"/>
                <w:szCs w:val="18"/>
              </w:rPr>
              <w:t>1.8</w:t>
            </w:r>
          </w:p>
        </w:tc>
        <w:tc>
          <w:tcPr>
            <w:tcW w:w="667" w:type="dxa"/>
            <w:tcBorders>
              <w:left w:val="single" w:sz="2" w:space="0" w:color="000000" w:themeColor="text1"/>
              <w:right w:val="single" w:sz="2" w:space="0" w:color="000000" w:themeColor="text1"/>
            </w:tcBorders>
            <w:hideMark/>
          </w:tcPr>
          <w:p w14:paraId="6D2A441D" w14:textId="77777777" w:rsidR="00CA5C3C" w:rsidRPr="00075737" w:rsidRDefault="00CA5C3C" w:rsidP="005F132A">
            <w:pPr>
              <w:jc w:val="center"/>
              <w:rPr>
                <w:rFonts w:eastAsia="Times New Roman"/>
                <w:sz w:val="18"/>
                <w:szCs w:val="18"/>
              </w:rPr>
            </w:pPr>
            <w:r w:rsidRPr="00075737">
              <w:rPr>
                <w:rFonts w:eastAsia="Times New Roman"/>
                <w:sz w:val="18"/>
                <w:szCs w:val="18"/>
              </w:rPr>
              <w:t>1.8</w:t>
            </w:r>
          </w:p>
        </w:tc>
        <w:tc>
          <w:tcPr>
            <w:tcW w:w="666" w:type="dxa"/>
            <w:tcBorders>
              <w:left w:val="single" w:sz="2" w:space="0" w:color="000000" w:themeColor="text1"/>
              <w:right w:val="single" w:sz="2" w:space="0" w:color="000000" w:themeColor="text1"/>
            </w:tcBorders>
            <w:hideMark/>
          </w:tcPr>
          <w:p w14:paraId="09840B9E" w14:textId="77777777" w:rsidR="00CA5C3C" w:rsidRPr="00075737" w:rsidRDefault="00CA5C3C" w:rsidP="005F132A">
            <w:pPr>
              <w:jc w:val="center"/>
              <w:rPr>
                <w:rFonts w:eastAsia="Times New Roman"/>
                <w:sz w:val="18"/>
                <w:szCs w:val="18"/>
              </w:rPr>
            </w:pPr>
            <w:r w:rsidRPr="00075737">
              <w:rPr>
                <w:rFonts w:eastAsia="Times New Roman"/>
                <w:sz w:val="18"/>
                <w:szCs w:val="18"/>
              </w:rPr>
              <w:t>0.3</w:t>
            </w:r>
          </w:p>
        </w:tc>
        <w:tc>
          <w:tcPr>
            <w:tcW w:w="666" w:type="dxa"/>
            <w:tcBorders>
              <w:left w:val="single" w:sz="2" w:space="0" w:color="000000" w:themeColor="text1"/>
              <w:right w:val="single" w:sz="2" w:space="0" w:color="000000" w:themeColor="text1"/>
            </w:tcBorders>
            <w:hideMark/>
          </w:tcPr>
          <w:p w14:paraId="29BE6246"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07CCE1EA"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5A037040"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50F62177"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0D6EA062" w14:textId="77777777" w:rsidR="00CA5C3C" w:rsidRPr="00075737" w:rsidRDefault="00CA5C3C" w:rsidP="005F132A">
            <w:pPr>
              <w:jc w:val="center"/>
              <w:rPr>
                <w:rFonts w:eastAsia="Times New Roman"/>
                <w:sz w:val="18"/>
                <w:szCs w:val="18"/>
              </w:rPr>
            </w:pPr>
            <w:r w:rsidRPr="00075737">
              <w:rPr>
                <w:rFonts w:eastAsia="Times New Roman"/>
                <w:sz w:val="18"/>
                <w:szCs w:val="18"/>
              </w:rPr>
              <w:t>17.1%</w:t>
            </w:r>
          </w:p>
        </w:tc>
      </w:tr>
      <w:tr w:rsidR="005F132A" w:rsidRPr="00075737" w14:paraId="6BCCDFDB" w14:textId="77777777" w:rsidTr="005C6499">
        <w:tc>
          <w:tcPr>
            <w:tcW w:w="0" w:type="auto"/>
            <w:tcBorders>
              <w:right w:val="single" w:sz="2" w:space="0" w:color="000000" w:themeColor="text1"/>
            </w:tcBorders>
            <w:hideMark/>
          </w:tcPr>
          <w:p w14:paraId="1F486A11" w14:textId="77777777" w:rsidR="00CA5C3C" w:rsidRPr="00F94BCC" w:rsidRDefault="004A5955">
            <w:pPr>
              <w:rPr>
                <w:rFonts w:eastAsia="Times New Roman"/>
                <w:i/>
                <w:sz w:val="18"/>
                <w:szCs w:val="18"/>
              </w:rPr>
            </w:pPr>
            <w:r w:rsidRPr="004A5955">
              <w:rPr>
                <w:rFonts w:eastAsia="Times New Roman"/>
                <w:i/>
                <w:sz w:val="18"/>
                <w:szCs w:val="18"/>
              </w:rPr>
              <w:t>Proteus</w:t>
            </w:r>
            <w:r w:rsidR="00CA5C3C" w:rsidRPr="00F94BCC">
              <w:rPr>
                <w:rFonts w:eastAsia="Times New Roman"/>
                <w:i/>
                <w:sz w:val="18"/>
                <w:szCs w:val="18"/>
              </w:rPr>
              <w:t xml:space="preserve"> mirabilis </w:t>
            </w:r>
          </w:p>
        </w:tc>
        <w:tc>
          <w:tcPr>
            <w:tcW w:w="0" w:type="auto"/>
            <w:tcBorders>
              <w:left w:val="single" w:sz="2" w:space="0" w:color="000000" w:themeColor="text1"/>
              <w:right w:val="single" w:sz="2" w:space="0" w:color="000000" w:themeColor="text1"/>
            </w:tcBorders>
            <w:hideMark/>
          </w:tcPr>
          <w:p w14:paraId="3819C852" w14:textId="77777777" w:rsidR="00CA5C3C" w:rsidRPr="00075737" w:rsidRDefault="00CA5C3C" w:rsidP="005F132A">
            <w:pPr>
              <w:jc w:val="center"/>
              <w:rPr>
                <w:rFonts w:eastAsia="Times New Roman"/>
                <w:sz w:val="18"/>
                <w:szCs w:val="18"/>
              </w:rPr>
            </w:pPr>
            <w:r w:rsidRPr="00075737">
              <w:rPr>
                <w:rFonts w:eastAsia="Times New Roman"/>
                <w:sz w:val="18"/>
                <w:szCs w:val="18"/>
              </w:rPr>
              <w:t>212</w:t>
            </w:r>
          </w:p>
        </w:tc>
        <w:tc>
          <w:tcPr>
            <w:tcW w:w="709" w:type="dxa"/>
            <w:tcBorders>
              <w:left w:val="single" w:sz="2" w:space="0" w:color="000000" w:themeColor="text1"/>
              <w:right w:val="single" w:sz="2" w:space="0" w:color="000000" w:themeColor="text1"/>
            </w:tcBorders>
            <w:hideMark/>
          </w:tcPr>
          <w:p w14:paraId="5026C9D4" w14:textId="77777777" w:rsidR="00CA5C3C" w:rsidRPr="00075737" w:rsidRDefault="00CA5C3C" w:rsidP="005F132A">
            <w:pPr>
              <w:jc w:val="center"/>
              <w:rPr>
                <w:rFonts w:eastAsia="Times New Roman"/>
                <w:sz w:val="18"/>
                <w:szCs w:val="18"/>
              </w:rPr>
            </w:pPr>
            <w:r w:rsidRPr="00075737">
              <w:rPr>
                <w:rFonts w:eastAsia="Times New Roman"/>
                <w:sz w:val="18"/>
                <w:szCs w:val="18"/>
              </w:rPr>
              <w:t>117</w:t>
            </w:r>
          </w:p>
        </w:tc>
        <w:tc>
          <w:tcPr>
            <w:tcW w:w="710" w:type="dxa"/>
            <w:tcBorders>
              <w:left w:val="single" w:sz="2" w:space="0" w:color="000000" w:themeColor="text1"/>
              <w:right w:val="single" w:sz="2" w:space="0" w:color="000000" w:themeColor="text1"/>
            </w:tcBorders>
            <w:hideMark/>
          </w:tcPr>
          <w:p w14:paraId="7B19B443" w14:textId="77777777" w:rsidR="00CA5C3C" w:rsidRPr="00075737" w:rsidRDefault="00CA5C3C" w:rsidP="005F132A">
            <w:pPr>
              <w:jc w:val="center"/>
              <w:rPr>
                <w:rFonts w:eastAsia="Times New Roman"/>
                <w:sz w:val="18"/>
                <w:szCs w:val="18"/>
              </w:rPr>
            </w:pPr>
            <w:r w:rsidRPr="00075737">
              <w:rPr>
                <w:rFonts w:eastAsia="Times New Roman"/>
                <w:sz w:val="18"/>
                <w:szCs w:val="18"/>
              </w:rPr>
              <w:t>50</w:t>
            </w:r>
          </w:p>
        </w:tc>
        <w:tc>
          <w:tcPr>
            <w:tcW w:w="710" w:type="dxa"/>
            <w:tcBorders>
              <w:left w:val="single" w:sz="2" w:space="0" w:color="000000" w:themeColor="text1"/>
              <w:right w:val="single" w:sz="2" w:space="0" w:color="000000" w:themeColor="text1"/>
            </w:tcBorders>
            <w:hideMark/>
          </w:tcPr>
          <w:p w14:paraId="24255DE9" w14:textId="77777777" w:rsidR="00CA5C3C" w:rsidRPr="00075737" w:rsidRDefault="00CA5C3C" w:rsidP="005F132A">
            <w:pPr>
              <w:jc w:val="center"/>
              <w:rPr>
                <w:rFonts w:eastAsia="Times New Roman"/>
                <w:sz w:val="18"/>
                <w:szCs w:val="18"/>
              </w:rPr>
            </w:pPr>
            <w:r w:rsidRPr="00075737">
              <w:rPr>
                <w:rFonts w:eastAsia="Times New Roman"/>
                <w:sz w:val="18"/>
                <w:szCs w:val="18"/>
              </w:rPr>
              <w:t>21</w:t>
            </w:r>
          </w:p>
        </w:tc>
        <w:tc>
          <w:tcPr>
            <w:tcW w:w="710" w:type="dxa"/>
            <w:tcBorders>
              <w:left w:val="single" w:sz="2" w:space="0" w:color="000000" w:themeColor="text1"/>
              <w:right w:val="single" w:sz="2" w:space="0" w:color="000000" w:themeColor="text1"/>
            </w:tcBorders>
            <w:hideMark/>
          </w:tcPr>
          <w:p w14:paraId="489078F4" w14:textId="77777777" w:rsidR="00CA5C3C" w:rsidRPr="00075737" w:rsidRDefault="00CA5C3C" w:rsidP="005F132A">
            <w:pPr>
              <w:jc w:val="center"/>
              <w:rPr>
                <w:rFonts w:eastAsia="Times New Roman"/>
                <w:sz w:val="18"/>
                <w:szCs w:val="18"/>
              </w:rPr>
            </w:pPr>
            <w:r w:rsidRPr="00075737">
              <w:rPr>
                <w:rFonts w:eastAsia="Times New Roman"/>
                <w:sz w:val="18"/>
                <w:szCs w:val="18"/>
              </w:rPr>
              <w:t>13</w:t>
            </w:r>
          </w:p>
        </w:tc>
        <w:tc>
          <w:tcPr>
            <w:tcW w:w="1134" w:type="dxa"/>
            <w:tcBorders>
              <w:left w:val="single" w:sz="2" w:space="0" w:color="000000" w:themeColor="text1"/>
              <w:right w:val="single" w:sz="2" w:space="0" w:color="000000" w:themeColor="text1"/>
            </w:tcBorders>
            <w:hideMark/>
          </w:tcPr>
          <w:p w14:paraId="697D0327"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7BEED930" w14:textId="77777777" w:rsidR="00CA5C3C" w:rsidRPr="00075737" w:rsidRDefault="00CA5C3C" w:rsidP="005F132A">
            <w:pPr>
              <w:jc w:val="center"/>
              <w:rPr>
                <w:rFonts w:eastAsia="Times New Roman"/>
                <w:sz w:val="18"/>
                <w:szCs w:val="18"/>
              </w:rPr>
            </w:pPr>
            <w:r w:rsidRPr="00075737">
              <w:rPr>
                <w:rFonts w:eastAsia="Times New Roman"/>
                <w:sz w:val="18"/>
                <w:szCs w:val="18"/>
              </w:rPr>
              <w:t>9</w:t>
            </w:r>
          </w:p>
        </w:tc>
        <w:tc>
          <w:tcPr>
            <w:tcW w:w="666" w:type="dxa"/>
            <w:tcBorders>
              <w:left w:val="single" w:sz="2" w:space="0" w:color="000000" w:themeColor="text1"/>
              <w:right w:val="single" w:sz="2" w:space="0" w:color="000000" w:themeColor="text1"/>
            </w:tcBorders>
            <w:hideMark/>
          </w:tcPr>
          <w:p w14:paraId="150F0778"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7C9E31F9"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5BF0242D"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7" w:type="dxa"/>
            <w:tcBorders>
              <w:left w:val="single" w:sz="2" w:space="0" w:color="000000" w:themeColor="text1"/>
              <w:right w:val="single" w:sz="2" w:space="0" w:color="000000" w:themeColor="text1"/>
            </w:tcBorders>
            <w:hideMark/>
          </w:tcPr>
          <w:p w14:paraId="26A8C2F7"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334C57CC"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12D0ED53"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742D562D"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0A4FF210"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7" w:type="dxa"/>
            <w:tcBorders>
              <w:left w:val="single" w:sz="2" w:space="0" w:color="000000" w:themeColor="text1"/>
              <w:right w:val="single" w:sz="2" w:space="0" w:color="000000" w:themeColor="text1"/>
            </w:tcBorders>
            <w:hideMark/>
          </w:tcPr>
          <w:p w14:paraId="38061113"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5BC9E7C2" w14:textId="77777777" w:rsidR="00CA5C3C" w:rsidRPr="00075737" w:rsidRDefault="00CA5C3C" w:rsidP="005F132A">
            <w:pPr>
              <w:jc w:val="center"/>
              <w:rPr>
                <w:rFonts w:eastAsia="Times New Roman"/>
                <w:sz w:val="18"/>
                <w:szCs w:val="18"/>
              </w:rPr>
            </w:pPr>
          </w:p>
        </w:tc>
      </w:tr>
      <w:tr w:rsidR="005F132A" w:rsidRPr="00075737" w14:paraId="23F53603"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2DB4C15B"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0A6A9003"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35236F4C" w14:textId="77777777" w:rsidR="00CA5C3C" w:rsidRPr="00075737" w:rsidRDefault="00CA5C3C" w:rsidP="005F132A">
            <w:pPr>
              <w:jc w:val="center"/>
              <w:rPr>
                <w:rFonts w:eastAsia="Times New Roman"/>
                <w:sz w:val="18"/>
                <w:szCs w:val="18"/>
              </w:rPr>
            </w:pPr>
            <w:r w:rsidRPr="00075737">
              <w:rPr>
                <w:rFonts w:eastAsia="Times New Roman"/>
                <w:sz w:val="18"/>
                <w:szCs w:val="18"/>
              </w:rPr>
              <w:t>55.2</w:t>
            </w:r>
          </w:p>
        </w:tc>
        <w:tc>
          <w:tcPr>
            <w:tcW w:w="710" w:type="dxa"/>
            <w:tcBorders>
              <w:left w:val="single" w:sz="2" w:space="0" w:color="000000" w:themeColor="text1"/>
              <w:right w:val="single" w:sz="2" w:space="0" w:color="000000" w:themeColor="text1"/>
            </w:tcBorders>
            <w:hideMark/>
          </w:tcPr>
          <w:p w14:paraId="2B7196E5" w14:textId="77777777" w:rsidR="00CA5C3C" w:rsidRPr="00075737" w:rsidRDefault="00CA5C3C" w:rsidP="005F132A">
            <w:pPr>
              <w:jc w:val="center"/>
              <w:rPr>
                <w:rFonts w:eastAsia="Times New Roman"/>
                <w:sz w:val="18"/>
                <w:szCs w:val="18"/>
              </w:rPr>
            </w:pPr>
            <w:r w:rsidRPr="00075737">
              <w:rPr>
                <w:rFonts w:eastAsia="Times New Roman"/>
                <w:sz w:val="18"/>
                <w:szCs w:val="18"/>
              </w:rPr>
              <w:t>23.6</w:t>
            </w:r>
          </w:p>
        </w:tc>
        <w:tc>
          <w:tcPr>
            <w:tcW w:w="710" w:type="dxa"/>
            <w:tcBorders>
              <w:left w:val="single" w:sz="2" w:space="0" w:color="000000" w:themeColor="text1"/>
              <w:right w:val="single" w:sz="2" w:space="0" w:color="000000" w:themeColor="text1"/>
            </w:tcBorders>
            <w:hideMark/>
          </w:tcPr>
          <w:p w14:paraId="3FB69254" w14:textId="77777777" w:rsidR="00CA5C3C" w:rsidRPr="00075737" w:rsidRDefault="00CA5C3C" w:rsidP="005F132A">
            <w:pPr>
              <w:jc w:val="center"/>
              <w:rPr>
                <w:rFonts w:eastAsia="Times New Roman"/>
                <w:sz w:val="18"/>
                <w:szCs w:val="18"/>
              </w:rPr>
            </w:pPr>
            <w:r w:rsidRPr="00075737">
              <w:rPr>
                <w:rFonts w:eastAsia="Times New Roman"/>
                <w:sz w:val="18"/>
                <w:szCs w:val="18"/>
              </w:rPr>
              <w:t>9.9</w:t>
            </w:r>
          </w:p>
        </w:tc>
        <w:tc>
          <w:tcPr>
            <w:tcW w:w="710" w:type="dxa"/>
            <w:tcBorders>
              <w:left w:val="single" w:sz="2" w:space="0" w:color="000000" w:themeColor="text1"/>
              <w:right w:val="single" w:sz="2" w:space="0" w:color="000000" w:themeColor="text1"/>
            </w:tcBorders>
            <w:hideMark/>
          </w:tcPr>
          <w:p w14:paraId="5A1870C3" w14:textId="77777777" w:rsidR="00CA5C3C" w:rsidRPr="00075737" w:rsidRDefault="00CA5C3C" w:rsidP="005F132A">
            <w:pPr>
              <w:jc w:val="center"/>
              <w:rPr>
                <w:rFonts w:eastAsia="Times New Roman"/>
                <w:sz w:val="18"/>
                <w:szCs w:val="18"/>
              </w:rPr>
            </w:pPr>
            <w:r w:rsidRPr="00075737">
              <w:rPr>
                <w:rFonts w:eastAsia="Times New Roman"/>
                <w:sz w:val="18"/>
                <w:szCs w:val="18"/>
              </w:rPr>
              <w:t>6.1</w:t>
            </w:r>
          </w:p>
        </w:tc>
        <w:tc>
          <w:tcPr>
            <w:tcW w:w="1134" w:type="dxa"/>
            <w:tcBorders>
              <w:left w:val="single" w:sz="2" w:space="0" w:color="000000" w:themeColor="text1"/>
              <w:right w:val="single" w:sz="2" w:space="0" w:color="000000" w:themeColor="text1"/>
            </w:tcBorders>
            <w:hideMark/>
          </w:tcPr>
          <w:p w14:paraId="76AAD748" w14:textId="77777777" w:rsidR="00CA5C3C" w:rsidRPr="00075737" w:rsidRDefault="00CA5C3C" w:rsidP="005F132A">
            <w:pPr>
              <w:jc w:val="center"/>
              <w:rPr>
                <w:rFonts w:eastAsia="Times New Roman"/>
                <w:sz w:val="18"/>
                <w:szCs w:val="18"/>
              </w:rPr>
            </w:pPr>
            <w:r w:rsidRPr="00075737">
              <w:rPr>
                <w:rFonts w:eastAsia="Times New Roman"/>
                <w:sz w:val="18"/>
                <w:szCs w:val="18"/>
              </w:rPr>
              <w:t>94.8%</w:t>
            </w:r>
          </w:p>
        </w:tc>
        <w:tc>
          <w:tcPr>
            <w:tcW w:w="666" w:type="dxa"/>
            <w:tcBorders>
              <w:left w:val="single" w:sz="2" w:space="0" w:color="000000" w:themeColor="text1"/>
              <w:right w:val="single" w:sz="2" w:space="0" w:color="000000" w:themeColor="text1"/>
            </w:tcBorders>
            <w:hideMark/>
          </w:tcPr>
          <w:p w14:paraId="1311DB52" w14:textId="77777777" w:rsidR="00CA5C3C" w:rsidRPr="00075737" w:rsidRDefault="00CA5C3C" w:rsidP="005F132A">
            <w:pPr>
              <w:jc w:val="center"/>
              <w:rPr>
                <w:rFonts w:eastAsia="Times New Roman"/>
                <w:sz w:val="18"/>
                <w:szCs w:val="18"/>
              </w:rPr>
            </w:pPr>
            <w:r w:rsidRPr="00075737">
              <w:rPr>
                <w:rFonts w:eastAsia="Times New Roman"/>
                <w:sz w:val="18"/>
                <w:szCs w:val="18"/>
              </w:rPr>
              <w:t>4.2</w:t>
            </w:r>
          </w:p>
        </w:tc>
        <w:tc>
          <w:tcPr>
            <w:tcW w:w="666" w:type="dxa"/>
            <w:tcBorders>
              <w:left w:val="single" w:sz="2" w:space="0" w:color="000000" w:themeColor="text1"/>
              <w:right w:val="single" w:sz="2" w:space="0" w:color="000000" w:themeColor="text1"/>
            </w:tcBorders>
            <w:hideMark/>
          </w:tcPr>
          <w:p w14:paraId="2F179D80" w14:textId="77777777" w:rsidR="00CA5C3C" w:rsidRPr="00075737" w:rsidRDefault="00CA5C3C" w:rsidP="005F132A">
            <w:pPr>
              <w:jc w:val="center"/>
              <w:rPr>
                <w:rFonts w:eastAsia="Times New Roman"/>
                <w:sz w:val="18"/>
                <w:szCs w:val="18"/>
              </w:rPr>
            </w:pPr>
            <w:r w:rsidRPr="00075737">
              <w:rPr>
                <w:rFonts w:eastAsia="Times New Roman"/>
                <w:sz w:val="18"/>
                <w:szCs w:val="18"/>
              </w:rPr>
              <w:t>0.5</w:t>
            </w:r>
          </w:p>
        </w:tc>
        <w:tc>
          <w:tcPr>
            <w:tcW w:w="666" w:type="dxa"/>
            <w:tcBorders>
              <w:left w:val="single" w:sz="2" w:space="0" w:color="000000" w:themeColor="text1"/>
              <w:right w:val="single" w:sz="2" w:space="0" w:color="000000" w:themeColor="text1"/>
            </w:tcBorders>
            <w:hideMark/>
          </w:tcPr>
          <w:p w14:paraId="380200A1"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3FDF051E" w14:textId="77777777" w:rsidR="00CA5C3C" w:rsidRPr="00075737" w:rsidRDefault="00CA5C3C" w:rsidP="005F132A">
            <w:pPr>
              <w:jc w:val="center"/>
              <w:rPr>
                <w:rFonts w:eastAsia="Times New Roman"/>
                <w:sz w:val="18"/>
                <w:szCs w:val="18"/>
              </w:rPr>
            </w:pPr>
            <w:r w:rsidRPr="00075737">
              <w:rPr>
                <w:rFonts w:eastAsia="Times New Roman"/>
                <w:sz w:val="18"/>
                <w:szCs w:val="18"/>
              </w:rPr>
              <w:t>0.5</w:t>
            </w:r>
          </w:p>
        </w:tc>
        <w:tc>
          <w:tcPr>
            <w:tcW w:w="667" w:type="dxa"/>
            <w:tcBorders>
              <w:left w:val="single" w:sz="2" w:space="0" w:color="000000" w:themeColor="text1"/>
              <w:right w:val="single" w:sz="2" w:space="0" w:color="000000" w:themeColor="text1"/>
            </w:tcBorders>
            <w:hideMark/>
          </w:tcPr>
          <w:p w14:paraId="69D42790"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0AFEAD16"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6742DC70"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0B0F9E6A"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713D074C"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7" w:type="dxa"/>
            <w:tcBorders>
              <w:left w:val="single" w:sz="2" w:space="0" w:color="000000" w:themeColor="text1"/>
              <w:right w:val="single" w:sz="2" w:space="0" w:color="000000" w:themeColor="text1"/>
            </w:tcBorders>
            <w:hideMark/>
          </w:tcPr>
          <w:p w14:paraId="4D4DD0B1"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3D4BE74C" w14:textId="77777777" w:rsidR="00CA5C3C" w:rsidRPr="00075737" w:rsidRDefault="00CA5C3C" w:rsidP="005F132A">
            <w:pPr>
              <w:jc w:val="center"/>
              <w:rPr>
                <w:rFonts w:eastAsia="Times New Roman"/>
                <w:sz w:val="18"/>
                <w:szCs w:val="18"/>
              </w:rPr>
            </w:pPr>
            <w:r w:rsidRPr="00075737">
              <w:rPr>
                <w:rFonts w:eastAsia="Times New Roman"/>
                <w:sz w:val="18"/>
                <w:szCs w:val="18"/>
              </w:rPr>
              <w:t>5.2%</w:t>
            </w:r>
          </w:p>
        </w:tc>
      </w:tr>
      <w:tr w:rsidR="005F132A" w:rsidRPr="00075737" w14:paraId="040DC6B1" w14:textId="77777777" w:rsidTr="005C6499">
        <w:tc>
          <w:tcPr>
            <w:tcW w:w="0" w:type="auto"/>
            <w:tcBorders>
              <w:right w:val="single" w:sz="2" w:space="0" w:color="000000" w:themeColor="text1"/>
            </w:tcBorders>
            <w:hideMark/>
          </w:tcPr>
          <w:p w14:paraId="1125DE0B" w14:textId="77777777" w:rsidR="00CA5C3C" w:rsidRPr="00F94BCC" w:rsidRDefault="00B014C0">
            <w:pPr>
              <w:rPr>
                <w:rFonts w:eastAsia="Times New Roman"/>
                <w:i/>
                <w:sz w:val="18"/>
                <w:szCs w:val="18"/>
              </w:rPr>
            </w:pPr>
            <w:r w:rsidRPr="00B014C0">
              <w:rPr>
                <w:rFonts w:eastAsia="Times New Roman"/>
                <w:i/>
                <w:sz w:val="18"/>
                <w:szCs w:val="18"/>
              </w:rPr>
              <w:t>Serratia</w:t>
            </w:r>
            <w:r w:rsidR="00CA5C3C" w:rsidRPr="00F94BCC">
              <w:rPr>
                <w:rFonts w:eastAsia="Times New Roman"/>
                <w:i/>
                <w:sz w:val="18"/>
                <w:szCs w:val="18"/>
              </w:rPr>
              <w:t xml:space="preserve"> marcescens</w:t>
            </w:r>
            <w:r w:rsidR="00CA5C3C" w:rsidRPr="00F94BCC">
              <w:rPr>
                <w:rFonts w:eastAsia="Times New Roman"/>
                <w:i/>
                <w:sz w:val="18"/>
                <w:szCs w:val="18"/>
                <w:vertAlign w:val="superscript"/>
              </w:rPr>
              <w:t>†</w:t>
            </w:r>
          </w:p>
        </w:tc>
        <w:tc>
          <w:tcPr>
            <w:tcW w:w="0" w:type="auto"/>
            <w:tcBorders>
              <w:left w:val="single" w:sz="2" w:space="0" w:color="000000" w:themeColor="text1"/>
              <w:right w:val="single" w:sz="2" w:space="0" w:color="000000" w:themeColor="text1"/>
            </w:tcBorders>
            <w:hideMark/>
          </w:tcPr>
          <w:p w14:paraId="74C41460" w14:textId="77777777" w:rsidR="00CA5C3C" w:rsidRPr="00075737" w:rsidRDefault="00CA5C3C" w:rsidP="005F132A">
            <w:pPr>
              <w:jc w:val="center"/>
              <w:rPr>
                <w:rFonts w:eastAsia="Times New Roman"/>
                <w:sz w:val="18"/>
                <w:szCs w:val="18"/>
              </w:rPr>
            </w:pPr>
            <w:r w:rsidRPr="00075737">
              <w:rPr>
                <w:rFonts w:eastAsia="Times New Roman"/>
                <w:sz w:val="18"/>
                <w:szCs w:val="18"/>
              </w:rPr>
              <w:t>138</w:t>
            </w:r>
          </w:p>
        </w:tc>
        <w:tc>
          <w:tcPr>
            <w:tcW w:w="709" w:type="dxa"/>
            <w:tcBorders>
              <w:left w:val="single" w:sz="2" w:space="0" w:color="000000" w:themeColor="text1"/>
              <w:right w:val="single" w:sz="2" w:space="0" w:color="000000" w:themeColor="text1"/>
            </w:tcBorders>
            <w:hideMark/>
          </w:tcPr>
          <w:p w14:paraId="214E928D" w14:textId="77777777" w:rsidR="00CA5C3C" w:rsidRPr="00075737" w:rsidRDefault="00CA5C3C" w:rsidP="005F132A">
            <w:pPr>
              <w:jc w:val="center"/>
              <w:rPr>
                <w:rFonts w:eastAsia="Times New Roman"/>
                <w:sz w:val="18"/>
                <w:szCs w:val="18"/>
              </w:rPr>
            </w:pPr>
            <w:r w:rsidRPr="00075737">
              <w:rPr>
                <w:rFonts w:eastAsia="Times New Roman"/>
                <w:sz w:val="18"/>
                <w:szCs w:val="18"/>
              </w:rPr>
              <w:t>124</w:t>
            </w:r>
          </w:p>
        </w:tc>
        <w:tc>
          <w:tcPr>
            <w:tcW w:w="710" w:type="dxa"/>
            <w:tcBorders>
              <w:left w:val="single" w:sz="2" w:space="0" w:color="000000" w:themeColor="text1"/>
              <w:right w:val="single" w:sz="2" w:space="0" w:color="000000" w:themeColor="text1"/>
            </w:tcBorders>
            <w:hideMark/>
          </w:tcPr>
          <w:p w14:paraId="5E58DF72" w14:textId="77777777" w:rsidR="00CA5C3C" w:rsidRPr="00075737" w:rsidRDefault="00CA5C3C" w:rsidP="005F132A">
            <w:pPr>
              <w:jc w:val="center"/>
              <w:rPr>
                <w:rFonts w:eastAsia="Times New Roman"/>
                <w:sz w:val="18"/>
                <w:szCs w:val="18"/>
              </w:rPr>
            </w:pPr>
            <w:r w:rsidRPr="00075737">
              <w:rPr>
                <w:rFonts w:eastAsia="Times New Roman"/>
                <w:sz w:val="18"/>
                <w:szCs w:val="18"/>
              </w:rPr>
              <w:t>4</w:t>
            </w:r>
          </w:p>
        </w:tc>
        <w:tc>
          <w:tcPr>
            <w:tcW w:w="710" w:type="dxa"/>
            <w:tcBorders>
              <w:left w:val="single" w:sz="2" w:space="0" w:color="000000" w:themeColor="text1"/>
              <w:right w:val="single" w:sz="2" w:space="0" w:color="000000" w:themeColor="text1"/>
            </w:tcBorders>
            <w:hideMark/>
          </w:tcPr>
          <w:p w14:paraId="12810969" w14:textId="77777777" w:rsidR="00CA5C3C" w:rsidRPr="00075737" w:rsidRDefault="00CA5C3C" w:rsidP="005F132A">
            <w:pPr>
              <w:jc w:val="center"/>
              <w:rPr>
                <w:rFonts w:eastAsia="Times New Roman"/>
                <w:sz w:val="18"/>
                <w:szCs w:val="18"/>
              </w:rPr>
            </w:pPr>
            <w:r w:rsidRPr="00075737">
              <w:rPr>
                <w:rFonts w:eastAsia="Times New Roman"/>
                <w:sz w:val="18"/>
                <w:szCs w:val="18"/>
              </w:rPr>
              <w:t>4</w:t>
            </w:r>
          </w:p>
        </w:tc>
        <w:tc>
          <w:tcPr>
            <w:tcW w:w="710" w:type="dxa"/>
            <w:tcBorders>
              <w:left w:val="single" w:sz="2" w:space="0" w:color="000000" w:themeColor="text1"/>
              <w:right w:val="single" w:sz="2" w:space="0" w:color="000000" w:themeColor="text1"/>
            </w:tcBorders>
            <w:hideMark/>
          </w:tcPr>
          <w:p w14:paraId="7B52B152"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1134" w:type="dxa"/>
            <w:tcBorders>
              <w:left w:val="single" w:sz="2" w:space="0" w:color="000000" w:themeColor="text1"/>
              <w:right w:val="single" w:sz="2" w:space="0" w:color="000000" w:themeColor="text1"/>
            </w:tcBorders>
            <w:hideMark/>
          </w:tcPr>
          <w:p w14:paraId="2E698F20"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22A48DAD"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1DDBF187"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19CD8D0E" w14:textId="77777777" w:rsidR="00CA5C3C" w:rsidRPr="00075737" w:rsidRDefault="00CA5C3C" w:rsidP="005F132A">
            <w:pPr>
              <w:jc w:val="center"/>
              <w:rPr>
                <w:rFonts w:eastAsia="Times New Roman"/>
                <w:sz w:val="18"/>
                <w:szCs w:val="18"/>
              </w:rPr>
            </w:pPr>
            <w:r w:rsidRPr="00075737">
              <w:rPr>
                <w:rFonts w:eastAsia="Times New Roman"/>
                <w:sz w:val="18"/>
                <w:szCs w:val="18"/>
              </w:rPr>
              <w:t>3</w:t>
            </w:r>
          </w:p>
        </w:tc>
        <w:tc>
          <w:tcPr>
            <w:tcW w:w="666" w:type="dxa"/>
            <w:tcBorders>
              <w:left w:val="single" w:sz="2" w:space="0" w:color="000000" w:themeColor="text1"/>
              <w:right w:val="single" w:sz="2" w:space="0" w:color="000000" w:themeColor="text1"/>
            </w:tcBorders>
            <w:hideMark/>
          </w:tcPr>
          <w:p w14:paraId="7DA910B9"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7" w:type="dxa"/>
            <w:tcBorders>
              <w:left w:val="single" w:sz="2" w:space="0" w:color="000000" w:themeColor="text1"/>
              <w:right w:val="single" w:sz="2" w:space="0" w:color="000000" w:themeColor="text1"/>
            </w:tcBorders>
            <w:hideMark/>
          </w:tcPr>
          <w:p w14:paraId="59F383B7"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6" w:type="dxa"/>
            <w:tcBorders>
              <w:left w:val="single" w:sz="2" w:space="0" w:color="000000" w:themeColor="text1"/>
              <w:right w:val="single" w:sz="2" w:space="0" w:color="000000" w:themeColor="text1"/>
            </w:tcBorders>
            <w:hideMark/>
          </w:tcPr>
          <w:p w14:paraId="6E10DCB8"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17F06580"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7C728D47"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51A2DC52"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6FEB159F"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28A95AD1" w14:textId="77777777" w:rsidR="00CA5C3C" w:rsidRPr="00075737" w:rsidRDefault="00CA5C3C" w:rsidP="005F132A">
            <w:pPr>
              <w:jc w:val="center"/>
              <w:rPr>
                <w:rFonts w:eastAsia="Times New Roman"/>
                <w:sz w:val="18"/>
                <w:szCs w:val="18"/>
              </w:rPr>
            </w:pPr>
          </w:p>
        </w:tc>
      </w:tr>
      <w:tr w:rsidR="005F132A" w:rsidRPr="00075737" w14:paraId="58B2BEE8"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1F8C21B6"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5DF5F970"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406F31FA" w14:textId="77777777" w:rsidR="00CA5C3C" w:rsidRPr="00075737" w:rsidRDefault="00CA5C3C" w:rsidP="005F132A">
            <w:pPr>
              <w:jc w:val="center"/>
              <w:rPr>
                <w:rFonts w:eastAsia="Times New Roman"/>
                <w:sz w:val="18"/>
                <w:szCs w:val="18"/>
              </w:rPr>
            </w:pPr>
            <w:r w:rsidRPr="00075737">
              <w:rPr>
                <w:rFonts w:eastAsia="Times New Roman"/>
                <w:sz w:val="18"/>
                <w:szCs w:val="18"/>
              </w:rPr>
              <w:t>89.9</w:t>
            </w:r>
          </w:p>
        </w:tc>
        <w:tc>
          <w:tcPr>
            <w:tcW w:w="710" w:type="dxa"/>
            <w:tcBorders>
              <w:left w:val="single" w:sz="2" w:space="0" w:color="000000" w:themeColor="text1"/>
              <w:right w:val="single" w:sz="2" w:space="0" w:color="000000" w:themeColor="text1"/>
            </w:tcBorders>
            <w:hideMark/>
          </w:tcPr>
          <w:p w14:paraId="04DD1A11" w14:textId="77777777" w:rsidR="00CA5C3C" w:rsidRPr="00075737" w:rsidRDefault="00CA5C3C" w:rsidP="005F132A">
            <w:pPr>
              <w:jc w:val="center"/>
              <w:rPr>
                <w:rFonts w:eastAsia="Times New Roman"/>
                <w:sz w:val="18"/>
                <w:szCs w:val="18"/>
              </w:rPr>
            </w:pPr>
            <w:r w:rsidRPr="00075737">
              <w:rPr>
                <w:rFonts w:eastAsia="Times New Roman"/>
                <w:sz w:val="18"/>
                <w:szCs w:val="18"/>
              </w:rPr>
              <w:t>2.9</w:t>
            </w:r>
          </w:p>
        </w:tc>
        <w:tc>
          <w:tcPr>
            <w:tcW w:w="710" w:type="dxa"/>
            <w:tcBorders>
              <w:left w:val="single" w:sz="2" w:space="0" w:color="000000" w:themeColor="text1"/>
              <w:right w:val="single" w:sz="2" w:space="0" w:color="000000" w:themeColor="text1"/>
            </w:tcBorders>
            <w:hideMark/>
          </w:tcPr>
          <w:p w14:paraId="313DB446" w14:textId="77777777" w:rsidR="00CA5C3C" w:rsidRPr="00075737" w:rsidRDefault="00CA5C3C" w:rsidP="005F132A">
            <w:pPr>
              <w:jc w:val="center"/>
              <w:rPr>
                <w:rFonts w:eastAsia="Times New Roman"/>
                <w:sz w:val="18"/>
                <w:szCs w:val="18"/>
              </w:rPr>
            </w:pPr>
            <w:r w:rsidRPr="00075737">
              <w:rPr>
                <w:rFonts w:eastAsia="Times New Roman"/>
                <w:sz w:val="18"/>
                <w:szCs w:val="18"/>
              </w:rPr>
              <w:t>2.9</w:t>
            </w:r>
          </w:p>
        </w:tc>
        <w:tc>
          <w:tcPr>
            <w:tcW w:w="710" w:type="dxa"/>
            <w:tcBorders>
              <w:left w:val="single" w:sz="2" w:space="0" w:color="000000" w:themeColor="text1"/>
              <w:right w:val="single" w:sz="2" w:space="0" w:color="000000" w:themeColor="text1"/>
            </w:tcBorders>
            <w:hideMark/>
          </w:tcPr>
          <w:p w14:paraId="2739C0D1"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1134" w:type="dxa"/>
            <w:tcBorders>
              <w:left w:val="single" w:sz="2" w:space="0" w:color="000000" w:themeColor="text1"/>
              <w:right w:val="single" w:sz="2" w:space="0" w:color="000000" w:themeColor="text1"/>
            </w:tcBorders>
            <w:hideMark/>
          </w:tcPr>
          <w:p w14:paraId="6DA6CE2A" w14:textId="77777777" w:rsidR="00CA5C3C" w:rsidRPr="00075737" w:rsidRDefault="00CA5C3C" w:rsidP="005F132A">
            <w:pPr>
              <w:jc w:val="center"/>
              <w:rPr>
                <w:rFonts w:eastAsia="Times New Roman"/>
                <w:sz w:val="18"/>
                <w:szCs w:val="18"/>
              </w:rPr>
            </w:pPr>
            <w:r w:rsidRPr="00075737">
              <w:rPr>
                <w:rFonts w:eastAsia="Times New Roman"/>
                <w:sz w:val="18"/>
                <w:szCs w:val="18"/>
              </w:rPr>
              <w:t>95.7%</w:t>
            </w:r>
          </w:p>
        </w:tc>
        <w:tc>
          <w:tcPr>
            <w:tcW w:w="666" w:type="dxa"/>
            <w:tcBorders>
              <w:left w:val="single" w:sz="2" w:space="0" w:color="000000" w:themeColor="text1"/>
              <w:right w:val="single" w:sz="2" w:space="0" w:color="000000" w:themeColor="text1"/>
            </w:tcBorders>
            <w:hideMark/>
          </w:tcPr>
          <w:p w14:paraId="334022F6" w14:textId="77777777" w:rsidR="00CA5C3C" w:rsidRPr="00075737" w:rsidRDefault="00CA5C3C" w:rsidP="005F132A">
            <w:pPr>
              <w:jc w:val="center"/>
              <w:rPr>
                <w:rFonts w:eastAsia="Times New Roman"/>
                <w:sz w:val="18"/>
                <w:szCs w:val="18"/>
              </w:rPr>
            </w:pPr>
            <w:r w:rsidRPr="00075737">
              <w:rPr>
                <w:rFonts w:eastAsia="Times New Roman"/>
                <w:sz w:val="18"/>
                <w:szCs w:val="18"/>
              </w:rPr>
              <w:t>0.7</w:t>
            </w:r>
          </w:p>
        </w:tc>
        <w:tc>
          <w:tcPr>
            <w:tcW w:w="666" w:type="dxa"/>
            <w:tcBorders>
              <w:left w:val="single" w:sz="2" w:space="0" w:color="000000" w:themeColor="text1"/>
              <w:right w:val="single" w:sz="2" w:space="0" w:color="000000" w:themeColor="text1"/>
            </w:tcBorders>
            <w:hideMark/>
          </w:tcPr>
          <w:p w14:paraId="3E89FB07" w14:textId="77777777" w:rsidR="00CA5C3C" w:rsidRPr="00075737" w:rsidRDefault="00CA5C3C" w:rsidP="005F132A">
            <w:pPr>
              <w:jc w:val="center"/>
              <w:rPr>
                <w:rFonts w:eastAsia="Times New Roman"/>
                <w:sz w:val="18"/>
                <w:szCs w:val="18"/>
              </w:rPr>
            </w:pPr>
            <w:r w:rsidRPr="00075737">
              <w:rPr>
                <w:rFonts w:eastAsia="Times New Roman"/>
                <w:sz w:val="18"/>
                <w:szCs w:val="18"/>
              </w:rPr>
              <w:t>0.7</w:t>
            </w:r>
          </w:p>
        </w:tc>
        <w:tc>
          <w:tcPr>
            <w:tcW w:w="666" w:type="dxa"/>
            <w:tcBorders>
              <w:left w:val="single" w:sz="2" w:space="0" w:color="000000" w:themeColor="text1"/>
              <w:right w:val="single" w:sz="2" w:space="0" w:color="000000" w:themeColor="text1"/>
            </w:tcBorders>
            <w:hideMark/>
          </w:tcPr>
          <w:p w14:paraId="4E701635" w14:textId="77777777" w:rsidR="00CA5C3C" w:rsidRPr="00075737" w:rsidRDefault="00CA5C3C" w:rsidP="005F132A">
            <w:pPr>
              <w:jc w:val="center"/>
              <w:rPr>
                <w:rFonts w:eastAsia="Times New Roman"/>
                <w:sz w:val="18"/>
                <w:szCs w:val="18"/>
              </w:rPr>
            </w:pPr>
            <w:r w:rsidRPr="00075737">
              <w:rPr>
                <w:rFonts w:eastAsia="Times New Roman"/>
                <w:sz w:val="18"/>
                <w:szCs w:val="18"/>
              </w:rPr>
              <w:t>2.2</w:t>
            </w:r>
          </w:p>
        </w:tc>
        <w:tc>
          <w:tcPr>
            <w:tcW w:w="666" w:type="dxa"/>
            <w:tcBorders>
              <w:left w:val="single" w:sz="2" w:space="0" w:color="000000" w:themeColor="text1"/>
              <w:right w:val="single" w:sz="2" w:space="0" w:color="000000" w:themeColor="text1"/>
            </w:tcBorders>
            <w:hideMark/>
          </w:tcPr>
          <w:p w14:paraId="3D10C0DA"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7" w:type="dxa"/>
            <w:tcBorders>
              <w:left w:val="single" w:sz="2" w:space="0" w:color="000000" w:themeColor="text1"/>
              <w:right w:val="single" w:sz="2" w:space="0" w:color="000000" w:themeColor="text1"/>
            </w:tcBorders>
            <w:hideMark/>
          </w:tcPr>
          <w:p w14:paraId="46C33D9E" w14:textId="77777777" w:rsidR="00CA5C3C" w:rsidRPr="00075737" w:rsidRDefault="00CA5C3C" w:rsidP="005F132A">
            <w:pPr>
              <w:jc w:val="center"/>
              <w:rPr>
                <w:rFonts w:eastAsia="Times New Roman"/>
                <w:sz w:val="18"/>
                <w:szCs w:val="18"/>
              </w:rPr>
            </w:pPr>
            <w:r w:rsidRPr="00075737">
              <w:rPr>
                <w:rFonts w:eastAsia="Times New Roman"/>
                <w:sz w:val="18"/>
                <w:szCs w:val="18"/>
              </w:rPr>
              <w:t>0.7</w:t>
            </w:r>
          </w:p>
        </w:tc>
        <w:tc>
          <w:tcPr>
            <w:tcW w:w="666" w:type="dxa"/>
            <w:tcBorders>
              <w:left w:val="single" w:sz="2" w:space="0" w:color="000000" w:themeColor="text1"/>
              <w:right w:val="single" w:sz="2" w:space="0" w:color="000000" w:themeColor="text1"/>
            </w:tcBorders>
            <w:hideMark/>
          </w:tcPr>
          <w:p w14:paraId="4B1FA8BF"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189972C4"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51D498B4"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63F30083"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7C679A98"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2DA2C6D6" w14:textId="77777777" w:rsidR="00CA5C3C" w:rsidRPr="00075737" w:rsidRDefault="00CA5C3C" w:rsidP="005F132A">
            <w:pPr>
              <w:jc w:val="center"/>
              <w:rPr>
                <w:rFonts w:eastAsia="Times New Roman"/>
                <w:sz w:val="18"/>
                <w:szCs w:val="18"/>
              </w:rPr>
            </w:pPr>
            <w:r w:rsidRPr="00075737">
              <w:rPr>
                <w:rFonts w:eastAsia="Times New Roman"/>
                <w:sz w:val="18"/>
                <w:szCs w:val="18"/>
              </w:rPr>
              <w:t>4.3%</w:t>
            </w:r>
          </w:p>
        </w:tc>
      </w:tr>
      <w:tr w:rsidR="005F132A" w:rsidRPr="00075737" w14:paraId="1B557336" w14:textId="77777777" w:rsidTr="005C6499">
        <w:tc>
          <w:tcPr>
            <w:tcW w:w="0" w:type="auto"/>
            <w:tcBorders>
              <w:right w:val="single" w:sz="2" w:space="0" w:color="000000" w:themeColor="text1"/>
            </w:tcBorders>
            <w:hideMark/>
          </w:tcPr>
          <w:p w14:paraId="5C52A8D7" w14:textId="77777777" w:rsidR="00CA5C3C" w:rsidRPr="00F94BCC" w:rsidRDefault="0002717D" w:rsidP="0002717D">
            <w:pPr>
              <w:rPr>
                <w:rFonts w:eastAsia="Times New Roman"/>
                <w:i/>
                <w:sz w:val="18"/>
                <w:szCs w:val="18"/>
              </w:rPr>
            </w:pPr>
            <w:r w:rsidRPr="0002717D">
              <w:rPr>
                <w:rFonts w:eastAsia="Times New Roman"/>
                <w:i/>
                <w:sz w:val="18"/>
                <w:szCs w:val="18"/>
              </w:rPr>
              <w:t>Klebsiella</w:t>
            </w:r>
            <w:r w:rsidR="00CA5C3C" w:rsidRPr="00F94BCC">
              <w:rPr>
                <w:rFonts w:eastAsia="Times New Roman"/>
                <w:i/>
                <w:sz w:val="18"/>
                <w:szCs w:val="18"/>
              </w:rPr>
              <w:t xml:space="preserve"> </w:t>
            </w:r>
            <w:proofErr w:type="spellStart"/>
            <w:r w:rsidR="00CA5C3C" w:rsidRPr="00F94BCC">
              <w:rPr>
                <w:rFonts w:eastAsia="Times New Roman"/>
                <w:i/>
                <w:sz w:val="18"/>
                <w:szCs w:val="18"/>
              </w:rPr>
              <w:t>oxytoca</w:t>
            </w:r>
            <w:proofErr w:type="spellEnd"/>
            <w:r w:rsidR="00CA5C3C" w:rsidRPr="00F94BCC">
              <w:rPr>
                <w:rFonts w:eastAsia="Times New Roman"/>
                <w:i/>
                <w:sz w:val="18"/>
                <w:szCs w:val="18"/>
                <w:vertAlign w:val="superscript"/>
              </w:rPr>
              <w:t>*</w:t>
            </w:r>
          </w:p>
        </w:tc>
        <w:tc>
          <w:tcPr>
            <w:tcW w:w="0" w:type="auto"/>
            <w:tcBorders>
              <w:left w:val="single" w:sz="2" w:space="0" w:color="000000" w:themeColor="text1"/>
              <w:right w:val="single" w:sz="2" w:space="0" w:color="000000" w:themeColor="text1"/>
            </w:tcBorders>
            <w:hideMark/>
          </w:tcPr>
          <w:p w14:paraId="6A2422C9" w14:textId="77777777" w:rsidR="00CA5C3C" w:rsidRPr="00075737" w:rsidRDefault="00CA5C3C" w:rsidP="005F132A">
            <w:pPr>
              <w:jc w:val="center"/>
              <w:rPr>
                <w:rFonts w:eastAsia="Times New Roman"/>
                <w:sz w:val="18"/>
                <w:szCs w:val="18"/>
              </w:rPr>
            </w:pPr>
            <w:r w:rsidRPr="00075737">
              <w:rPr>
                <w:rFonts w:eastAsia="Times New Roman"/>
                <w:sz w:val="18"/>
                <w:szCs w:val="18"/>
              </w:rPr>
              <w:t>234</w:t>
            </w:r>
          </w:p>
        </w:tc>
        <w:tc>
          <w:tcPr>
            <w:tcW w:w="709" w:type="dxa"/>
            <w:tcBorders>
              <w:left w:val="single" w:sz="2" w:space="0" w:color="000000" w:themeColor="text1"/>
              <w:right w:val="single" w:sz="2" w:space="0" w:color="000000" w:themeColor="text1"/>
            </w:tcBorders>
            <w:hideMark/>
          </w:tcPr>
          <w:p w14:paraId="07575B54" w14:textId="77777777" w:rsidR="00CA5C3C" w:rsidRPr="00075737" w:rsidRDefault="00CA5C3C" w:rsidP="005F132A">
            <w:pPr>
              <w:jc w:val="center"/>
              <w:rPr>
                <w:rFonts w:eastAsia="Times New Roman"/>
                <w:sz w:val="18"/>
                <w:szCs w:val="18"/>
              </w:rPr>
            </w:pPr>
            <w:r w:rsidRPr="00075737">
              <w:rPr>
                <w:rFonts w:eastAsia="Times New Roman"/>
                <w:sz w:val="18"/>
                <w:szCs w:val="18"/>
              </w:rPr>
              <w:t>61</w:t>
            </w:r>
          </w:p>
        </w:tc>
        <w:tc>
          <w:tcPr>
            <w:tcW w:w="710" w:type="dxa"/>
            <w:tcBorders>
              <w:left w:val="single" w:sz="2" w:space="0" w:color="000000" w:themeColor="text1"/>
              <w:right w:val="single" w:sz="2" w:space="0" w:color="000000" w:themeColor="text1"/>
            </w:tcBorders>
            <w:hideMark/>
          </w:tcPr>
          <w:p w14:paraId="3D5764FB" w14:textId="77777777" w:rsidR="00CA5C3C" w:rsidRPr="00075737" w:rsidRDefault="00CA5C3C" w:rsidP="005F132A">
            <w:pPr>
              <w:jc w:val="center"/>
              <w:rPr>
                <w:rFonts w:eastAsia="Times New Roman"/>
                <w:sz w:val="18"/>
                <w:szCs w:val="18"/>
              </w:rPr>
            </w:pPr>
            <w:r w:rsidRPr="00075737">
              <w:rPr>
                <w:rFonts w:eastAsia="Times New Roman"/>
                <w:sz w:val="18"/>
                <w:szCs w:val="18"/>
              </w:rPr>
              <w:t>130</w:t>
            </w:r>
          </w:p>
        </w:tc>
        <w:tc>
          <w:tcPr>
            <w:tcW w:w="710" w:type="dxa"/>
            <w:tcBorders>
              <w:left w:val="single" w:sz="2" w:space="0" w:color="000000" w:themeColor="text1"/>
              <w:right w:val="single" w:sz="2" w:space="0" w:color="000000" w:themeColor="text1"/>
            </w:tcBorders>
            <w:hideMark/>
          </w:tcPr>
          <w:p w14:paraId="5CC9C540" w14:textId="77777777" w:rsidR="00CA5C3C" w:rsidRPr="00075737" w:rsidRDefault="00CA5C3C" w:rsidP="005F132A">
            <w:pPr>
              <w:jc w:val="center"/>
              <w:rPr>
                <w:rFonts w:eastAsia="Times New Roman"/>
                <w:sz w:val="18"/>
                <w:szCs w:val="18"/>
              </w:rPr>
            </w:pPr>
            <w:r w:rsidRPr="00075737">
              <w:rPr>
                <w:rFonts w:eastAsia="Times New Roman"/>
                <w:sz w:val="18"/>
                <w:szCs w:val="18"/>
              </w:rPr>
              <w:t>2</w:t>
            </w:r>
          </w:p>
        </w:tc>
        <w:tc>
          <w:tcPr>
            <w:tcW w:w="710" w:type="dxa"/>
            <w:tcBorders>
              <w:left w:val="single" w:sz="2" w:space="0" w:color="000000" w:themeColor="text1"/>
              <w:right w:val="single" w:sz="2" w:space="0" w:color="000000" w:themeColor="text1"/>
            </w:tcBorders>
            <w:hideMark/>
          </w:tcPr>
          <w:p w14:paraId="43A120CF" w14:textId="77777777" w:rsidR="00CA5C3C" w:rsidRPr="00075737" w:rsidRDefault="00CA5C3C" w:rsidP="005F132A">
            <w:pPr>
              <w:jc w:val="center"/>
              <w:rPr>
                <w:rFonts w:eastAsia="Times New Roman"/>
                <w:sz w:val="18"/>
                <w:szCs w:val="18"/>
              </w:rPr>
            </w:pPr>
            <w:r w:rsidRPr="00075737">
              <w:rPr>
                <w:rFonts w:eastAsia="Times New Roman"/>
                <w:sz w:val="18"/>
                <w:szCs w:val="18"/>
              </w:rPr>
              <w:t>14</w:t>
            </w:r>
          </w:p>
        </w:tc>
        <w:tc>
          <w:tcPr>
            <w:tcW w:w="1134" w:type="dxa"/>
            <w:tcBorders>
              <w:left w:val="single" w:sz="2" w:space="0" w:color="000000" w:themeColor="text1"/>
              <w:right w:val="single" w:sz="2" w:space="0" w:color="000000" w:themeColor="text1"/>
            </w:tcBorders>
            <w:hideMark/>
          </w:tcPr>
          <w:p w14:paraId="17748902"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6CB8C31A" w14:textId="77777777" w:rsidR="00CA5C3C" w:rsidRPr="00075737" w:rsidRDefault="00CA5C3C" w:rsidP="005F132A">
            <w:pPr>
              <w:jc w:val="center"/>
              <w:rPr>
                <w:rFonts w:eastAsia="Times New Roman"/>
                <w:sz w:val="18"/>
                <w:szCs w:val="18"/>
              </w:rPr>
            </w:pPr>
            <w:r w:rsidRPr="00075737">
              <w:rPr>
                <w:rFonts w:eastAsia="Times New Roman"/>
                <w:sz w:val="18"/>
                <w:szCs w:val="18"/>
              </w:rPr>
              <w:t>20</w:t>
            </w:r>
          </w:p>
        </w:tc>
        <w:tc>
          <w:tcPr>
            <w:tcW w:w="666" w:type="dxa"/>
            <w:tcBorders>
              <w:left w:val="single" w:sz="2" w:space="0" w:color="000000" w:themeColor="text1"/>
              <w:right w:val="single" w:sz="2" w:space="0" w:color="000000" w:themeColor="text1"/>
            </w:tcBorders>
            <w:hideMark/>
          </w:tcPr>
          <w:p w14:paraId="0721B130" w14:textId="77777777" w:rsidR="00CA5C3C" w:rsidRPr="00075737" w:rsidRDefault="00CA5C3C" w:rsidP="005F132A">
            <w:pPr>
              <w:jc w:val="center"/>
              <w:rPr>
                <w:rFonts w:eastAsia="Times New Roman"/>
                <w:sz w:val="18"/>
                <w:szCs w:val="18"/>
              </w:rPr>
            </w:pPr>
            <w:r w:rsidRPr="00075737">
              <w:rPr>
                <w:rFonts w:eastAsia="Times New Roman"/>
                <w:sz w:val="18"/>
                <w:szCs w:val="18"/>
              </w:rPr>
              <w:t>2</w:t>
            </w:r>
          </w:p>
        </w:tc>
        <w:tc>
          <w:tcPr>
            <w:tcW w:w="666" w:type="dxa"/>
            <w:tcBorders>
              <w:left w:val="single" w:sz="2" w:space="0" w:color="000000" w:themeColor="text1"/>
              <w:right w:val="single" w:sz="2" w:space="0" w:color="000000" w:themeColor="text1"/>
            </w:tcBorders>
            <w:hideMark/>
          </w:tcPr>
          <w:p w14:paraId="329731EA" w14:textId="77777777" w:rsidR="00CA5C3C" w:rsidRPr="00075737" w:rsidRDefault="00CA5C3C" w:rsidP="005F132A">
            <w:pPr>
              <w:jc w:val="center"/>
              <w:rPr>
                <w:rFonts w:eastAsia="Times New Roman"/>
                <w:sz w:val="18"/>
                <w:szCs w:val="18"/>
              </w:rPr>
            </w:pPr>
            <w:r w:rsidRPr="00075737">
              <w:rPr>
                <w:rFonts w:eastAsia="Times New Roman"/>
                <w:sz w:val="18"/>
                <w:szCs w:val="18"/>
              </w:rPr>
              <w:t>2</w:t>
            </w:r>
          </w:p>
        </w:tc>
        <w:tc>
          <w:tcPr>
            <w:tcW w:w="666" w:type="dxa"/>
            <w:tcBorders>
              <w:left w:val="single" w:sz="2" w:space="0" w:color="000000" w:themeColor="text1"/>
              <w:right w:val="single" w:sz="2" w:space="0" w:color="000000" w:themeColor="text1"/>
            </w:tcBorders>
            <w:hideMark/>
          </w:tcPr>
          <w:p w14:paraId="6D62AFAD"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667" w:type="dxa"/>
            <w:tcBorders>
              <w:left w:val="single" w:sz="2" w:space="0" w:color="000000" w:themeColor="text1"/>
              <w:right w:val="single" w:sz="2" w:space="0" w:color="000000" w:themeColor="text1"/>
            </w:tcBorders>
            <w:hideMark/>
          </w:tcPr>
          <w:p w14:paraId="7DFA7F99" w14:textId="77777777" w:rsidR="00CA5C3C" w:rsidRPr="00075737" w:rsidRDefault="00CA5C3C" w:rsidP="005F132A">
            <w:pPr>
              <w:jc w:val="center"/>
              <w:rPr>
                <w:rFonts w:eastAsia="Times New Roman"/>
                <w:sz w:val="18"/>
                <w:szCs w:val="18"/>
              </w:rPr>
            </w:pPr>
            <w:r w:rsidRPr="00075737">
              <w:rPr>
                <w:rFonts w:eastAsia="Times New Roman"/>
                <w:sz w:val="18"/>
                <w:szCs w:val="18"/>
              </w:rPr>
              <w:t>2</w:t>
            </w:r>
          </w:p>
        </w:tc>
        <w:tc>
          <w:tcPr>
            <w:tcW w:w="666" w:type="dxa"/>
            <w:tcBorders>
              <w:left w:val="single" w:sz="2" w:space="0" w:color="000000" w:themeColor="text1"/>
              <w:right w:val="single" w:sz="2" w:space="0" w:color="000000" w:themeColor="text1"/>
            </w:tcBorders>
            <w:hideMark/>
          </w:tcPr>
          <w:p w14:paraId="0DFE0540"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651C14AE"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01524C67"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4D49C231"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21ABA32D"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509FBE54" w14:textId="77777777" w:rsidR="00CA5C3C" w:rsidRPr="00075737" w:rsidRDefault="00CA5C3C" w:rsidP="005F132A">
            <w:pPr>
              <w:jc w:val="center"/>
              <w:rPr>
                <w:rFonts w:eastAsia="Times New Roman"/>
                <w:sz w:val="18"/>
                <w:szCs w:val="18"/>
              </w:rPr>
            </w:pPr>
          </w:p>
        </w:tc>
      </w:tr>
      <w:tr w:rsidR="005F132A" w:rsidRPr="00075737" w14:paraId="488EDD8C"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831982A"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61A749EA"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69CB7ADC" w14:textId="77777777" w:rsidR="00CA5C3C" w:rsidRPr="00075737" w:rsidRDefault="00CA5C3C" w:rsidP="005F132A">
            <w:pPr>
              <w:jc w:val="center"/>
              <w:rPr>
                <w:rFonts w:eastAsia="Times New Roman"/>
                <w:sz w:val="18"/>
                <w:szCs w:val="18"/>
              </w:rPr>
            </w:pPr>
            <w:r w:rsidRPr="00075737">
              <w:rPr>
                <w:rFonts w:eastAsia="Times New Roman"/>
                <w:sz w:val="18"/>
                <w:szCs w:val="18"/>
              </w:rPr>
              <w:t>26.1</w:t>
            </w:r>
          </w:p>
        </w:tc>
        <w:tc>
          <w:tcPr>
            <w:tcW w:w="710" w:type="dxa"/>
            <w:tcBorders>
              <w:left w:val="single" w:sz="2" w:space="0" w:color="000000" w:themeColor="text1"/>
              <w:right w:val="single" w:sz="2" w:space="0" w:color="000000" w:themeColor="text1"/>
            </w:tcBorders>
            <w:hideMark/>
          </w:tcPr>
          <w:p w14:paraId="3E35367E" w14:textId="77777777" w:rsidR="00CA5C3C" w:rsidRPr="00075737" w:rsidRDefault="00CA5C3C" w:rsidP="005F132A">
            <w:pPr>
              <w:jc w:val="center"/>
              <w:rPr>
                <w:rFonts w:eastAsia="Times New Roman"/>
                <w:sz w:val="18"/>
                <w:szCs w:val="18"/>
              </w:rPr>
            </w:pPr>
            <w:r w:rsidRPr="00075737">
              <w:rPr>
                <w:rFonts w:eastAsia="Times New Roman"/>
                <w:sz w:val="18"/>
                <w:szCs w:val="18"/>
              </w:rPr>
              <w:t>55.6</w:t>
            </w:r>
          </w:p>
        </w:tc>
        <w:tc>
          <w:tcPr>
            <w:tcW w:w="710" w:type="dxa"/>
            <w:tcBorders>
              <w:left w:val="single" w:sz="2" w:space="0" w:color="000000" w:themeColor="text1"/>
              <w:right w:val="single" w:sz="2" w:space="0" w:color="000000" w:themeColor="text1"/>
            </w:tcBorders>
            <w:hideMark/>
          </w:tcPr>
          <w:p w14:paraId="1A78612F" w14:textId="77777777" w:rsidR="00CA5C3C" w:rsidRPr="00075737" w:rsidRDefault="00CA5C3C" w:rsidP="005F132A">
            <w:pPr>
              <w:jc w:val="center"/>
              <w:rPr>
                <w:rFonts w:eastAsia="Times New Roman"/>
                <w:sz w:val="18"/>
                <w:szCs w:val="18"/>
              </w:rPr>
            </w:pPr>
            <w:r w:rsidRPr="00075737">
              <w:rPr>
                <w:rFonts w:eastAsia="Times New Roman"/>
                <w:sz w:val="18"/>
                <w:szCs w:val="18"/>
              </w:rPr>
              <w:t>0.9</w:t>
            </w:r>
          </w:p>
        </w:tc>
        <w:tc>
          <w:tcPr>
            <w:tcW w:w="710" w:type="dxa"/>
            <w:tcBorders>
              <w:left w:val="single" w:sz="2" w:space="0" w:color="000000" w:themeColor="text1"/>
              <w:right w:val="single" w:sz="2" w:space="0" w:color="000000" w:themeColor="text1"/>
            </w:tcBorders>
            <w:hideMark/>
          </w:tcPr>
          <w:p w14:paraId="173500A6" w14:textId="77777777" w:rsidR="00CA5C3C" w:rsidRPr="00075737" w:rsidRDefault="00CA5C3C" w:rsidP="005F132A">
            <w:pPr>
              <w:jc w:val="center"/>
              <w:rPr>
                <w:rFonts w:eastAsia="Times New Roman"/>
                <w:sz w:val="18"/>
                <w:szCs w:val="18"/>
              </w:rPr>
            </w:pPr>
            <w:r w:rsidRPr="00075737">
              <w:rPr>
                <w:rFonts w:eastAsia="Times New Roman"/>
                <w:sz w:val="18"/>
                <w:szCs w:val="18"/>
              </w:rPr>
              <w:t>6.0</w:t>
            </w:r>
          </w:p>
        </w:tc>
        <w:tc>
          <w:tcPr>
            <w:tcW w:w="1134" w:type="dxa"/>
            <w:tcBorders>
              <w:left w:val="single" w:sz="2" w:space="0" w:color="000000" w:themeColor="text1"/>
              <w:right w:val="single" w:sz="2" w:space="0" w:color="000000" w:themeColor="text1"/>
            </w:tcBorders>
            <w:hideMark/>
          </w:tcPr>
          <w:p w14:paraId="67669919" w14:textId="77777777" w:rsidR="00CA5C3C" w:rsidRPr="00075737" w:rsidRDefault="00CA5C3C" w:rsidP="005F132A">
            <w:pPr>
              <w:jc w:val="center"/>
              <w:rPr>
                <w:rFonts w:eastAsia="Times New Roman"/>
                <w:sz w:val="18"/>
                <w:szCs w:val="18"/>
              </w:rPr>
            </w:pPr>
            <w:r w:rsidRPr="00075737">
              <w:rPr>
                <w:rFonts w:eastAsia="Times New Roman"/>
                <w:sz w:val="18"/>
                <w:szCs w:val="18"/>
              </w:rPr>
              <w:t>88.5%</w:t>
            </w:r>
          </w:p>
        </w:tc>
        <w:tc>
          <w:tcPr>
            <w:tcW w:w="666" w:type="dxa"/>
            <w:tcBorders>
              <w:left w:val="single" w:sz="2" w:space="0" w:color="000000" w:themeColor="text1"/>
              <w:right w:val="single" w:sz="2" w:space="0" w:color="000000" w:themeColor="text1"/>
            </w:tcBorders>
            <w:hideMark/>
          </w:tcPr>
          <w:p w14:paraId="660C4825" w14:textId="77777777" w:rsidR="00CA5C3C" w:rsidRPr="00075737" w:rsidRDefault="00CA5C3C" w:rsidP="005F132A">
            <w:pPr>
              <w:jc w:val="center"/>
              <w:rPr>
                <w:rFonts w:eastAsia="Times New Roman"/>
                <w:sz w:val="18"/>
                <w:szCs w:val="18"/>
              </w:rPr>
            </w:pPr>
            <w:r w:rsidRPr="00075737">
              <w:rPr>
                <w:rFonts w:eastAsia="Times New Roman"/>
                <w:sz w:val="18"/>
                <w:szCs w:val="18"/>
              </w:rPr>
              <w:t>8.5</w:t>
            </w:r>
          </w:p>
        </w:tc>
        <w:tc>
          <w:tcPr>
            <w:tcW w:w="666" w:type="dxa"/>
            <w:tcBorders>
              <w:left w:val="single" w:sz="2" w:space="0" w:color="000000" w:themeColor="text1"/>
              <w:right w:val="single" w:sz="2" w:space="0" w:color="000000" w:themeColor="text1"/>
            </w:tcBorders>
            <w:hideMark/>
          </w:tcPr>
          <w:p w14:paraId="00389B25" w14:textId="77777777" w:rsidR="00CA5C3C" w:rsidRPr="00075737" w:rsidRDefault="00CA5C3C" w:rsidP="005F132A">
            <w:pPr>
              <w:jc w:val="center"/>
              <w:rPr>
                <w:rFonts w:eastAsia="Times New Roman"/>
                <w:sz w:val="18"/>
                <w:szCs w:val="18"/>
              </w:rPr>
            </w:pPr>
            <w:r w:rsidRPr="00075737">
              <w:rPr>
                <w:rFonts w:eastAsia="Times New Roman"/>
                <w:sz w:val="18"/>
                <w:szCs w:val="18"/>
              </w:rPr>
              <w:t>0.9</w:t>
            </w:r>
          </w:p>
        </w:tc>
        <w:tc>
          <w:tcPr>
            <w:tcW w:w="666" w:type="dxa"/>
            <w:tcBorders>
              <w:left w:val="single" w:sz="2" w:space="0" w:color="000000" w:themeColor="text1"/>
              <w:right w:val="single" w:sz="2" w:space="0" w:color="000000" w:themeColor="text1"/>
            </w:tcBorders>
            <w:hideMark/>
          </w:tcPr>
          <w:p w14:paraId="16A49CE8" w14:textId="77777777" w:rsidR="00CA5C3C" w:rsidRPr="00075737" w:rsidRDefault="00CA5C3C" w:rsidP="005F132A">
            <w:pPr>
              <w:jc w:val="center"/>
              <w:rPr>
                <w:rFonts w:eastAsia="Times New Roman"/>
                <w:sz w:val="18"/>
                <w:szCs w:val="18"/>
              </w:rPr>
            </w:pPr>
            <w:r w:rsidRPr="00075737">
              <w:rPr>
                <w:rFonts w:eastAsia="Times New Roman"/>
                <w:sz w:val="18"/>
                <w:szCs w:val="18"/>
              </w:rPr>
              <w:t>0.9</w:t>
            </w:r>
          </w:p>
        </w:tc>
        <w:tc>
          <w:tcPr>
            <w:tcW w:w="666" w:type="dxa"/>
            <w:tcBorders>
              <w:left w:val="single" w:sz="2" w:space="0" w:color="000000" w:themeColor="text1"/>
              <w:right w:val="single" w:sz="2" w:space="0" w:color="000000" w:themeColor="text1"/>
            </w:tcBorders>
            <w:hideMark/>
          </w:tcPr>
          <w:p w14:paraId="4424282E" w14:textId="77777777" w:rsidR="00CA5C3C" w:rsidRPr="00075737" w:rsidRDefault="00CA5C3C" w:rsidP="005F132A">
            <w:pPr>
              <w:jc w:val="center"/>
              <w:rPr>
                <w:rFonts w:eastAsia="Times New Roman"/>
                <w:sz w:val="18"/>
                <w:szCs w:val="18"/>
              </w:rPr>
            </w:pPr>
            <w:r w:rsidRPr="00075737">
              <w:rPr>
                <w:rFonts w:eastAsia="Times New Roman"/>
                <w:sz w:val="18"/>
                <w:szCs w:val="18"/>
              </w:rPr>
              <w:t>0.4</w:t>
            </w:r>
          </w:p>
        </w:tc>
        <w:tc>
          <w:tcPr>
            <w:tcW w:w="667" w:type="dxa"/>
            <w:tcBorders>
              <w:left w:val="single" w:sz="2" w:space="0" w:color="000000" w:themeColor="text1"/>
              <w:right w:val="single" w:sz="2" w:space="0" w:color="000000" w:themeColor="text1"/>
            </w:tcBorders>
            <w:hideMark/>
          </w:tcPr>
          <w:p w14:paraId="3A2641E3" w14:textId="77777777" w:rsidR="00CA5C3C" w:rsidRPr="00075737" w:rsidRDefault="00CA5C3C" w:rsidP="005F132A">
            <w:pPr>
              <w:jc w:val="center"/>
              <w:rPr>
                <w:rFonts w:eastAsia="Times New Roman"/>
                <w:sz w:val="18"/>
                <w:szCs w:val="18"/>
              </w:rPr>
            </w:pPr>
            <w:r w:rsidRPr="00075737">
              <w:rPr>
                <w:rFonts w:eastAsia="Times New Roman"/>
                <w:sz w:val="18"/>
                <w:szCs w:val="18"/>
              </w:rPr>
              <w:t>0.9</w:t>
            </w:r>
          </w:p>
        </w:tc>
        <w:tc>
          <w:tcPr>
            <w:tcW w:w="666" w:type="dxa"/>
            <w:tcBorders>
              <w:left w:val="single" w:sz="2" w:space="0" w:color="000000" w:themeColor="text1"/>
              <w:right w:val="single" w:sz="2" w:space="0" w:color="000000" w:themeColor="text1"/>
            </w:tcBorders>
            <w:hideMark/>
          </w:tcPr>
          <w:p w14:paraId="68BA70F6"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538C82DB"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5084DE34"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144D5825"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763B4274"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5A715320" w14:textId="77777777" w:rsidR="00CA5C3C" w:rsidRPr="00075737" w:rsidRDefault="00CA5C3C" w:rsidP="005F132A">
            <w:pPr>
              <w:jc w:val="center"/>
              <w:rPr>
                <w:rFonts w:eastAsia="Times New Roman"/>
                <w:sz w:val="18"/>
                <w:szCs w:val="18"/>
              </w:rPr>
            </w:pPr>
            <w:r w:rsidRPr="00075737">
              <w:rPr>
                <w:rFonts w:eastAsia="Times New Roman"/>
                <w:sz w:val="18"/>
                <w:szCs w:val="18"/>
              </w:rPr>
              <w:t>11.5%</w:t>
            </w:r>
          </w:p>
        </w:tc>
      </w:tr>
      <w:tr w:rsidR="005F132A" w:rsidRPr="00075737" w14:paraId="2DE6B25B" w14:textId="77777777" w:rsidTr="005C6499">
        <w:tc>
          <w:tcPr>
            <w:tcW w:w="0" w:type="auto"/>
            <w:tcBorders>
              <w:right w:val="single" w:sz="2" w:space="0" w:color="000000" w:themeColor="text1"/>
            </w:tcBorders>
            <w:hideMark/>
          </w:tcPr>
          <w:p w14:paraId="2BD6256B" w14:textId="77777777" w:rsidR="00CA5C3C" w:rsidRPr="00F94BCC" w:rsidRDefault="00695CA7">
            <w:pPr>
              <w:rPr>
                <w:rFonts w:eastAsia="Times New Roman"/>
                <w:i/>
                <w:sz w:val="18"/>
                <w:szCs w:val="18"/>
              </w:rPr>
            </w:pPr>
            <w:r w:rsidRPr="00695CA7">
              <w:rPr>
                <w:rFonts w:eastAsia="Times New Roman"/>
                <w:i/>
                <w:sz w:val="18"/>
                <w:szCs w:val="18"/>
              </w:rPr>
              <w:t>Enterobacter</w:t>
            </w:r>
            <w:r w:rsidR="00CA5C3C" w:rsidRPr="00F94BCC">
              <w:rPr>
                <w:rFonts w:eastAsia="Times New Roman"/>
                <w:i/>
                <w:sz w:val="18"/>
                <w:szCs w:val="18"/>
              </w:rPr>
              <w:t>. aerogenes</w:t>
            </w:r>
            <w:r w:rsidR="00CA5C3C" w:rsidRPr="00F94BCC">
              <w:rPr>
                <w:rFonts w:eastAsia="Times New Roman"/>
                <w:i/>
                <w:sz w:val="18"/>
                <w:szCs w:val="18"/>
                <w:vertAlign w:val="superscript"/>
              </w:rPr>
              <w:t>†</w:t>
            </w:r>
          </w:p>
        </w:tc>
        <w:tc>
          <w:tcPr>
            <w:tcW w:w="0" w:type="auto"/>
            <w:tcBorders>
              <w:left w:val="single" w:sz="2" w:space="0" w:color="000000" w:themeColor="text1"/>
              <w:right w:val="single" w:sz="2" w:space="0" w:color="000000" w:themeColor="text1"/>
            </w:tcBorders>
            <w:hideMark/>
          </w:tcPr>
          <w:p w14:paraId="51664061" w14:textId="77777777" w:rsidR="00CA5C3C" w:rsidRPr="00075737" w:rsidRDefault="00CA5C3C" w:rsidP="005F132A">
            <w:pPr>
              <w:jc w:val="center"/>
              <w:rPr>
                <w:rFonts w:eastAsia="Times New Roman"/>
                <w:sz w:val="18"/>
                <w:szCs w:val="18"/>
              </w:rPr>
            </w:pPr>
            <w:r w:rsidRPr="00075737">
              <w:rPr>
                <w:rFonts w:eastAsia="Times New Roman"/>
                <w:sz w:val="18"/>
                <w:szCs w:val="18"/>
              </w:rPr>
              <w:t>124</w:t>
            </w:r>
          </w:p>
        </w:tc>
        <w:tc>
          <w:tcPr>
            <w:tcW w:w="709" w:type="dxa"/>
            <w:tcBorders>
              <w:left w:val="single" w:sz="2" w:space="0" w:color="000000" w:themeColor="text1"/>
              <w:right w:val="single" w:sz="2" w:space="0" w:color="000000" w:themeColor="text1"/>
            </w:tcBorders>
            <w:hideMark/>
          </w:tcPr>
          <w:p w14:paraId="5AC0A027" w14:textId="77777777" w:rsidR="00CA5C3C" w:rsidRPr="00075737" w:rsidRDefault="00CA5C3C" w:rsidP="005F132A">
            <w:pPr>
              <w:jc w:val="center"/>
              <w:rPr>
                <w:rFonts w:eastAsia="Times New Roman"/>
                <w:sz w:val="18"/>
                <w:szCs w:val="18"/>
              </w:rPr>
            </w:pPr>
            <w:r w:rsidRPr="00075737">
              <w:rPr>
                <w:rFonts w:eastAsia="Times New Roman"/>
                <w:sz w:val="18"/>
                <w:szCs w:val="18"/>
              </w:rPr>
              <w:t>78</w:t>
            </w:r>
          </w:p>
        </w:tc>
        <w:tc>
          <w:tcPr>
            <w:tcW w:w="710" w:type="dxa"/>
            <w:tcBorders>
              <w:left w:val="single" w:sz="2" w:space="0" w:color="000000" w:themeColor="text1"/>
              <w:right w:val="single" w:sz="2" w:space="0" w:color="000000" w:themeColor="text1"/>
            </w:tcBorders>
            <w:hideMark/>
          </w:tcPr>
          <w:p w14:paraId="2ACCECFC" w14:textId="77777777" w:rsidR="00CA5C3C" w:rsidRPr="00075737" w:rsidRDefault="00CA5C3C" w:rsidP="005F132A">
            <w:pPr>
              <w:jc w:val="center"/>
              <w:rPr>
                <w:rFonts w:eastAsia="Times New Roman"/>
                <w:sz w:val="18"/>
                <w:szCs w:val="18"/>
              </w:rPr>
            </w:pPr>
            <w:r w:rsidRPr="00075737">
              <w:rPr>
                <w:rFonts w:eastAsia="Times New Roman"/>
                <w:sz w:val="18"/>
                <w:szCs w:val="18"/>
              </w:rPr>
              <w:t>6</w:t>
            </w:r>
          </w:p>
        </w:tc>
        <w:tc>
          <w:tcPr>
            <w:tcW w:w="710" w:type="dxa"/>
            <w:tcBorders>
              <w:left w:val="single" w:sz="2" w:space="0" w:color="000000" w:themeColor="text1"/>
              <w:right w:val="single" w:sz="2" w:space="0" w:color="000000" w:themeColor="text1"/>
            </w:tcBorders>
            <w:hideMark/>
          </w:tcPr>
          <w:p w14:paraId="12AC39D8" w14:textId="77777777" w:rsidR="00CA5C3C" w:rsidRPr="00075737" w:rsidRDefault="00CA5C3C" w:rsidP="005F132A">
            <w:pPr>
              <w:jc w:val="center"/>
              <w:rPr>
                <w:rFonts w:eastAsia="Times New Roman"/>
                <w:sz w:val="18"/>
                <w:szCs w:val="18"/>
              </w:rPr>
            </w:pPr>
            <w:r w:rsidRPr="00075737">
              <w:rPr>
                <w:rFonts w:eastAsia="Times New Roman"/>
                <w:sz w:val="18"/>
                <w:szCs w:val="18"/>
              </w:rPr>
              <w:t>4</w:t>
            </w:r>
          </w:p>
        </w:tc>
        <w:tc>
          <w:tcPr>
            <w:tcW w:w="710" w:type="dxa"/>
            <w:tcBorders>
              <w:left w:val="single" w:sz="2" w:space="0" w:color="000000" w:themeColor="text1"/>
              <w:right w:val="single" w:sz="2" w:space="0" w:color="000000" w:themeColor="text1"/>
            </w:tcBorders>
            <w:hideMark/>
          </w:tcPr>
          <w:p w14:paraId="7433D314" w14:textId="77777777" w:rsidR="00CA5C3C" w:rsidRPr="00075737" w:rsidRDefault="00CA5C3C" w:rsidP="005F132A">
            <w:pPr>
              <w:jc w:val="center"/>
              <w:rPr>
                <w:rFonts w:eastAsia="Times New Roman"/>
                <w:sz w:val="18"/>
                <w:szCs w:val="18"/>
              </w:rPr>
            </w:pPr>
            <w:r w:rsidRPr="00075737">
              <w:rPr>
                <w:rFonts w:eastAsia="Times New Roman"/>
                <w:sz w:val="18"/>
                <w:szCs w:val="18"/>
              </w:rPr>
              <w:t>27</w:t>
            </w:r>
          </w:p>
        </w:tc>
        <w:tc>
          <w:tcPr>
            <w:tcW w:w="1134" w:type="dxa"/>
            <w:tcBorders>
              <w:left w:val="single" w:sz="2" w:space="0" w:color="000000" w:themeColor="text1"/>
              <w:right w:val="single" w:sz="2" w:space="0" w:color="000000" w:themeColor="text1"/>
            </w:tcBorders>
            <w:hideMark/>
          </w:tcPr>
          <w:p w14:paraId="0335AEA4"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3D796D2B" w14:textId="77777777" w:rsidR="00CA5C3C" w:rsidRPr="00075737" w:rsidRDefault="00CA5C3C" w:rsidP="005F132A">
            <w:pPr>
              <w:jc w:val="center"/>
              <w:rPr>
                <w:rFonts w:eastAsia="Times New Roman"/>
                <w:sz w:val="18"/>
                <w:szCs w:val="18"/>
              </w:rPr>
            </w:pPr>
            <w:r w:rsidRPr="00075737">
              <w:rPr>
                <w:rFonts w:eastAsia="Times New Roman"/>
                <w:sz w:val="18"/>
                <w:szCs w:val="18"/>
              </w:rPr>
              <w:t>7</w:t>
            </w:r>
          </w:p>
        </w:tc>
        <w:tc>
          <w:tcPr>
            <w:tcW w:w="666" w:type="dxa"/>
            <w:tcBorders>
              <w:left w:val="single" w:sz="2" w:space="0" w:color="000000" w:themeColor="text1"/>
              <w:right w:val="single" w:sz="2" w:space="0" w:color="000000" w:themeColor="text1"/>
            </w:tcBorders>
            <w:hideMark/>
          </w:tcPr>
          <w:p w14:paraId="765DEF2D"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0CAD790D" w14:textId="77777777" w:rsidR="00CA5C3C" w:rsidRPr="00075737" w:rsidRDefault="00CA5C3C" w:rsidP="005F132A">
            <w:pPr>
              <w:jc w:val="center"/>
              <w:rPr>
                <w:rFonts w:eastAsia="Times New Roman"/>
                <w:sz w:val="18"/>
                <w:szCs w:val="18"/>
              </w:rPr>
            </w:pPr>
            <w:r w:rsidRPr="00075737">
              <w:rPr>
                <w:rFonts w:eastAsia="Times New Roman"/>
                <w:sz w:val="18"/>
                <w:szCs w:val="18"/>
              </w:rPr>
              <w:t>2</w:t>
            </w:r>
          </w:p>
        </w:tc>
        <w:tc>
          <w:tcPr>
            <w:tcW w:w="666" w:type="dxa"/>
            <w:tcBorders>
              <w:left w:val="single" w:sz="2" w:space="0" w:color="000000" w:themeColor="text1"/>
              <w:right w:val="single" w:sz="2" w:space="0" w:color="000000" w:themeColor="text1"/>
            </w:tcBorders>
            <w:hideMark/>
          </w:tcPr>
          <w:p w14:paraId="7609AA2E"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7" w:type="dxa"/>
            <w:tcBorders>
              <w:left w:val="single" w:sz="2" w:space="0" w:color="000000" w:themeColor="text1"/>
              <w:right w:val="single" w:sz="2" w:space="0" w:color="000000" w:themeColor="text1"/>
            </w:tcBorders>
            <w:hideMark/>
          </w:tcPr>
          <w:p w14:paraId="6BD2AB55"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0C03C934"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084A83F8"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2DB57DCA"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26A766CE"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7F1FBE0E"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7FCB1B63" w14:textId="77777777" w:rsidR="00CA5C3C" w:rsidRPr="00075737" w:rsidRDefault="00CA5C3C" w:rsidP="005F132A">
            <w:pPr>
              <w:jc w:val="center"/>
              <w:rPr>
                <w:rFonts w:eastAsia="Times New Roman"/>
                <w:sz w:val="18"/>
                <w:szCs w:val="18"/>
              </w:rPr>
            </w:pPr>
          </w:p>
        </w:tc>
      </w:tr>
      <w:tr w:rsidR="005F132A" w:rsidRPr="00075737" w14:paraId="6C08D25D"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6551D9C"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0A5DA744"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45E69B04" w14:textId="77777777" w:rsidR="00CA5C3C" w:rsidRPr="00075737" w:rsidRDefault="00CA5C3C" w:rsidP="005F132A">
            <w:pPr>
              <w:jc w:val="center"/>
              <w:rPr>
                <w:rFonts w:eastAsia="Times New Roman"/>
                <w:sz w:val="18"/>
                <w:szCs w:val="18"/>
              </w:rPr>
            </w:pPr>
            <w:r w:rsidRPr="00075737">
              <w:rPr>
                <w:rFonts w:eastAsia="Times New Roman"/>
                <w:sz w:val="18"/>
                <w:szCs w:val="18"/>
              </w:rPr>
              <w:t>62.9</w:t>
            </w:r>
          </w:p>
        </w:tc>
        <w:tc>
          <w:tcPr>
            <w:tcW w:w="710" w:type="dxa"/>
            <w:tcBorders>
              <w:left w:val="single" w:sz="2" w:space="0" w:color="000000" w:themeColor="text1"/>
              <w:right w:val="single" w:sz="2" w:space="0" w:color="000000" w:themeColor="text1"/>
            </w:tcBorders>
            <w:hideMark/>
          </w:tcPr>
          <w:p w14:paraId="3AD5D4F3" w14:textId="77777777" w:rsidR="00CA5C3C" w:rsidRPr="00075737" w:rsidRDefault="00CA5C3C" w:rsidP="005F132A">
            <w:pPr>
              <w:jc w:val="center"/>
              <w:rPr>
                <w:rFonts w:eastAsia="Times New Roman"/>
                <w:sz w:val="18"/>
                <w:szCs w:val="18"/>
              </w:rPr>
            </w:pPr>
            <w:r w:rsidRPr="00075737">
              <w:rPr>
                <w:rFonts w:eastAsia="Times New Roman"/>
                <w:sz w:val="18"/>
                <w:szCs w:val="18"/>
              </w:rPr>
              <w:t>4.8</w:t>
            </w:r>
          </w:p>
        </w:tc>
        <w:tc>
          <w:tcPr>
            <w:tcW w:w="710" w:type="dxa"/>
            <w:tcBorders>
              <w:left w:val="single" w:sz="2" w:space="0" w:color="000000" w:themeColor="text1"/>
              <w:right w:val="single" w:sz="2" w:space="0" w:color="000000" w:themeColor="text1"/>
            </w:tcBorders>
            <w:hideMark/>
          </w:tcPr>
          <w:p w14:paraId="385748B7" w14:textId="77777777" w:rsidR="00CA5C3C" w:rsidRPr="00075737" w:rsidRDefault="00CA5C3C" w:rsidP="005F132A">
            <w:pPr>
              <w:jc w:val="center"/>
              <w:rPr>
                <w:rFonts w:eastAsia="Times New Roman"/>
                <w:sz w:val="18"/>
                <w:szCs w:val="18"/>
              </w:rPr>
            </w:pPr>
            <w:r w:rsidRPr="00075737">
              <w:rPr>
                <w:rFonts w:eastAsia="Times New Roman"/>
                <w:sz w:val="18"/>
                <w:szCs w:val="18"/>
              </w:rPr>
              <w:t>3.2</w:t>
            </w:r>
          </w:p>
        </w:tc>
        <w:tc>
          <w:tcPr>
            <w:tcW w:w="710" w:type="dxa"/>
            <w:tcBorders>
              <w:left w:val="single" w:sz="2" w:space="0" w:color="000000" w:themeColor="text1"/>
              <w:right w:val="single" w:sz="2" w:space="0" w:color="000000" w:themeColor="text1"/>
            </w:tcBorders>
            <w:hideMark/>
          </w:tcPr>
          <w:p w14:paraId="078D778A" w14:textId="77777777" w:rsidR="00CA5C3C" w:rsidRPr="00075737" w:rsidRDefault="00CA5C3C" w:rsidP="005F132A">
            <w:pPr>
              <w:jc w:val="center"/>
              <w:rPr>
                <w:rFonts w:eastAsia="Times New Roman"/>
                <w:sz w:val="18"/>
                <w:szCs w:val="18"/>
              </w:rPr>
            </w:pPr>
            <w:r w:rsidRPr="00075737">
              <w:rPr>
                <w:rFonts w:eastAsia="Times New Roman"/>
                <w:sz w:val="18"/>
                <w:szCs w:val="18"/>
              </w:rPr>
              <w:t>21.8</w:t>
            </w:r>
          </w:p>
        </w:tc>
        <w:tc>
          <w:tcPr>
            <w:tcW w:w="1134" w:type="dxa"/>
            <w:tcBorders>
              <w:left w:val="single" w:sz="2" w:space="0" w:color="000000" w:themeColor="text1"/>
              <w:right w:val="single" w:sz="2" w:space="0" w:color="000000" w:themeColor="text1"/>
            </w:tcBorders>
            <w:hideMark/>
          </w:tcPr>
          <w:p w14:paraId="592FA18D" w14:textId="77777777" w:rsidR="00CA5C3C" w:rsidRPr="00075737" w:rsidRDefault="00CA5C3C" w:rsidP="005F132A">
            <w:pPr>
              <w:jc w:val="center"/>
              <w:rPr>
                <w:rFonts w:eastAsia="Times New Roman"/>
                <w:sz w:val="18"/>
                <w:szCs w:val="18"/>
              </w:rPr>
            </w:pPr>
            <w:r w:rsidRPr="00075737">
              <w:rPr>
                <w:rFonts w:eastAsia="Times New Roman"/>
                <w:sz w:val="18"/>
                <w:szCs w:val="18"/>
              </w:rPr>
              <w:t>92.7%</w:t>
            </w:r>
          </w:p>
        </w:tc>
        <w:tc>
          <w:tcPr>
            <w:tcW w:w="666" w:type="dxa"/>
            <w:tcBorders>
              <w:left w:val="single" w:sz="2" w:space="0" w:color="000000" w:themeColor="text1"/>
              <w:right w:val="single" w:sz="2" w:space="0" w:color="000000" w:themeColor="text1"/>
            </w:tcBorders>
            <w:hideMark/>
          </w:tcPr>
          <w:p w14:paraId="135595D0" w14:textId="77777777" w:rsidR="00CA5C3C" w:rsidRPr="00075737" w:rsidRDefault="00CA5C3C" w:rsidP="005F132A">
            <w:pPr>
              <w:jc w:val="center"/>
              <w:rPr>
                <w:rFonts w:eastAsia="Times New Roman"/>
                <w:sz w:val="18"/>
                <w:szCs w:val="18"/>
              </w:rPr>
            </w:pPr>
            <w:r w:rsidRPr="00075737">
              <w:rPr>
                <w:rFonts w:eastAsia="Times New Roman"/>
                <w:sz w:val="18"/>
                <w:szCs w:val="18"/>
              </w:rPr>
              <w:t>5.6</w:t>
            </w:r>
          </w:p>
        </w:tc>
        <w:tc>
          <w:tcPr>
            <w:tcW w:w="666" w:type="dxa"/>
            <w:tcBorders>
              <w:left w:val="single" w:sz="2" w:space="0" w:color="000000" w:themeColor="text1"/>
              <w:right w:val="single" w:sz="2" w:space="0" w:color="000000" w:themeColor="text1"/>
            </w:tcBorders>
            <w:hideMark/>
          </w:tcPr>
          <w:p w14:paraId="5560FC24"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04B5D809" w14:textId="77777777" w:rsidR="00CA5C3C" w:rsidRPr="00075737" w:rsidRDefault="00CA5C3C" w:rsidP="005F132A">
            <w:pPr>
              <w:jc w:val="center"/>
              <w:rPr>
                <w:rFonts w:eastAsia="Times New Roman"/>
                <w:sz w:val="18"/>
                <w:szCs w:val="18"/>
              </w:rPr>
            </w:pPr>
            <w:r w:rsidRPr="00075737">
              <w:rPr>
                <w:rFonts w:eastAsia="Times New Roman"/>
                <w:sz w:val="18"/>
                <w:szCs w:val="18"/>
              </w:rPr>
              <w:t>1.6</w:t>
            </w:r>
          </w:p>
        </w:tc>
        <w:tc>
          <w:tcPr>
            <w:tcW w:w="666" w:type="dxa"/>
            <w:tcBorders>
              <w:left w:val="single" w:sz="2" w:space="0" w:color="000000" w:themeColor="text1"/>
              <w:right w:val="single" w:sz="2" w:space="0" w:color="000000" w:themeColor="text1"/>
            </w:tcBorders>
            <w:hideMark/>
          </w:tcPr>
          <w:p w14:paraId="4F2D7469"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7" w:type="dxa"/>
            <w:tcBorders>
              <w:left w:val="single" w:sz="2" w:space="0" w:color="000000" w:themeColor="text1"/>
              <w:right w:val="single" w:sz="2" w:space="0" w:color="000000" w:themeColor="text1"/>
            </w:tcBorders>
            <w:hideMark/>
          </w:tcPr>
          <w:p w14:paraId="1DD7C141"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791D9DAC"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0036BF22"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4F4F2157"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29BEE3F8"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1B3C6F65"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788A4869" w14:textId="77777777" w:rsidR="00CA5C3C" w:rsidRPr="00075737" w:rsidRDefault="00CA5C3C" w:rsidP="005F132A">
            <w:pPr>
              <w:jc w:val="center"/>
              <w:rPr>
                <w:rFonts w:eastAsia="Times New Roman"/>
                <w:sz w:val="18"/>
                <w:szCs w:val="18"/>
              </w:rPr>
            </w:pPr>
            <w:r w:rsidRPr="00075737">
              <w:rPr>
                <w:rFonts w:eastAsia="Times New Roman"/>
                <w:sz w:val="18"/>
                <w:szCs w:val="18"/>
              </w:rPr>
              <w:t>7.3%</w:t>
            </w:r>
          </w:p>
        </w:tc>
      </w:tr>
      <w:tr w:rsidR="005F132A" w:rsidRPr="00075737" w14:paraId="2D061EA5" w14:textId="77777777" w:rsidTr="005C6499">
        <w:tc>
          <w:tcPr>
            <w:tcW w:w="0" w:type="auto"/>
            <w:vMerge w:val="restart"/>
            <w:tcBorders>
              <w:right w:val="single" w:sz="2" w:space="0" w:color="000000" w:themeColor="text1"/>
            </w:tcBorders>
            <w:hideMark/>
          </w:tcPr>
          <w:p w14:paraId="297B1B1E" w14:textId="77777777" w:rsidR="00CA5C3C" w:rsidRPr="00F94BCC" w:rsidRDefault="00CA5C3C">
            <w:pPr>
              <w:rPr>
                <w:rFonts w:eastAsia="Times New Roman"/>
                <w:i/>
                <w:sz w:val="18"/>
                <w:szCs w:val="18"/>
              </w:rPr>
            </w:pPr>
            <w:r w:rsidRPr="00F94BCC">
              <w:rPr>
                <w:rFonts w:eastAsia="Times New Roman"/>
                <w:i/>
                <w:sz w:val="18"/>
                <w:szCs w:val="18"/>
              </w:rPr>
              <w:t xml:space="preserve">Salmonella species (non-typhoidal) </w:t>
            </w:r>
          </w:p>
        </w:tc>
        <w:tc>
          <w:tcPr>
            <w:tcW w:w="0" w:type="auto"/>
            <w:tcBorders>
              <w:left w:val="single" w:sz="2" w:space="0" w:color="000000" w:themeColor="text1"/>
              <w:right w:val="single" w:sz="2" w:space="0" w:color="000000" w:themeColor="text1"/>
            </w:tcBorders>
            <w:hideMark/>
          </w:tcPr>
          <w:p w14:paraId="72CC25F0" w14:textId="77777777" w:rsidR="00CA5C3C" w:rsidRPr="00075737" w:rsidRDefault="00CA5C3C" w:rsidP="005F132A">
            <w:pPr>
              <w:jc w:val="center"/>
              <w:rPr>
                <w:rFonts w:eastAsia="Times New Roman"/>
                <w:sz w:val="18"/>
                <w:szCs w:val="18"/>
              </w:rPr>
            </w:pPr>
            <w:r w:rsidRPr="00075737">
              <w:rPr>
                <w:rFonts w:eastAsia="Times New Roman"/>
                <w:sz w:val="18"/>
                <w:szCs w:val="18"/>
              </w:rPr>
              <w:t>109</w:t>
            </w:r>
          </w:p>
        </w:tc>
        <w:tc>
          <w:tcPr>
            <w:tcW w:w="709" w:type="dxa"/>
            <w:tcBorders>
              <w:left w:val="single" w:sz="2" w:space="0" w:color="000000" w:themeColor="text1"/>
              <w:right w:val="single" w:sz="2" w:space="0" w:color="000000" w:themeColor="text1"/>
            </w:tcBorders>
            <w:hideMark/>
          </w:tcPr>
          <w:p w14:paraId="1CD85270" w14:textId="77777777" w:rsidR="00CA5C3C" w:rsidRPr="00075737" w:rsidRDefault="00CA5C3C" w:rsidP="005F132A">
            <w:pPr>
              <w:jc w:val="center"/>
              <w:rPr>
                <w:rFonts w:eastAsia="Times New Roman"/>
                <w:sz w:val="18"/>
                <w:szCs w:val="18"/>
              </w:rPr>
            </w:pPr>
            <w:r w:rsidRPr="00075737">
              <w:rPr>
                <w:rFonts w:eastAsia="Times New Roman"/>
                <w:sz w:val="18"/>
                <w:szCs w:val="18"/>
              </w:rPr>
              <w:t>101</w:t>
            </w:r>
          </w:p>
        </w:tc>
        <w:tc>
          <w:tcPr>
            <w:tcW w:w="710" w:type="dxa"/>
            <w:tcBorders>
              <w:left w:val="single" w:sz="2" w:space="0" w:color="000000" w:themeColor="text1"/>
              <w:right w:val="single" w:sz="2" w:space="0" w:color="000000" w:themeColor="text1"/>
            </w:tcBorders>
            <w:hideMark/>
          </w:tcPr>
          <w:p w14:paraId="31DF5C0B" w14:textId="77777777" w:rsidR="00CA5C3C" w:rsidRPr="00075737" w:rsidRDefault="00CA5C3C" w:rsidP="005F132A">
            <w:pPr>
              <w:jc w:val="center"/>
              <w:rPr>
                <w:rFonts w:eastAsia="Times New Roman"/>
                <w:sz w:val="18"/>
                <w:szCs w:val="18"/>
              </w:rPr>
            </w:pPr>
            <w:r w:rsidRPr="00075737">
              <w:rPr>
                <w:rFonts w:eastAsia="Times New Roman"/>
                <w:sz w:val="18"/>
                <w:szCs w:val="18"/>
              </w:rPr>
              <w:t>4</w:t>
            </w:r>
          </w:p>
        </w:tc>
        <w:tc>
          <w:tcPr>
            <w:tcW w:w="710" w:type="dxa"/>
            <w:tcBorders>
              <w:left w:val="single" w:sz="2" w:space="0" w:color="000000" w:themeColor="text1"/>
              <w:right w:val="single" w:sz="2" w:space="0" w:color="000000" w:themeColor="text1"/>
            </w:tcBorders>
            <w:hideMark/>
          </w:tcPr>
          <w:p w14:paraId="60DAE52A" w14:textId="77777777" w:rsidR="00CA5C3C" w:rsidRPr="00075737" w:rsidRDefault="00CA5C3C" w:rsidP="005F132A">
            <w:pPr>
              <w:jc w:val="center"/>
              <w:rPr>
                <w:rFonts w:eastAsia="Times New Roman"/>
                <w:sz w:val="18"/>
                <w:szCs w:val="18"/>
              </w:rPr>
            </w:pPr>
            <w:r w:rsidRPr="00075737">
              <w:rPr>
                <w:rFonts w:eastAsia="Times New Roman"/>
                <w:sz w:val="18"/>
                <w:szCs w:val="18"/>
              </w:rPr>
              <w:t>1</w:t>
            </w:r>
          </w:p>
        </w:tc>
        <w:tc>
          <w:tcPr>
            <w:tcW w:w="710" w:type="dxa"/>
            <w:tcBorders>
              <w:left w:val="single" w:sz="2" w:space="0" w:color="000000" w:themeColor="text1"/>
              <w:right w:val="single" w:sz="2" w:space="0" w:color="000000" w:themeColor="text1"/>
            </w:tcBorders>
            <w:hideMark/>
          </w:tcPr>
          <w:p w14:paraId="48966DED" w14:textId="77777777" w:rsidR="00CA5C3C" w:rsidRPr="00075737" w:rsidRDefault="00CA5C3C" w:rsidP="005F132A">
            <w:pPr>
              <w:jc w:val="center"/>
              <w:rPr>
                <w:rFonts w:eastAsia="Times New Roman"/>
                <w:sz w:val="18"/>
                <w:szCs w:val="18"/>
              </w:rPr>
            </w:pPr>
            <w:r w:rsidRPr="00075737">
              <w:rPr>
                <w:rFonts w:eastAsia="Times New Roman"/>
                <w:sz w:val="18"/>
                <w:szCs w:val="18"/>
              </w:rPr>
              <w:t>3</w:t>
            </w:r>
          </w:p>
        </w:tc>
        <w:tc>
          <w:tcPr>
            <w:tcW w:w="1134" w:type="dxa"/>
            <w:tcBorders>
              <w:left w:val="single" w:sz="2" w:space="0" w:color="000000" w:themeColor="text1"/>
              <w:right w:val="single" w:sz="2" w:space="0" w:color="000000" w:themeColor="text1"/>
            </w:tcBorders>
            <w:hideMark/>
          </w:tcPr>
          <w:p w14:paraId="4E03E5A1"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068D24BD"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6FC71291"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43202F73"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44C92279"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7" w:type="dxa"/>
            <w:tcBorders>
              <w:left w:val="single" w:sz="2" w:space="0" w:color="000000" w:themeColor="text1"/>
              <w:right w:val="single" w:sz="2" w:space="0" w:color="000000" w:themeColor="text1"/>
            </w:tcBorders>
            <w:hideMark/>
          </w:tcPr>
          <w:p w14:paraId="733C51AC"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6C162BE4" w14:textId="77777777" w:rsidR="00CA5C3C" w:rsidRPr="00075737" w:rsidRDefault="00CA5C3C" w:rsidP="005F132A">
            <w:pPr>
              <w:jc w:val="center"/>
              <w:rPr>
                <w:rFonts w:eastAsia="Times New Roman"/>
                <w:sz w:val="18"/>
                <w:szCs w:val="18"/>
              </w:rPr>
            </w:pPr>
            <w:r w:rsidRPr="00075737">
              <w:rPr>
                <w:rFonts w:eastAsia="Times New Roman"/>
                <w:sz w:val="18"/>
                <w:szCs w:val="18"/>
              </w:rPr>
              <w:t>0</w:t>
            </w:r>
          </w:p>
        </w:tc>
        <w:tc>
          <w:tcPr>
            <w:tcW w:w="666" w:type="dxa"/>
            <w:tcBorders>
              <w:left w:val="single" w:sz="2" w:space="0" w:color="000000" w:themeColor="text1"/>
              <w:right w:val="single" w:sz="2" w:space="0" w:color="000000" w:themeColor="text1"/>
            </w:tcBorders>
            <w:hideMark/>
          </w:tcPr>
          <w:p w14:paraId="299EC623"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4B23ED61"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3C5672B6"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5B7B8D1A"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2DE1083F" w14:textId="77777777" w:rsidR="00CA5C3C" w:rsidRPr="00075737" w:rsidRDefault="00CA5C3C" w:rsidP="005F132A">
            <w:pPr>
              <w:jc w:val="center"/>
              <w:rPr>
                <w:rFonts w:eastAsia="Times New Roman"/>
                <w:sz w:val="18"/>
                <w:szCs w:val="18"/>
              </w:rPr>
            </w:pPr>
          </w:p>
        </w:tc>
      </w:tr>
      <w:tr w:rsidR="005F132A" w:rsidRPr="00075737" w14:paraId="3D527045" w14:textId="77777777" w:rsidTr="005C6499">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5ED27DE6" w14:textId="77777777" w:rsidR="00CA5C3C" w:rsidRPr="00075737" w:rsidRDefault="00CA5C3C">
            <w:pPr>
              <w:rPr>
                <w:rFonts w:eastAsia="Times New Roman"/>
                <w:sz w:val="18"/>
                <w:szCs w:val="18"/>
              </w:rPr>
            </w:pPr>
          </w:p>
        </w:tc>
        <w:tc>
          <w:tcPr>
            <w:tcW w:w="0" w:type="auto"/>
            <w:tcBorders>
              <w:left w:val="single" w:sz="2" w:space="0" w:color="000000" w:themeColor="text1"/>
              <w:right w:val="single" w:sz="2" w:space="0" w:color="000000" w:themeColor="text1"/>
            </w:tcBorders>
            <w:hideMark/>
          </w:tcPr>
          <w:p w14:paraId="4C34D837" w14:textId="77777777" w:rsidR="00CA5C3C" w:rsidRPr="00075737" w:rsidRDefault="00CA5C3C" w:rsidP="005F132A">
            <w:pPr>
              <w:jc w:val="center"/>
              <w:rPr>
                <w:rFonts w:eastAsia="Times New Roman"/>
                <w:sz w:val="18"/>
                <w:szCs w:val="18"/>
              </w:rPr>
            </w:pPr>
          </w:p>
        </w:tc>
        <w:tc>
          <w:tcPr>
            <w:tcW w:w="709" w:type="dxa"/>
            <w:tcBorders>
              <w:left w:val="single" w:sz="2" w:space="0" w:color="000000" w:themeColor="text1"/>
              <w:right w:val="single" w:sz="2" w:space="0" w:color="000000" w:themeColor="text1"/>
            </w:tcBorders>
            <w:hideMark/>
          </w:tcPr>
          <w:p w14:paraId="225792E5" w14:textId="77777777" w:rsidR="00CA5C3C" w:rsidRPr="00075737" w:rsidRDefault="00CA5C3C" w:rsidP="005F132A">
            <w:pPr>
              <w:jc w:val="center"/>
              <w:rPr>
                <w:rFonts w:eastAsia="Times New Roman"/>
                <w:sz w:val="18"/>
                <w:szCs w:val="18"/>
              </w:rPr>
            </w:pPr>
            <w:r w:rsidRPr="00075737">
              <w:rPr>
                <w:rFonts w:eastAsia="Times New Roman"/>
                <w:sz w:val="18"/>
                <w:szCs w:val="18"/>
              </w:rPr>
              <w:t>92.7</w:t>
            </w:r>
          </w:p>
        </w:tc>
        <w:tc>
          <w:tcPr>
            <w:tcW w:w="710" w:type="dxa"/>
            <w:tcBorders>
              <w:left w:val="single" w:sz="2" w:space="0" w:color="000000" w:themeColor="text1"/>
              <w:right w:val="single" w:sz="2" w:space="0" w:color="000000" w:themeColor="text1"/>
            </w:tcBorders>
            <w:hideMark/>
          </w:tcPr>
          <w:p w14:paraId="14AB17A9" w14:textId="77777777" w:rsidR="00CA5C3C" w:rsidRPr="00075737" w:rsidRDefault="00CA5C3C" w:rsidP="005F132A">
            <w:pPr>
              <w:jc w:val="center"/>
              <w:rPr>
                <w:rFonts w:eastAsia="Times New Roman"/>
                <w:sz w:val="18"/>
                <w:szCs w:val="18"/>
              </w:rPr>
            </w:pPr>
            <w:r w:rsidRPr="00075737">
              <w:rPr>
                <w:rFonts w:eastAsia="Times New Roman"/>
                <w:sz w:val="18"/>
                <w:szCs w:val="18"/>
              </w:rPr>
              <w:t>3.7</w:t>
            </w:r>
          </w:p>
        </w:tc>
        <w:tc>
          <w:tcPr>
            <w:tcW w:w="710" w:type="dxa"/>
            <w:tcBorders>
              <w:left w:val="single" w:sz="2" w:space="0" w:color="000000" w:themeColor="text1"/>
              <w:right w:val="single" w:sz="2" w:space="0" w:color="000000" w:themeColor="text1"/>
            </w:tcBorders>
            <w:hideMark/>
          </w:tcPr>
          <w:p w14:paraId="02B77847" w14:textId="77777777" w:rsidR="00CA5C3C" w:rsidRPr="00075737" w:rsidRDefault="00CA5C3C" w:rsidP="005F132A">
            <w:pPr>
              <w:jc w:val="center"/>
              <w:rPr>
                <w:rFonts w:eastAsia="Times New Roman"/>
                <w:sz w:val="18"/>
                <w:szCs w:val="18"/>
              </w:rPr>
            </w:pPr>
            <w:r w:rsidRPr="00075737">
              <w:rPr>
                <w:rFonts w:eastAsia="Times New Roman"/>
                <w:sz w:val="18"/>
                <w:szCs w:val="18"/>
              </w:rPr>
              <w:t>0.9</w:t>
            </w:r>
          </w:p>
        </w:tc>
        <w:tc>
          <w:tcPr>
            <w:tcW w:w="710" w:type="dxa"/>
            <w:tcBorders>
              <w:left w:val="single" w:sz="2" w:space="0" w:color="000000" w:themeColor="text1"/>
              <w:right w:val="single" w:sz="2" w:space="0" w:color="000000" w:themeColor="text1"/>
            </w:tcBorders>
            <w:hideMark/>
          </w:tcPr>
          <w:p w14:paraId="538DF304" w14:textId="77777777" w:rsidR="00CA5C3C" w:rsidRPr="00075737" w:rsidRDefault="00CA5C3C" w:rsidP="005F132A">
            <w:pPr>
              <w:jc w:val="center"/>
              <w:rPr>
                <w:rFonts w:eastAsia="Times New Roman"/>
                <w:sz w:val="18"/>
                <w:szCs w:val="18"/>
              </w:rPr>
            </w:pPr>
            <w:r w:rsidRPr="00075737">
              <w:rPr>
                <w:rFonts w:eastAsia="Times New Roman"/>
                <w:sz w:val="18"/>
                <w:szCs w:val="18"/>
              </w:rPr>
              <w:t>2.8</w:t>
            </w:r>
          </w:p>
        </w:tc>
        <w:tc>
          <w:tcPr>
            <w:tcW w:w="1134" w:type="dxa"/>
            <w:tcBorders>
              <w:left w:val="single" w:sz="2" w:space="0" w:color="000000" w:themeColor="text1"/>
              <w:right w:val="single" w:sz="2" w:space="0" w:color="000000" w:themeColor="text1"/>
            </w:tcBorders>
            <w:hideMark/>
          </w:tcPr>
          <w:p w14:paraId="07B0B547" w14:textId="77777777" w:rsidR="00CA5C3C" w:rsidRPr="00075737" w:rsidRDefault="00CA5C3C" w:rsidP="005F132A">
            <w:pPr>
              <w:jc w:val="center"/>
              <w:rPr>
                <w:rFonts w:eastAsia="Times New Roman"/>
                <w:sz w:val="18"/>
                <w:szCs w:val="18"/>
              </w:rPr>
            </w:pPr>
            <w:r w:rsidRPr="00075737">
              <w:rPr>
                <w:rFonts w:eastAsia="Times New Roman"/>
                <w:sz w:val="18"/>
                <w:szCs w:val="18"/>
              </w:rPr>
              <w:t>100%</w:t>
            </w:r>
          </w:p>
        </w:tc>
        <w:tc>
          <w:tcPr>
            <w:tcW w:w="666" w:type="dxa"/>
            <w:tcBorders>
              <w:left w:val="single" w:sz="2" w:space="0" w:color="000000" w:themeColor="text1"/>
              <w:right w:val="single" w:sz="2" w:space="0" w:color="000000" w:themeColor="text1"/>
            </w:tcBorders>
            <w:hideMark/>
          </w:tcPr>
          <w:p w14:paraId="21272097"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7519F261"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7F7475E9"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31DC6375"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7" w:type="dxa"/>
            <w:tcBorders>
              <w:left w:val="single" w:sz="2" w:space="0" w:color="000000" w:themeColor="text1"/>
              <w:right w:val="single" w:sz="2" w:space="0" w:color="000000" w:themeColor="text1"/>
            </w:tcBorders>
            <w:hideMark/>
          </w:tcPr>
          <w:p w14:paraId="6EE04410"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2C9FFB5F"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c>
          <w:tcPr>
            <w:tcW w:w="666" w:type="dxa"/>
            <w:tcBorders>
              <w:left w:val="single" w:sz="2" w:space="0" w:color="000000" w:themeColor="text1"/>
              <w:right w:val="single" w:sz="2" w:space="0" w:color="000000" w:themeColor="text1"/>
            </w:tcBorders>
            <w:hideMark/>
          </w:tcPr>
          <w:p w14:paraId="107B322C"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61408079" w14:textId="77777777" w:rsidR="00CA5C3C" w:rsidRPr="00075737" w:rsidRDefault="00CA5C3C" w:rsidP="005F132A">
            <w:pPr>
              <w:jc w:val="center"/>
              <w:rPr>
                <w:rFonts w:eastAsia="Times New Roman"/>
                <w:sz w:val="18"/>
                <w:szCs w:val="18"/>
              </w:rPr>
            </w:pPr>
          </w:p>
        </w:tc>
        <w:tc>
          <w:tcPr>
            <w:tcW w:w="666" w:type="dxa"/>
            <w:tcBorders>
              <w:left w:val="single" w:sz="2" w:space="0" w:color="000000" w:themeColor="text1"/>
              <w:right w:val="single" w:sz="2" w:space="0" w:color="000000" w:themeColor="text1"/>
            </w:tcBorders>
            <w:hideMark/>
          </w:tcPr>
          <w:p w14:paraId="028D8E88" w14:textId="77777777" w:rsidR="00CA5C3C" w:rsidRPr="00075737" w:rsidRDefault="00CA5C3C" w:rsidP="005F132A">
            <w:pPr>
              <w:jc w:val="center"/>
              <w:rPr>
                <w:rFonts w:eastAsia="Times New Roman"/>
                <w:sz w:val="18"/>
                <w:szCs w:val="18"/>
              </w:rPr>
            </w:pPr>
          </w:p>
        </w:tc>
        <w:tc>
          <w:tcPr>
            <w:tcW w:w="667" w:type="dxa"/>
            <w:tcBorders>
              <w:left w:val="single" w:sz="2" w:space="0" w:color="000000" w:themeColor="text1"/>
              <w:right w:val="single" w:sz="2" w:space="0" w:color="000000" w:themeColor="text1"/>
            </w:tcBorders>
            <w:hideMark/>
          </w:tcPr>
          <w:p w14:paraId="0BA1B274" w14:textId="77777777" w:rsidR="00CA5C3C" w:rsidRPr="00075737" w:rsidRDefault="00CA5C3C" w:rsidP="005F132A">
            <w:pPr>
              <w:jc w:val="center"/>
              <w:rPr>
                <w:rFonts w:eastAsia="Times New Roman"/>
                <w:sz w:val="18"/>
                <w:szCs w:val="18"/>
              </w:rPr>
            </w:pPr>
          </w:p>
        </w:tc>
        <w:tc>
          <w:tcPr>
            <w:tcW w:w="1190" w:type="dxa"/>
            <w:tcBorders>
              <w:left w:val="single" w:sz="2" w:space="0" w:color="000000" w:themeColor="text1"/>
            </w:tcBorders>
            <w:hideMark/>
          </w:tcPr>
          <w:p w14:paraId="5547C4B6" w14:textId="77777777" w:rsidR="00CA5C3C" w:rsidRPr="00075737" w:rsidRDefault="00CA5C3C" w:rsidP="005F132A">
            <w:pPr>
              <w:jc w:val="center"/>
              <w:rPr>
                <w:rFonts w:eastAsia="Times New Roman"/>
                <w:sz w:val="18"/>
                <w:szCs w:val="18"/>
              </w:rPr>
            </w:pPr>
            <w:r w:rsidRPr="00075737">
              <w:rPr>
                <w:rFonts w:eastAsia="Times New Roman"/>
                <w:sz w:val="18"/>
                <w:szCs w:val="18"/>
              </w:rPr>
              <w:t>0.0%</w:t>
            </w:r>
          </w:p>
        </w:tc>
      </w:tr>
    </w:tbl>
    <w:p w14:paraId="1EA9E2C8" w14:textId="77777777" w:rsidR="00CA5C3C" w:rsidRDefault="00CA5C3C" w:rsidP="00694ECF">
      <w:pPr>
        <w:pStyle w:val="CDIfootnotes"/>
        <w:rPr>
          <w:rFonts w:eastAsia="Times New Roman"/>
        </w:rPr>
      </w:pPr>
      <w:r>
        <w:rPr>
          <w:rFonts w:eastAsia="Times New Roman"/>
          <w:vertAlign w:val="superscript"/>
        </w:rPr>
        <w:t>*</w:t>
      </w:r>
      <w:r>
        <w:rPr>
          <w:rFonts w:eastAsia="Times New Roman"/>
        </w:rPr>
        <w:t xml:space="preserve"> Antibiotics included: amoxycillin-clavulanate, piperacillin-tazobactam, cefazolin, cefoxitin, ceftriaxone, ceftazidime, cefepime, gentamicin, amikacin, ciprofloxacin, nitrofurantoin, trimethoprim, meropenem;</w:t>
      </w:r>
      <w:r w:rsidR="003542CB">
        <w:rPr>
          <w:rFonts w:eastAsia="Times New Roman"/>
        </w:rPr>
        <w:t xml:space="preserve"> </w:t>
      </w:r>
      <w:r>
        <w:rPr>
          <w:rFonts w:eastAsia="Times New Roman"/>
        </w:rPr>
        <w:t>Antibiotics excluded: ampicillin (intrinsic resistance), tobramycin, norfloxacin, nalidixic acid, sulfamethoxazole-trimethoprim (high correlation with antibiotics in the included list)</w:t>
      </w:r>
      <w:r>
        <w:rPr>
          <w:rFonts w:eastAsia="Times New Roman"/>
        </w:rPr>
        <w:br/>
      </w:r>
      <w:r>
        <w:rPr>
          <w:rFonts w:eastAsia="Times New Roman"/>
          <w:vertAlign w:val="superscript"/>
        </w:rPr>
        <w:t>†</w:t>
      </w:r>
      <w:r>
        <w:rPr>
          <w:rFonts w:eastAsia="Times New Roman"/>
        </w:rPr>
        <w:t xml:space="preserve"> Antibiotics included: piperacillin-tazobactam, ceftriaxone, ceftazidime, cefepime, gentamicin, amikacin, ciprofloxacin, trimethoprim, meropenem</w:t>
      </w:r>
      <w:r>
        <w:rPr>
          <w:rFonts w:eastAsia="Times New Roman"/>
        </w:rPr>
        <w:br/>
        <w:t xml:space="preserve">Antibiotics excluded: ampicillin, amoxycillin-clavulanate, cefazolin, and cefoxitin, (all four due to intrinsic resistance); also excluded were ticarcillin-clavulanate, tobramycin, norfloxacin, nalidixic acid, sulfamethoxazole-trimethoprim (high correlation with antibiotics in the included list). </w:t>
      </w:r>
    </w:p>
    <w:p w14:paraId="766DD2B8" w14:textId="77777777" w:rsidR="00C13B86" w:rsidRDefault="00CA5C3C">
      <w:pPr>
        <w:pStyle w:val="NormalWeb"/>
        <w:sectPr w:rsidR="00C13B86" w:rsidSect="00C13B86">
          <w:pgSz w:w="16838" w:h="11906" w:orient="landscape"/>
          <w:pgMar w:top="720" w:right="720" w:bottom="720" w:left="1134" w:header="709" w:footer="284" w:gutter="0"/>
          <w:cols w:space="708"/>
          <w:titlePg/>
          <w:docGrid w:linePitch="360"/>
        </w:sectPr>
      </w:pPr>
      <w:r>
        <w:lastRenderedPageBreak/>
        <w:t> </w:t>
      </w:r>
    </w:p>
    <w:p w14:paraId="6E39C24B" w14:textId="77777777" w:rsidR="00CA5C3C" w:rsidRDefault="00CA5C3C">
      <w:pPr>
        <w:pStyle w:val="NormalWeb"/>
      </w:pPr>
    </w:p>
    <w:p w14:paraId="38DFB55A" w14:textId="77777777" w:rsidR="00CA5C3C" w:rsidRPr="001A67D3" w:rsidRDefault="00CA5C3C">
      <w:pPr>
        <w:pStyle w:val="Heading2"/>
        <w:rPr>
          <w:rFonts w:eastAsia="Times New Roman"/>
          <w:i/>
        </w:rPr>
      </w:pPr>
      <w:r w:rsidRPr="001A67D3">
        <w:rPr>
          <w:rFonts w:eastAsia="Times New Roman"/>
          <w:i/>
        </w:rPr>
        <w:t xml:space="preserve">Escherichia coli </w:t>
      </w:r>
    </w:p>
    <w:p w14:paraId="793D0C24" w14:textId="77777777" w:rsidR="00CA5C3C" w:rsidRDefault="00CA5C3C" w:rsidP="00610C36">
      <w:r>
        <w:t xml:space="preserve">Moderately high levels of resistance to ampicillin (and therefore amoxycillin) were maintained (53.6%/55.2%, CLSI/EUCAST criteria), with lower rates for amoxycillin-clavulanate (12.6%/- intermediate, 8.3%/- resistant). Non-susceptibility to third-generation cephalosporins was low ceftriaxone 11.8%/11.8%, ceftazidime 6.7%/10.8%). Moderate levels of resistance were detected to cefazolin (24.2%/24.2%) and trimethoprim (32.1%/32.3%). Ciprofloxacin non-susceptibility was found in 12.8%/16.3% of </w:t>
      </w:r>
      <w:r w:rsidR="00FB3A23">
        <w:rPr>
          <w:rStyle w:val="Emphasis"/>
          <w:b w:val="0"/>
        </w:rPr>
        <w:t>E.coli</w:t>
      </w:r>
      <w:r>
        <w:t xml:space="preserve"> isolates. Resistance to gentamicin (7.4%/7.6%), piperacillin-tazobactam (3.1%/6.5%), cefepime (5.5%/9.1%) were low. Thirteen isolates (0.3%) had elevated meropenem MICs (≥ 0.5 mg/L). For the strains with ESBL phenotype, ciprofloxacin and gentamicin resistance was found in 58.2%/60.9% and 27.8%/28.0% respectively. </w:t>
      </w:r>
    </w:p>
    <w:p w14:paraId="3607C81A" w14:textId="77777777" w:rsidR="00CA5C3C" w:rsidRDefault="00CA5C3C" w:rsidP="00610C36">
      <w:r>
        <w:t xml:space="preserve">Most of the </w:t>
      </w:r>
      <w:r w:rsidR="00FB3A23">
        <w:rPr>
          <w:rStyle w:val="Emphasis"/>
          <w:b w:val="0"/>
        </w:rPr>
        <w:t>E.coli</w:t>
      </w:r>
      <w:r>
        <w:t xml:space="preserve"> strains with extended-spectrum β-lactamase (ESBL) genes harboured genes of the CTX-M type (368/423 = 87%). Fifty-five percent of </w:t>
      </w:r>
      <w:r w:rsidR="00FB3A23">
        <w:rPr>
          <w:rStyle w:val="Emphasis"/>
          <w:b w:val="0"/>
        </w:rPr>
        <w:t>E.coli</w:t>
      </w:r>
      <w:r>
        <w:t xml:space="preserve"> with CTX-M group 1 types were found to belong to sequence type 131 (O25b-ST131). ST131 accounted for 62% of </w:t>
      </w:r>
      <w:r w:rsidR="00FB3A23">
        <w:rPr>
          <w:rStyle w:val="Emphasis"/>
          <w:b w:val="0"/>
        </w:rPr>
        <w:t>E.coli</w:t>
      </w:r>
      <w:r>
        <w:t xml:space="preserve"> ESBL phenotypes that were ciprofloxacin resistant (MIC &gt;1 mg/L), and only 3% of ciprofloxacin susceptible ESBL phenotypes. </w:t>
      </w:r>
    </w:p>
    <w:p w14:paraId="63944D35" w14:textId="77777777" w:rsidR="00CA5C3C" w:rsidRPr="001A67D3" w:rsidRDefault="00CA5C3C">
      <w:pPr>
        <w:pStyle w:val="Heading2"/>
        <w:rPr>
          <w:rFonts w:eastAsia="Times New Roman"/>
          <w:i/>
        </w:rPr>
      </w:pPr>
      <w:r w:rsidRPr="001A67D3">
        <w:rPr>
          <w:rFonts w:eastAsia="Times New Roman"/>
          <w:i/>
        </w:rPr>
        <w:t xml:space="preserve">Klebsiella pneumoniae </w:t>
      </w:r>
    </w:p>
    <w:p w14:paraId="4B62DA32" w14:textId="77777777" w:rsidR="00CA5C3C" w:rsidRDefault="00CA5C3C" w:rsidP="00610C36">
      <w:r w:rsidRPr="00E03670">
        <w:rPr>
          <w:rStyle w:val="Emphasis"/>
          <w:b w:val="0"/>
        </w:rPr>
        <w:t>K.</w:t>
      </w:r>
      <w:r>
        <w:t> </w:t>
      </w:r>
      <w:r w:rsidRPr="00E03670">
        <w:rPr>
          <w:rStyle w:val="Emphasis"/>
          <w:b w:val="0"/>
        </w:rPr>
        <w:t>pneumoniae</w:t>
      </w:r>
      <w:r>
        <w:t xml:space="preserve"> showed slightly higher levels of resistance to piperacillin-tazobactam and ceftazidime compared with </w:t>
      </w:r>
      <w:r w:rsidR="00FB3A23">
        <w:rPr>
          <w:rStyle w:val="Emphasis"/>
          <w:b w:val="0"/>
        </w:rPr>
        <w:t>E.coli</w:t>
      </w:r>
      <w:r>
        <w:t xml:space="preserve">, but lower rates of resistance to amoxycillin-clavulanate, cefazolin, ceftriaxone ciprofloxacin, gentamicin, and trimethoprim. Ten </w:t>
      </w:r>
      <w:r w:rsidRPr="00E03670">
        <w:rPr>
          <w:rStyle w:val="Emphasis"/>
          <w:b w:val="0"/>
        </w:rPr>
        <w:t xml:space="preserve">K. pneumoniae </w:t>
      </w:r>
      <w:r>
        <w:t xml:space="preserve">isolates had elevated meropenem MICs (see below). ESBLs were present in 66 of 82 (80%) presumptively ESBL-positive isolates of </w:t>
      </w:r>
      <w:r w:rsidRPr="00E03670">
        <w:rPr>
          <w:rStyle w:val="Emphasis"/>
          <w:b w:val="0"/>
        </w:rPr>
        <w:t>K. pneumoniae</w:t>
      </w:r>
      <w:r>
        <w:t xml:space="preserve">, 48 (73%) of which confirmed to be of the CTX-M type. </w:t>
      </w:r>
    </w:p>
    <w:p w14:paraId="2A59983E" w14:textId="77777777" w:rsidR="00CA5C3C" w:rsidRDefault="00CA5C3C">
      <w:pPr>
        <w:pStyle w:val="Heading2"/>
        <w:rPr>
          <w:rFonts w:eastAsia="Times New Roman"/>
        </w:rPr>
      </w:pPr>
      <w:r>
        <w:rPr>
          <w:rFonts w:eastAsia="Times New Roman"/>
        </w:rPr>
        <w:t xml:space="preserve">Enterobacter species </w:t>
      </w:r>
    </w:p>
    <w:p w14:paraId="4A324177" w14:textId="77777777" w:rsidR="00CA5C3C" w:rsidRDefault="00CA5C3C" w:rsidP="00610C36">
      <w:r>
        <w:t xml:space="preserve">Acquired resistance was common to piperacillin-tazobactam (19.9%/22.3% and 25.0%/29.0%), ceftriaxone (27.0%/27.0% and 33.1%/33.1%), ceftazidime (24.2%/26.5% and 29.1%/31.5%) and trimethoprim (15.2%/15.4% and 3.9%/3.9%) for </w:t>
      </w:r>
      <w:r w:rsidRPr="00E03670">
        <w:rPr>
          <w:rStyle w:val="Emphasis"/>
          <w:b w:val="0"/>
        </w:rPr>
        <w:t>E. cloacae</w:t>
      </w:r>
      <w:r>
        <w:t xml:space="preserve"> complex and </w:t>
      </w:r>
      <w:r w:rsidRPr="00E03670">
        <w:rPr>
          <w:rStyle w:val="Emphasis"/>
          <w:b w:val="0"/>
        </w:rPr>
        <w:t>E.</w:t>
      </w:r>
      <w:r>
        <w:t> </w:t>
      </w:r>
      <w:r w:rsidRPr="00E03670">
        <w:rPr>
          <w:rStyle w:val="Emphasis"/>
          <w:b w:val="0"/>
        </w:rPr>
        <w:t>aerogenes</w:t>
      </w:r>
      <w:r>
        <w:t xml:space="preserve">, respectively. Cefepime resistance was less than 13%; ciprofloxacin and gentamicin resistance were both less than 10%. Twenty-three </w:t>
      </w:r>
      <w:r w:rsidRPr="00E03670">
        <w:rPr>
          <w:rStyle w:val="Emphasis"/>
          <w:b w:val="0"/>
        </w:rPr>
        <w:t>E. cloacae</w:t>
      </w:r>
      <w:r>
        <w:t xml:space="preserve"> complex strains had elevated meropenem MICs. </w:t>
      </w:r>
    </w:p>
    <w:p w14:paraId="05063BE4" w14:textId="77777777" w:rsidR="00CA5C3C" w:rsidRDefault="00CA5C3C">
      <w:pPr>
        <w:pStyle w:val="Heading2"/>
        <w:rPr>
          <w:rFonts w:eastAsia="Times New Roman"/>
        </w:rPr>
      </w:pPr>
      <w:proofErr w:type="spellStart"/>
      <w:r>
        <w:rPr>
          <w:rFonts w:eastAsia="Times New Roman"/>
        </w:rPr>
        <w:t>Carbapenemase</w:t>
      </w:r>
      <w:proofErr w:type="spellEnd"/>
      <w:r>
        <w:rPr>
          <w:rFonts w:eastAsia="Times New Roman"/>
        </w:rPr>
        <w:t xml:space="preserve"> resistance </w:t>
      </w:r>
    </w:p>
    <w:p w14:paraId="5B343C25" w14:textId="77777777" w:rsidR="00CA5C3C" w:rsidRDefault="00CA5C3C" w:rsidP="00610C36">
      <w:r>
        <w:t xml:space="preserve">Overall, 28 isolates (25 patients) in 15 institutions from six states/territories were found to harbour a </w:t>
      </w:r>
      <w:proofErr w:type="spellStart"/>
      <w:r>
        <w:t>carbapenemase</w:t>
      </w:r>
      <w:proofErr w:type="spellEnd"/>
      <w:r>
        <w:t xml:space="preserve"> gene. </w:t>
      </w:r>
      <w:r w:rsidRPr="00E03670">
        <w:rPr>
          <w:rStyle w:val="Emphasis"/>
          <w:b w:val="0"/>
        </w:rPr>
        <w:t>bla</w:t>
      </w:r>
      <w:r>
        <w:rPr>
          <w:vertAlign w:val="subscript"/>
        </w:rPr>
        <w:t>IMP-4</w:t>
      </w:r>
      <w:r>
        <w:t xml:space="preserve"> was detected in </w:t>
      </w:r>
      <w:r w:rsidRPr="00E03670">
        <w:rPr>
          <w:rStyle w:val="Emphasis"/>
          <w:b w:val="0"/>
        </w:rPr>
        <w:t>E.</w:t>
      </w:r>
      <w:r>
        <w:t> </w:t>
      </w:r>
      <w:r w:rsidRPr="00E03670">
        <w:rPr>
          <w:rStyle w:val="Emphasis"/>
          <w:b w:val="0"/>
        </w:rPr>
        <w:t>cloacae</w:t>
      </w:r>
      <w:r>
        <w:t xml:space="preserve"> complex (7, from 6 patients), and in </w:t>
      </w:r>
      <w:r w:rsidR="00FB3A23">
        <w:rPr>
          <w:rStyle w:val="Emphasis"/>
          <w:b w:val="0"/>
        </w:rPr>
        <w:t>E.coli</w:t>
      </w:r>
      <w:r>
        <w:t xml:space="preserve"> (one), </w:t>
      </w:r>
      <w:r w:rsidRPr="00E03670">
        <w:rPr>
          <w:rStyle w:val="Emphasis"/>
          <w:b w:val="0"/>
        </w:rPr>
        <w:t>K. pneumoniae</w:t>
      </w:r>
      <w:r>
        <w:t xml:space="preserve"> (two), </w:t>
      </w:r>
      <w:r w:rsidRPr="00E03670">
        <w:rPr>
          <w:rStyle w:val="Emphasis"/>
          <w:b w:val="0"/>
        </w:rPr>
        <w:t>E. aerogenes</w:t>
      </w:r>
      <w:r>
        <w:t xml:space="preserve"> (one), </w:t>
      </w:r>
      <w:proofErr w:type="spellStart"/>
      <w:r w:rsidRPr="00E03670">
        <w:rPr>
          <w:rStyle w:val="Emphasis"/>
          <w:b w:val="0"/>
        </w:rPr>
        <w:t>Morganella</w:t>
      </w:r>
      <w:proofErr w:type="spellEnd"/>
      <w:r w:rsidRPr="00E03670">
        <w:rPr>
          <w:rStyle w:val="Emphasis"/>
          <w:b w:val="0"/>
        </w:rPr>
        <w:t xml:space="preserve"> morganii</w:t>
      </w:r>
      <w:r>
        <w:t xml:space="preserve"> (one)</w:t>
      </w:r>
      <w:r w:rsidRPr="00E03670">
        <w:rPr>
          <w:rStyle w:val="Emphasis"/>
          <w:b w:val="0"/>
        </w:rPr>
        <w:t>,</w:t>
      </w:r>
      <w:r>
        <w:t xml:space="preserve"> and </w:t>
      </w:r>
      <w:r w:rsidRPr="00E03670">
        <w:rPr>
          <w:rStyle w:val="Emphasis"/>
          <w:b w:val="0"/>
        </w:rPr>
        <w:t>Serratia marcescens</w:t>
      </w:r>
      <w:r>
        <w:t xml:space="preserve"> (one); </w:t>
      </w:r>
      <w:r w:rsidRPr="00E03670">
        <w:rPr>
          <w:rStyle w:val="Emphasis"/>
          <w:b w:val="0"/>
        </w:rPr>
        <w:t>bla</w:t>
      </w:r>
      <w:r>
        <w:rPr>
          <w:vertAlign w:val="subscript"/>
        </w:rPr>
        <w:t>IMP-14</w:t>
      </w:r>
      <w:r>
        <w:t xml:space="preserve"> was detected in </w:t>
      </w:r>
      <w:r w:rsidRPr="00E03670">
        <w:rPr>
          <w:rStyle w:val="Emphasis"/>
          <w:b w:val="0"/>
        </w:rPr>
        <w:t>Pseudomonas aeruginosa</w:t>
      </w:r>
      <w:r>
        <w:t xml:space="preserve"> (one); </w:t>
      </w:r>
      <w:r w:rsidRPr="00E03670">
        <w:rPr>
          <w:rStyle w:val="Emphasis"/>
          <w:b w:val="0"/>
        </w:rPr>
        <w:t>bla</w:t>
      </w:r>
      <w:r>
        <w:rPr>
          <w:vertAlign w:val="subscript"/>
        </w:rPr>
        <w:t>IMP-4+OXA-23</w:t>
      </w:r>
      <w:r>
        <w:t xml:space="preserve"> was detected in </w:t>
      </w:r>
      <w:r w:rsidRPr="00E03670">
        <w:rPr>
          <w:rStyle w:val="Emphasis"/>
          <w:b w:val="0"/>
        </w:rPr>
        <w:t>Acinetobacter baumannii</w:t>
      </w:r>
      <w:r>
        <w:t xml:space="preserve"> (three, from two patients); </w:t>
      </w:r>
      <w:r w:rsidRPr="00E03670">
        <w:rPr>
          <w:rStyle w:val="Emphasis"/>
          <w:b w:val="0"/>
        </w:rPr>
        <w:t>bla</w:t>
      </w:r>
      <w:r>
        <w:rPr>
          <w:vertAlign w:val="subscript"/>
        </w:rPr>
        <w:t>OXA-23</w:t>
      </w:r>
      <w:r>
        <w:t xml:space="preserve"> was detected in </w:t>
      </w:r>
      <w:r w:rsidRPr="00E03670">
        <w:rPr>
          <w:rStyle w:val="Emphasis"/>
          <w:b w:val="0"/>
        </w:rPr>
        <w:t>A. baumannii</w:t>
      </w:r>
      <w:r>
        <w:t xml:space="preserve"> (5, from 4 patients); </w:t>
      </w:r>
      <w:r w:rsidRPr="00E03670">
        <w:rPr>
          <w:rStyle w:val="Emphasis"/>
          <w:b w:val="0"/>
        </w:rPr>
        <w:t>bla</w:t>
      </w:r>
      <w:r>
        <w:rPr>
          <w:vertAlign w:val="subscript"/>
        </w:rPr>
        <w:t>NDM-4</w:t>
      </w:r>
      <w:r>
        <w:t xml:space="preserve"> was detected in one </w:t>
      </w:r>
      <w:r w:rsidRPr="00E03670">
        <w:rPr>
          <w:rStyle w:val="Emphasis"/>
          <w:b w:val="0"/>
        </w:rPr>
        <w:t>P. aeruginosa</w:t>
      </w:r>
      <w:r>
        <w:t xml:space="preserve">; </w:t>
      </w:r>
      <w:r w:rsidRPr="00E03670">
        <w:rPr>
          <w:rStyle w:val="Emphasis"/>
          <w:b w:val="0"/>
        </w:rPr>
        <w:t>bla</w:t>
      </w:r>
      <w:r>
        <w:rPr>
          <w:vertAlign w:val="subscript"/>
        </w:rPr>
        <w:t>NDM-1</w:t>
      </w:r>
      <w:r>
        <w:t xml:space="preserve"> was detected in one </w:t>
      </w:r>
      <w:r w:rsidRPr="00E03670">
        <w:rPr>
          <w:rStyle w:val="Emphasis"/>
          <w:b w:val="0"/>
        </w:rPr>
        <w:t>K. pneumoniae</w:t>
      </w:r>
      <w:r>
        <w:t xml:space="preserve">; </w:t>
      </w:r>
      <w:r w:rsidRPr="00E03670">
        <w:rPr>
          <w:rStyle w:val="Emphasis"/>
          <w:b w:val="0"/>
        </w:rPr>
        <w:t>bla</w:t>
      </w:r>
      <w:r>
        <w:rPr>
          <w:vertAlign w:val="subscript"/>
        </w:rPr>
        <w:t>OXA-181</w:t>
      </w:r>
      <w:r>
        <w:t xml:space="preserve"> was detected in one </w:t>
      </w:r>
      <w:r w:rsidRPr="00E03670">
        <w:rPr>
          <w:rStyle w:val="Emphasis"/>
          <w:b w:val="0"/>
        </w:rPr>
        <w:t>K. pneumoniae; bla</w:t>
      </w:r>
      <w:r>
        <w:rPr>
          <w:vertAlign w:val="subscript"/>
        </w:rPr>
        <w:t>OXA-48</w:t>
      </w:r>
      <w:r>
        <w:t xml:space="preserve"> was detected in one </w:t>
      </w:r>
      <w:r w:rsidRPr="00E03670">
        <w:rPr>
          <w:rStyle w:val="Emphasis"/>
          <w:b w:val="0"/>
        </w:rPr>
        <w:t>K. pneumoniae;</w:t>
      </w:r>
      <w:r>
        <w:t xml:space="preserve"> </w:t>
      </w:r>
      <w:r w:rsidRPr="00E03670">
        <w:rPr>
          <w:rStyle w:val="Emphasis"/>
          <w:b w:val="0"/>
        </w:rPr>
        <w:t>bla</w:t>
      </w:r>
      <w:r>
        <w:rPr>
          <w:vertAlign w:val="subscript"/>
        </w:rPr>
        <w:t>KPC-2</w:t>
      </w:r>
      <w:r>
        <w:t xml:space="preserve"> was detected in one </w:t>
      </w:r>
      <w:r w:rsidRPr="00E03670">
        <w:rPr>
          <w:rStyle w:val="Emphasis"/>
          <w:b w:val="0"/>
        </w:rPr>
        <w:t>K. pneumoniae</w:t>
      </w:r>
      <w:r>
        <w:t xml:space="preserve">; </w:t>
      </w:r>
      <w:r w:rsidRPr="00E03670">
        <w:rPr>
          <w:rStyle w:val="Emphasis"/>
          <w:b w:val="0"/>
        </w:rPr>
        <w:t>bla</w:t>
      </w:r>
      <w:r>
        <w:rPr>
          <w:vertAlign w:val="subscript"/>
        </w:rPr>
        <w:t xml:space="preserve">GES-5 </w:t>
      </w:r>
      <w:r>
        <w:t xml:space="preserve">was detected in one </w:t>
      </w:r>
      <w:r w:rsidRPr="00E03670">
        <w:rPr>
          <w:rStyle w:val="Emphasis"/>
          <w:b w:val="0"/>
        </w:rPr>
        <w:t>P. aeruginosa</w:t>
      </w:r>
      <w:r>
        <w:t xml:space="preserve">. </w:t>
      </w:r>
    </w:p>
    <w:p w14:paraId="7DF4389F" w14:textId="77777777" w:rsidR="00CA5C3C" w:rsidRDefault="00CA5C3C">
      <w:pPr>
        <w:pStyle w:val="Heading1"/>
        <w:rPr>
          <w:rFonts w:eastAsia="Times New Roman"/>
        </w:rPr>
      </w:pPr>
      <w:r>
        <w:rPr>
          <w:rFonts w:eastAsia="Times New Roman"/>
        </w:rPr>
        <w:t xml:space="preserve">Discussion </w:t>
      </w:r>
    </w:p>
    <w:p w14:paraId="1D2D1C28" w14:textId="77777777" w:rsidR="00CA5C3C" w:rsidRDefault="00CA5C3C" w:rsidP="00610C36">
      <w:r>
        <w:t>The Australian Group on Antimicrobial Resistance has been tracking resistance in sentinel enteric Gram-negative bacteria since 1992. From 2008, surveillance was segregated into hospital versus community onset infections. The last year of hospital onset only surveillance was 2011.</w:t>
      </w:r>
      <w:r>
        <w:rPr>
          <w:vertAlign w:val="superscript"/>
        </w:rPr>
        <w:t>15</w:t>
      </w:r>
      <w:r>
        <w:t xml:space="preserve"> In 2013, the first survey of antimicrobial resistance among Enterobacteriaceae isolates from bacteraemic patients through</w:t>
      </w:r>
      <w:r w:rsidR="00AD57E4">
        <w:t>out</w:t>
      </w:r>
      <w:r>
        <w:t xml:space="preserve"> Australia was conducted using an approach </w:t>
      </w:r>
      <w:r>
        <w:lastRenderedPageBreak/>
        <w:t xml:space="preserve">similar to that conducted by the European EARS-Net program. 2016 was the fourth survey of antimicrobial resistance among Enterobacteriaceae, and the second for </w:t>
      </w:r>
      <w:r w:rsidRPr="00E03670">
        <w:rPr>
          <w:rStyle w:val="Emphasis"/>
          <w:b w:val="0"/>
        </w:rPr>
        <w:t>P.</w:t>
      </w:r>
      <w:r>
        <w:t> </w:t>
      </w:r>
      <w:r w:rsidRPr="00E03670">
        <w:rPr>
          <w:rStyle w:val="Emphasis"/>
          <w:b w:val="0"/>
        </w:rPr>
        <w:t>aeruginosa</w:t>
      </w:r>
      <w:r>
        <w:t xml:space="preserve"> and </w:t>
      </w:r>
      <w:r w:rsidRPr="00E03670">
        <w:rPr>
          <w:rStyle w:val="Emphasis"/>
          <w:b w:val="0"/>
        </w:rPr>
        <w:t>Acinetobacter</w:t>
      </w:r>
      <w:r>
        <w:t xml:space="preserve"> spp. from bacteraemic patients through Australia. </w:t>
      </w:r>
    </w:p>
    <w:p w14:paraId="669DEFB0" w14:textId="77777777" w:rsidR="00CA5C3C" w:rsidRDefault="00CA5C3C" w:rsidP="00610C36">
      <w:r>
        <w:t xml:space="preserve">CTX-M-producing </w:t>
      </w:r>
      <w:r w:rsidR="00FB3A23">
        <w:rPr>
          <w:rStyle w:val="Emphasis"/>
          <w:b w:val="0"/>
        </w:rPr>
        <w:t>E.coli</w:t>
      </w:r>
      <w:r>
        <w:t xml:space="preserve"> and </w:t>
      </w:r>
      <w:r w:rsidRPr="00E03670">
        <w:rPr>
          <w:rStyle w:val="Emphasis"/>
          <w:b w:val="0"/>
        </w:rPr>
        <w:t>Klebsiella</w:t>
      </w:r>
      <w:r>
        <w:t xml:space="preserve"> species and gentamicin- and ciprofloxacin-resistant </w:t>
      </w:r>
      <w:r w:rsidR="00FB3A23">
        <w:rPr>
          <w:rStyle w:val="Emphasis"/>
          <w:b w:val="0"/>
        </w:rPr>
        <w:t>E.coli</w:t>
      </w:r>
      <w:r>
        <w:t xml:space="preserve"> continued to be a problem in patients with bacteraemia. Of concern is the high proportion of </w:t>
      </w:r>
      <w:r w:rsidR="00FB3A23">
        <w:rPr>
          <w:rStyle w:val="Emphasis"/>
          <w:b w:val="0"/>
        </w:rPr>
        <w:t>E.coli</w:t>
      </w:r>
      <w:r w:rsidRPr="00E03670">
        <w:rPr>
          <w:rStyle w:val="Emphasis"/>
          <w:b w:val="0"/>
        </w:rPr>
        <w:t xml:space="preserve"> </w:t>
      </w:r>
      <w:r>
        <w:t xml:space="preserve">that belong to the O25b-ST131 clone. Carbapenem resistance attributable to acquired </w:t>
      </w:r>
      <w:proofErr w:type="spellStart"/>
      <w:r>
        <w:t>carbapenemases</w:t>
      </w:r>
      <w:proofErr w:type="spellEnd"/>
      <w:r>
        <w:t xml:space="preserve"> are still uncommon in patients with bacteraemia in Australia, although six different types (IMP, KPC, NDM, OXA-48-like, VIM, and GES) were detected from 15 of the participating institutions. Compared with many other countries in our region, resistance rates in Australian Gram-negative bacteria are still relatively low</w:t>
      </w:r>
      <w:r>
        <w:rPr>
          <w:vertAlign w:val="superscript"/>
        </w:rPr>
        <w:t>16</w:t>
      </w:r>
      <w:r>
        <w:t xml:space="preserve">, but similar to those observed in 2016 in many Western European countries http://ecdc.europa.eu/sites/portal/files/‌documents/AMR-surveillance-Europe-2016.pdf. </w:t>
      </w:r>
    </w:p>
    <w:p w14:paraId="540125E0" w14:textId="77777777" w:rsidR="00CA5C3C" w:rsidRDefault="00CA5C3C" w:rsidP="00610C36">
      <w:r>
        <w:t xml:space="preserve">Multi-resistance is being increasingly observed, especially in </w:t>
      </w:r>
      <w:r w:rsidR="00FB3A23">
        <w:rPr>
          <w:rStyle w:val="Emphasis"/>
          <w:b w:val="0"/>
        </w:rPr>
        <w:t>E.coli</w:t>
      </w:r>
      <w:r>
        <w:t xml:space="preserve"> and </w:t>
      </w:r>
      <w:r w:rsidRPr="00E03670">
        <w:rPr>
          <w:rStyle w:val="Emphasis"/>
          <w:b w:val="0"/>
        </w:rPr>
        <w:t>E. cloacae</w:t>
      </w:r>
      <w:r>
        <w:t xml:space="preserve"> complex, both of which have multi-resistance rates (as defined by AGAR) above 17%. This is likely to drive more broad-spectrum antibiotic </w:t>
      </w:r>
      <w:proofErr w:type="gramStart"/>
      <w:r>
        <w:t>use, and</w:t>
      </w:r>
      <w:proofErr w:type="gramEnd"/>
      <w:r>
        <w:t xml:space="preserve"> increase the resistance selection pressure for important reserve classes, especially the </w:t>
      </w:r>
      <w:proofErr w:type="spellStart"/>
      <w:r>
        <w:t>carbapenemases</w:t>
      </w:r>
      <w:proofErr w:type="spellEnd"/>
      <w:r>
        <w:t xml:space="preserve">. </w:t>
      </w:r>
    </w:p>
    <w:p w14:paraId="4B16F4A4" w14:textId="77777777" w:rsidR="00CA5C3C" w:rsidRDefault="00CA5C3C">
      <w:pPr>
        <w:pStyle w:val="Heading1"/>
        <w:rPr>
          <w:rFonts w:eastAsia="Times New Roman"/>
        </w:rPr>
      </w:pPr>
      <w:r>
        <w:rPr>
          <w:rFonts w:eastAsia="Times New Roman"/>
        </w:rPr>
        <w:t xml:space="preserve">Agar participants </w:t>
      </w:r>
    </w:p>
    <w:p w14:paraId="4AB4117E" w14:textId="77777777" w:rsidR="00CA5C3C" w:rsidRDefault="00CA5C3C">
      <w:pPr>
        <w:pStyle w:val="Heading2"/>
        <w:rPr>
          <w:rFonts w:eastAsia="Times New Roman"/>
        </w:rPr>
      </w:pPr>
      <w:r>
        <w:rPr>
          <w:rStyle w:val="Strong"/>
          <w:rFonts w:eastAsia="Times New Roman"/>
          <w:b/>
          <w:bCs/>
        </w:rPr>
        <w:t xml:space="preserve">Australian Capital Territory </w:t>
      </w:r>
    </w:p>
    <w:p w14:paraId="790FE769" w14:textId="77777777" w:rsidR="00CA5C3C" w:rsidRDefault="00CA5C3C" w:rsidP="00610C36">
      <w:r>
        <w:t xml:space="preserve">Peter Collignon and Susan Bradbury, Canberra Hospital </w:t>
      </w:r>
    </w:p>
    <w:p w14:paraId="722DA2C6" w14:textId="77777777" w:rsidR="00CA5C3C" w:rsidRDefault="00CA5C3C">
      <w:pPr>
        <w:pStyle w:val="Heading2"/>
        <w:rPr>
          <w:rFonts w:eastAsia="Times New Roman"/>
        </w:rPr>
      </w:pPr>
      <w:r>
        <w:rPr>
          <w:rStyle w:val="Strong"/>
          <w:rFonts w:eastAsia="Times New Roman"/>
          <w:b/>
          <w:bCs/>
        </w:rPr>
        <w:t xml:space="preserve">New South Wales </w:t>
      </w:r>
    </w:p>
    <w:p w14:paraId="5BCA7B0B" w14:textId="77777777" w:rsidR="00CA5C3C" w:rsidRDefault="00CA5C3C" w:rsidP="00610C36">
      <w:r>
        <w:t xml:space="preserve">Thomas Gottlieb and Graham Robertson, Concord Hospital </w:t>
      </w:r>
    </w:p>
    <w:p w14:paraId="01DF2B3E" w14:textId="77777777" w:rsidR="00CA5C3C" w:rsidRDefault="00CA5C3C" w:rsidP="00610C36">
      <w:r>
        <w:t xml:space="preserve">Rodney </w:t>
      </w:r>
      <w:proofErr w:type="spellStart"/>
      <w:r>
        <w:t>Givney</w:t>
      </w:r>
      <w:proofErr w:type="spellEnd"/>
      <w:r>
        <w:t xml:space="preserve"> and Ian </w:t>
      </w:r>
      <w:proofErr w:type="spellStart"/>
      <w:r>
        <w:t>Winney</w:t>
      </w:r>
      <w:proofErr w:type="spellEnd"/>
      <w:r>
        <w:t xml:space="preserve">, John Hunter Hospital </w:t>
      </w:r>
    </w:p>
    <w:p w14:paraId="698A9F9F" w14:textId="77777777" w:rsidR="00CA5C3C" w:rsidRDefault="00CA5C3C" w:rsidP="00610C36">
      <w:r>
        <w:t xml:space="preserve">James </w:t>
      </w:r>
      <w:proofErr w:type="spellStart"/>
      <w:r>
        <w:t>Branley</w:t>
      </w:r>
      <w:proofErr w:type="spellEnd"/>
      <w:r>
        <w:t xml:space="preserve"> and Linda Douglass, Nepean Hospital </w:t>
      </w:r>
    </w:p>
    <w:p w14:paraId="061A7627" w14:textId="77777777" w:rsidR="00CA5C3C" w:rsidRDefault="00CA5C3C" w:rsidP="00610C36">
      <w:r>
        <w:t xml:space="preserve">Peter Huntington, Royal North Shore Hospital </w:t>
      </w:r>
    </w:p>
    <w:p w14:paraId="4033630D" w14:textId="77777777" w:rsidR="00CA5C3C" w:rsidRDefault="00CA5C3C" w:rsidP="00610C36">
      <w:r>
        <w:t xml:space="preserve">Sebastian van Hal and Bradley Watson, Royal Prince Alfred Hospital </w:t>
      </w:r>
    </w:p>
    <w:p w14:paraId="0E6BBBFF" w14:textId="77777777" w:rsidR="00CA5C3C" w:rsidRDefault="00CA5C3C" w:rsidP="00610C36">
      <w:r>
        <w:t xml:space="preserve">Jon Iredell and Andrew Ginn, Westmead Hospital </w:t>
      </w:r>
    </w:p>
    <w:p w14:paraId="5617EA0C" w14:textId="77777777" w:rsidR="00CA5C3C" w:rsidRDefault="00CA5C3C" w:rsidP="00610C36">
      <w:r>
        <w:t xml:space="preserve">Peter Newton and Melissa Hoddle, Wollongong Hospital </w:t>
      </w:r>
    </w:p>
    <w:p w14:paraId="6E7AA1FA" w14:textId="77777777" w:rsidR="00CA5C3C" w:rsidRDefault="00CA5C3C">
      <w:pPr>
        <w:pStyle w:val="Heading2"/>
        <w:rPr>
          <w:rFonts w:eastAsia="Times New Roman"/>
        </w:rPr>
      </w:pPr>
      <w:r>
        <w:rPr>
          <w:rStyle w:val="Strong"/>
          <w:rFonts w:eastAsia="Times New Roman"/>
          <w:b/>
          <w:bCs/>
        </w:rPr>
        <w:t xml:space="preserve">Northern Territory </w:t>
      </w:r>
    </w:p>
    <w:p w14:paraId="71A4E8EE" w14:textId="77777777" w:rsidR="00CA5C3C" w:rsidRDefault="00CA5C3C" w:rsidP="00610C36">
      <w:r>
        <w:t xml:space="preserve">James McLeod, Alice Springs Hospital </w:t>
      </w:r>
    </w:p>
    <w:p w14:paraId="5E88EF11" w14:textId="77777777" w:rsidR="00CA5C3C" w:rsidRDefault="00CA5C3C" w:rsidP="00610C36">
      <w:r>
        <w:t xml:space="preserve">Rob Baird and Jann Hennessy, Royal Darwin Hospital </w:t>
      </w:r>
    </w:p>
    <w:p w14:paraId="46483BB6" w14:textId="77777777" w:rsidR="00CA5C3C" w:rsidRDefault="00CA5C3C">
      <w:pPr>
        <w:pStyle w:val="Heading2"/>
        <w:rPr>
          <w:rFonts w:eastAsia="Times New Roman"/>
        </w:rPr>
      </w:pPr>
      <w:r>
        <w:rPr>
          <w:rStyle w:val="Strong"/>
          <w:rFonts w:eastAsia="Times New Roman"/>
          <w:b/>
          <w:bCs/>
        </w:rPr>
        <w:t xml:space="preserve">Queensland </w:t>
      </w:r>
    </w:p>
    <w:p w14:paraId="5C279B78" w14:textId="77777777" w:rsidR="00CA5C3C" w:rsidRDefault="00CA5C3C" w:rsidP="00610C36">
      <w:r>
        <w:t xml:space="preserve">Enzo Binotto and Bronwyn </w:t>
      </w:r>
      <w:proofErr w:type="spellStart"/>
      <w:r>
        <w:t>Thomsett</w:t>
      </w:r>
      <w:proofErr w:type="spellEnd"/>
      <w:r>
        <w:t xml:space="preserve">, Pathology Queensland Cairns Base Hospital </w:t>
      </w:r>
    </w:p>
    <w:p w14:paraId="76842913" w14:textId="77777777" w:rsidR="00CA5C3C" w:rsidRDefault="00CA5C3C" w:rsidP="00610C36">
      <w:r>
        <w:t xml:space="preserve">Graeme Nimmo and Narelle George, Pathology Queensland Central Laboratory </w:t>
      </w:r>
    </w:p>
    <w:p w14:paraId="4728BFFA" w14:textId="77777777" w:rsidR="00CA5C3C" w:rsidRDefault="00CA5C3C" w:rsidP="00610C36">
      <w:r>
        <w:t xml:space="preserve">Petra </w:t>
      </w:r>
      <w:proofErr w:type="spellStart"/>
      <w:r>
        <w:t>Derrington</w:t>
      </w:r>
      <w:proofErr w:type="spellEnd"/>
      <w:r>
        <w:t xml:space="preserve"> and Cheryl Curtis, Pathology Queensland Gold Coast Hospital </w:t>
      </w:r>
    </w:p>
    <w:p w14:paraId="0159C040" w14:textId="77777777" w:rsidR="00CA5C3C" w:rsidRDefault="00CA5C3C" w:rsidP="00610C36">
      <w:r>
        <w:t xml:space="preserve">Robert Horvath and Laura Martin, Pathology Queensland Prince Charles Hospital </w:t>
      </w:r>
    </w:p>
    <w:p w14:paraId="6B311656" w14:textId="77777777" w:rsidR="00CA5C3C" w:rsidRDefault="00CA5C3C" w:rsidP="00610C36">
      <w:r>
        <w:t xml:space="preserve">Naomi </w:t>
      </w:r>
      <w:proofErr w:type="spellStart"/>
      <w:r>
        <w:t>Runnegar</w:t>
      </w:r>
      <w:proofErr w:type="spellEnd"/>
      <w:r>
        <w:t xml:space="preserve"> and Joel Douglas, Pathology Queensland Princess Alexandra Hospital </w:t>
      </w:r>
    </w:p>
    <w:p w14:paraId="5532DF32" w14:textId="77777777" w:rsidR="00CA5C3C" w:rsidRDefault="00CA5C3C" w:rsidP="00610C36">
      <w:r>
        <w:lastRenderedPageBreak/>
        <w:t xml:space="preserve">Jenny Robson and Georgia Peachey, Sullivan Nicolaides Pathology </w:t>
      </w:r>
    </w:p>
    <w:p w14:paraId="1BA97395" w14:textId="77777777" w:rsidR="00CA5C3C" w:rsidRDefault="00CA5C3C">
      <w:pPr>
        <w:pStyle w:val="Heading2"/>
        <w:rPr>
          <w:rFonts w:eastAsia="Times New Roman"/>
        </w:rPr>
      </w:pPr>
      <w:r>
        <w:rPr>
          <w:rStyle w:val="Strong"/>
          <w:rFonts w:eastAsia="Times New Roman"/>
          <w:b/>
          <w:bCs/>
        </w:rPr>
        <w:t xml:space="preserve">South Australia </w:t>
      </w:r>
    </w:p>
    <w:p w14:paraId="4EC3DC9E" w14:textId="77777777" w:rsidR="00CA5C3C" w:rsidRDefault="00CA5C3C" w:rsidP="00610C36">
      <w:r>
        <w:t xml:space="preserve">Kelly </w:t>
      </w:r>
      <w:proofErr w:type="spellStart"/>
      <w:r>
        <w:t>Papanaoum</w:t>
      </w:r>
      <w:proofErr w:type="spellEnd"/>
      <w:r>
        <w:t xml:space="preserve"> and Xiao Chen, SA Pathology, Flinders Medical Centre </w:t>
      </w:r>
    </w:p>
    <w:p w14:paraId="4AF369CC" w14:textId="77777777" w:rsidR="00CA5C3C" w:rsidRDefault="00CA5C3C" w:rsidP="00610C36">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772E8D20" w14:textId="77777777" w:rsidR="00CA5C3C" w:rsidRDefault="00CA5C3C">
      <w:pPr>
        <w:pStyle w:val="Heading2"/>
        <w:rPr>
          <w:rFonts w:eastAsia="Times New Roman"/>
        </w:rPr>
      </w:pPr>
      <w:r>
        <w:rPr>
          <w:rStyle w:val="Strong"/>
          <w:rFonts w:eastAsia="Times New Roman"/>
          <w:b/>
          <w:bCs/>
        </w:rPr>
        <w:t xml:space="preserve">Tasmania </w:t>
      </w:r>
    </w:p>
    <w:p w14:paraId="4FE8F28B" w14:textId="77777777" w:rsidR="00CA5C3C" w:rsidRDefault="00CA5C3C" w:rsidP="00610C36">
      <w:proofErr w:type="spellStart"/>
      <w:r>
        <w:t>Pankaja</w:t>
      </w:r>
      <w:proofErr w:type="spellEnd"/>
      <w:r>
        <w:t xml:space="preserve"> </w:t>
      </w:r>
      <w:proofErr w:type="spellStart"/>
      <w:r>
        <w:t>Kalukottege</w:t>
      </w:r>
      <w:proofErr w:type="spellEnd"/>
      <w:r>
        <w:t xml:space="preserve"> and Kathy Wilson, Launceston General Hospital </w:t>
      </w:r>
    </w:p>
    <w:p w14:paraId="36ADAA52" w14:textId="77777777" w:rsidR="00CA5C3C" w:rsidRDefault="00CA5C3C" w:rsidP="00610C36">
      <w:r>
        <w:t xml:space="preserve">Louise Cooley and David Jones, Royal Hobart Hospital </w:t>
      </w:r>
    </w:p>
    <w:p w14:paraId="3F6BCDE0" w14:textId="77777777" w:rsidR="00CA5C3C" w:rsidRDefault="00CA5C3C">
      <w:pPr>
        <w:pStyle w:val="Heading2"/>
        <w:rPr>
          <w:rFonts w:eastAsia="Times New Roman"/>
        </w:rPr>
      </w:pPr>
      <w:r>
        <w:rPr>
          <w:rFonts w:eastAsia="Times New Roman"/>
        </w:rPr>
        <w:t xml:space="preserve">Victoria </w:t>
      </w:r>
    </w:p>
    <w:p w14:paraId="25C5EC29" w14:textId="77777777" w:rsidR="00CA5C3C" w:rsidRDefault="00CA5C3C" w:rsidP="00610C36">
      <w:r>
        <w:t xml:space="preserve">Denis Spelman and Rose Bernhard, Alfred Hospital </w:t>
      </w:r>
    </w:p>
    <w:p w14:paraId="350195F2" w14:textId="77777777" w:rsidR="00CA5C3C" w:rsidRDefault="00CA5C3C" w:rsidP="00610C36">
      <w:r>
        <w:t xml:space="preserve">Paul Johnson and Frances </w:t>
      </w:r>
      <w:proofErr w:type="spellStart"/>
      <w:r>
        <w:t>Hurren</w:t>
      </w:r>
      <w:proofErr w:type="spellEnd"/>
      <w:r>
        <w:t xml:space="preserve">, Austin Health </w:t>
      </w:r>
    </w:p>
    <w:p w14:paraId="18E22F78" w14:textId="77777777" w:rsidR="00CA5C3C" w:rsidRDefault="00CA5C3C" w:rsidP="00610C36">
      <w:r>
        <w:t xml:space="preserve">Tony </w:t>
      </w:r>
      <w:proofErr w:type="spellStart"/>
      <w:r>
        <w:t>Korman</w:t>
      </w:r>
      <w:proofErr w:type="spellEnd"/>
      <w:r>
        <w:t xml:space="preserve"> and Despina </w:t>
      </w:r>
      <w:proofErr w:type="spellStart"/>
      <w:r>
        <w:t>Kotsanas</w:t>
      </w:r>
      <w:proofErr w:type="spellEnd"/>
      <w:r>
        <w:t xml:space="preserve">, Monash Health, Monash Medical Centre </w:t>
      </w:r>
    </w:p>
    <w:p w14:paraId="3843DE2B" w14:textId="77777777" w:rsidR="00CA5C3C" w:rsidRDefault="00CA5C3C" w:rsidP="00610C36">
      <w:r>
        <w:t xml:space="preserve">Andrew Daley and Gena </w:t>
      </w:r>
      <w:proofErr w:type="spellStart"/>
      <w:r>
        <w:t>Gonis</w:t>
      </w:r>
      <w:proofErr w:type="spellEnd"/>
      <w:r>
        <w:t xml:space="preserve">, Royal </w:t>
      </w:r>
      <w:proofErr w:type="gramStart"/>
      <w:r>
        <w:t>Women’s</w:t>
      </w:r>
      <w:proofErr w:type="gramEnd"/>
      <w:r>
        <w:t xml:space="preserve"> and Children’s Hospital </w:t>
      </w:r>
    </w:p>
    <w:p w14:paraId="1EAEEDB7" w14:textId="77777777" w:rsidR="00CA5C3C" w:rsidRDefault="00CA5C3C" w:rsidP="00610C36">
      <w:r>
        <w:t xml:space="preserve">Mary Jo Waters and Lisa Brenton, St Vincent’s Hospital </w:t>
      </w:r>
    </w:p>
    <w:p w14:paraId="37E25402" w14:textId="77777777" w:rsidR="00CA5C3C" w:rsidRDefault="00CA5C3C">
      <w:pPr>
        <w:pStyle w:val="Heading2"/>
        <w:rPr>
          <w:rFonts w:eastAsia="Times New Roman"/>
        </w:rPr>
      </w:pPr>
      <w:r>
        <w:rPr>
          <w:rStyle w:val="Strong"/>
          <w:rFonts w:eastAsia="Times New Roman"/>
          <w:b/>
          <w:bCs/>
        </w:rPr>
        <w:t xml:space="preserve">Western Australia </w:t>
      </w:r>
    </w:p>
    <w:p w14:paraId="00BD91FE" w14:textId="77777777" w:rsidR="00CA5C3C" w:rsidRDefault="00CA5C3C" w:rsidP="00610C36">
      <w:proofErr w:type="spellStart"/>
      <w:r>
        <w:t>Shalinie</w:t>
      </w:r>
      <w:proofErr w:type="spellEnd"/>
      <w:r>
        <w:t xml:space="preserve"> Perera and Ian Meyer, Joondalup Hospital </w:t>
      </w:r>
    </w:p>
    <w:p w14:paraId="039678C5" w14:textId="77777777" w:rsidR="00CA5C3C" w:rsidRDefault="00CA5C3C" w:rsidP="00610C36">
      <w:r>
        <w:t xml:space="preserve">David </w:t>
      </w:r>
      <w:proofErr w:type="spellStart"/>
      <w:r>
        <w:t>McGechie</w:t>
      </w:r>
      <w:proofErr w:type="spellEnd"/>
      <w:r>
        <w:t xml:space="preserve"> and Denise Daley, </w:t>
      </w:r>
      <w:proofErr w:type="spellStart"/>
      <w:r>
        <w:t>PathWest</w:t>
      </w:r>
      <w:proofErr w:type="spellEnd"/>
      <w:r>
        <w:t xml:space="preserve"> Laboratory Medicine WA, Fiona Stanley Hospital </w:t>
      </w:r>
    </w:p>
    <w:p w14:paraId="3EA3D996" w14:textId="77777777" w:rsidR="00CA5C3C" w:rsidRDefault="00CA5C3C" w:rsidP="00610C36">
      <w:r>
        <w:t xml:space="preserve">Ronan Murray and Jacinta Bowman, </w:t>
      </w:r>
      <w:proofErr w:type="spellStart"/>
      <w:r>
        <w:t>PathWest</w:t>
      </w:r>
      <w:proofErr w:type="spellEnd"/>
      <w:r>
        <w:t xml:space="preserve"> Laboratory Medicine WA, Queen Elizabeth II Medical Centre </w:t>
      </w:r>
    </w:p>
    <w:p w14:paraId="2EDF216C" w14:textId="77777777" w:rsidR="00CA5C3C" w:rsidRDefault="00CA5C3C" w:rsidP="00610C36">
      <w:r>
        <w:t xml:space="preserve">Michael Leung, </w:t>
      </w:r>
      <w:proofErr w:type="spellStart"/>
      <w:r>
        <w:t>PathWest</w:t>
      </w:r>
      <w:proofErr w:type="spellEnd"/>
      <w:r>
        <w:t xml:space="preserve"> Laboratory Medicine WA, remote WA </w:t>
      </w:r>
    </w:p>
    <w:p w14:paraId="4112033A" w14:textId="77777777" w:rsidR="00CA5C3C" w:rsidRDefault="00CA5C3C" w:rsidP="00610C36">
      <w:r>
        <w:t xml:space="preserve">Owen Robinson and Geoffrey Coombs, </w:t>
      </w:r>
      <w:proofErr w:type="spellStart"/>
      <w:r>
        <w:t>PathWest</w:t>
      </w:r>
      <w:proofErr w:type="spellEnd"/>
      <w:r>
        <w:t xml:space="preserve"> Laboratory Medicine WA, Royal Perth Hospital </w:t>
      </w:r>
    </w:p>
    <w:p w14:paraId="6B129D7C" w14:textId="77777777" w:rsidR="00CA5C3C" w:rsidRDefault="00CA5C3C" w:rsidP="00610C36">
      <w:r>
        <w:t xml:space="preserve">Sudha </w:t>
      </w:r>
      <w:proofErr w:type="spellStart"/>
      <w:r>
        <w:t>Pottumarthy-Boddu</w:t>
      </w:r>
      <w:proofErr w:type="spellEnd"/>
      <w:r>
        <w:t xml:space="preserve"> and Fay </w:t>
      </w:r>
      <w:proofErr w:type="spellStart"/>
      <w:r>
        <w:t>Kappler</w:t>
      </w:r>
      <w:proofErr w:type="spellEnd"/>
      <w:r>
        <w:t xml:space="preserve">, St John of God Pathology </w:t>
      </w:r>
    </w:p>
    <w:p w14:paraId="4430A0F2" w14:textId="77777777" w:rsidR="00CA5C3C" w:rsidRDefault="00CA5C3C">
      <w:pPr>
        <w:pStyle w:val="Heading1"/>
        <w:rPr>
          <w:rFonts w:eastAsia="Times New Roman"/>
        </w:rPr>
      </w:pPr>
      <w:r>
        <w:rPr>
          <w:rFonts w:eastAsia="Times New Roman"/>
        </w:rPr>
        <w:t xml:space="preserve">Author Details </w:t>
      </w:r>
    </w:p>
    <w:p w14:paraId="189B4A58" w14:textId="77777777" w:rsidR="00CA5C3C" w:rsidRDefault="00CA5C3C" w:rsidP="00FB5FC3">
      <w:r>
        <w:rPr>
          <w:vertAlign w:val="superscript"/>
        </w:rPr>
        <w:t>1</w:t>
      </w:r>
      <w:r>
        <w:t>Ms Jan M Bell,</w:t>
      </w:r>
      <w:r>
        <w:rPr>
          <w:vertAlign w:val="superscript"/>
        </w:rPr>
        <w:t xml:space="preserve"> 2</w:t>
      </w:r>
      <w:r>
        <w:t>A /Prof Thomas Gottlieb,</w:t>
      </w:r>
      <w:r>
        <w:rPr>
          <w:vertAlign w:val="superscript"/>
        </w:rPr>
        <w:t xml:space="preserve"> 3</w:t>
      </w:r>
      <w:r>
        <w:t>Ms Denise A Daley,</w:t>
      </w:r>
      <w:r>
        <w:rPr>
          <w:vertAlign w:val="superscript"/>
        </w:rPr>
        <w:t xml:space="preserve"> 4,5 </w:t>
      </w:r>
      <w:r>
        <w:t xml:space="preserve">Prof Geoffrey W Coombs </w:t>
      </w:r>
    </w:p>
    <w:p w14:paraId="187FD110" w14:textId="77777777" w:rsidR="00CA5C3C" w:rsidRDefault="00CA5C3C" w:rsidP="00CA5C3C">
      <w:pPr>
        <w:numPr>
          <w:ilvl w:val="0"/>
          <w:numId w:val="6"/>
        </w:numPr>
        <w:spacing w:before="100" w:beforeAutospacing="1" w:after="100" w:afterAutospacing="1" w:line="240" w:lineRule="auto"/>
        <w:rPr>
          <w:rFonts w:eastAsia="Times New Roman"/>
        </w:rPr>
      </w:pPr>
      <w:r>
        <w:rPr>
          <w:rFonts w:eastAsia="Times New Roman"/>
        </w:rPr>
        <w:t xml:space="preserve">University of Adelaide, Adelaide, South Australia, Australia </w:t>
      </w:r>
    </w:p>
    <w:p w14:paraId="7A84040A" w14:textId="77777777" w:rsidR="00CA5C3C" w:rsidRDefault="00CA5C3C" w:rsidP="00CA5C3C">
      <w:pPr>
        <w:numPr>
          <w:ilvl w:val="0"/>
          <w:numId w:val="6"/>
        </w:numPr>
        <w:spacing w:before="100" w:beforeAutospacing="1" w:after="100" w:afterAutospacing="1" w:line="240" w:lineRule="auto"/>
        <w:rPr>
          <w:rFonts w:eastAsia="Times New Roman"/>
        </w:rPr>
      </w:pPr>
      <w:r>
        <w:rPr>
          <w:rFonts w:eastAsia="Times New Roman"/>
        </w:rPr>
        <w:t xml:space="preserve">Concord Hospital, Concord, New South Wales </w:t>
      </w:r>
    </w:p>
    <w:p w14:paraId="359BDA6F" w14:textId="77777777" w:rsidR="00CA5C3C" w:rsidRDefault="00CA5C3C" w:rsidP="00CA5C3C">
      <w:pPr>
        <w:numPr>
          <w:ilvl w:val="0"/>
          <w:numId w:val="6"/>
        </w:numPr>
        <w:spacing w:before="100" w:beforeAutospacing="1" w:after="100" w:afterAutospacing="1" w:line="240" w:lineRule="auto"/>
        <w:rPr>
          <w:rFonts w:eastAsia="Times New Roman"/>
        </w:rPr>
      </w:pPr>
      <w:r>
        <w:rPr>
          <w:rFonts w:eastAsia="Times New Roman"/>
        </w:rPr>
        <w:t xml:space="preserve">Australian Group on Antimicrobial Resistance, Fiona Stanley Hospital, Murdoch, Western Australia, Australia </w:t>
      </w:r>
    </w:p>
    <w:p w14:paraId="3717B642" w14:textId="77777777" w:rsidR="00CA5C3C" w:rsidRDefault="00CA5C3C" w:rsidP="00CA5C3C">
      <w:pPr>
        <w:numPr>
          <w:ilvl w:val="0"/>
          <w:numId w:val="6"/>
        </w:numPr>
        <w:spacing w:before="100" w:beforeAutospacing="1" w:after="100" w:afterAutospacing="1" w:line="240" w:lineRule="auto"/>
        <w:rPr>
          <w:rFonts w:eastAsia="Times New Roman"/>
        </w:rPr>
      </w:pPr>
      <w:r>
        <w:rPr>
          <w:rFonts w:eastAsia="Times New Roman"/>
        </w:rPr>
        <w:t xml:space="preserve">Antimicrobial Resistance and Infectious Diseases Laboratory, School of Veterinary and Life Sciences, Murdoch University, Murdoch, Western Australia, Australia </w:t>
      </w:r>
    </w:p>
    <w:p w14:paraId="23B7C4F7" w14:textId="77777777" w:rsidR="00CA5C3C" w:rsidRDefault="00CA5C3C" w:rsidP="00CA5C3C">
      <w:pPr>
        <w:numPr>
          <w:ilvl w:val="0"/>
          <w:numId w:val="6"/>
        </w:numPr>
        <w:spacing w:before="100" w:beforeAutospacing="1" w:after="100" w:afterAutospacing="1" w:line="240" w:lineRule="auto"/>
        <w:rPr>
          <w:rFonts w:eastAsia="Times New Roman"/>
        </w:rPr>
      </w:pPr>
      <w:r>
        <w:rPr>
          <w:rFonts w:eastAsia="Times New Roman"/>
        </w:rPr>
        <w:t xml:space="preserve">Department of Microbiology, </w:t>
      </w:r>
      <w:proofErr w:type="spellStart"/>
      <w:r>
        <w:rPr>
          <w:rFonts w:eastAsia="Times New Roman"/>
        </w:rPr>
        <w:t>PathWest</w:t>
      </w:r>
      <w:proofErr w:type="spellEnd"/>
      <w:r>
        <w:rPr>
          <w:rFonts w:eastAsia="Times New Roman"/>
        </w:rPr>
        <w:t xml:space="preserve"> Laboratory Medicine-WA, Fiona Stanley Hospital, Murdoch, Western Australia, Australia </w:t>
      </w:r>
    </w:p>
    <w:p w14:paraId="5C0BFA0A" w14:textId="77777777" w:rsidR="00FB5FC3" w:rsidRDefault="00FB5FC3">
      <w:pPr>
        <w:rPr>
          <w:rFonts w:asciiTheme="majorHAnsi" w:eastAsia="Times New Roman" w:hAnsiTheme="majorHAnsi" w:cstheme="majorBidi"/>
          <w:b/>
          <w:bCs/>
          <w:sz w:val="26"/>
          <w:szCs w:val="26"/>
        </w:rPr>
      </w:pPr>
      <w:r>
        <w:rPr>
          <w:rFonts w:eastAsia="Times New Roman"/>
        </w:rPr>
        <w:br w:type="page"/>
      </w:r>
    </w:p>
    <w:p w14:paraId="52844852" w14:textId="77777777" w:rsidR="00CA5C3C" w:rsidRDefault="00CA5C3C">
      <w:pPr>
        <w:pStyle w:val="Heading2"/>
        <w:rPr>
          <w:rFonts w:eastAsia="Times New Roman"/>
        </w:rPr>
      </w:pPr>
      <w:r>
        <w:rPr>
          <w:rFonts w:eastAsia="Times New Roman"/>
        </w:rPr>
        <w:lastRenderedPageBreak/>
        <w:t xml:space="preserve">Corresponding Author </w:t>
      </w:r>
    </w:p>
    <w:p w14:paraId="37D740D7" w14:textId="77777777" w:rsidR="00CA5C3C" w:rsidRDefault="00CA5C3C" w:rsidP="00FB5FC3">
      <w:pPr>
        <w:pStyle w:val="NoSpacing"/>
      </w:pPr>
      <w:r>
        <w:t xml:space="preserve">A/Prof Thomas Gottlieb </w:t>
      </w:r>
    </w:p>
    <w:p w14:paraId="57DF43C8" w14:textId="77777777" w:rsidR="00CA5C3C" w:rsidRDefault="00CA5C3C" w:rsidP="00FB5FC3">
      <w:pPr>
        <w:pStyle w:val="NoSpacing"/>
      </w:pPr>
      <w:r>
        <w:t xml:space="preserve">Telephone: (02) 9767 7533 </w:t>
      </w:r>
    </w:p>
    <w:p w14:paraId="2B383B08" w14:textId="77777777" w:rsidR="00CA5C3C" w:rsidRDefault="00CA5C3C" w:rsidP="00FB5FC3">
      <w:pPr>
        <w:pStyle w:val="NoSpacing"/>
      </w:pPr>
      <w:r>
        <w:t xml:space="preserve">Email: thomas.gottlieb@health.nsw.gov.au </w:t>
      </w:r>
    </w:p>
    <w:p w14:paraId="273D608C" w14:textId="77777777" w:rsidR="00CA5C3C" w:rsidRDefault="00CA5C3C">
      <w:pPr>
        <w:pStyle w:val="Heading1"/>
        <w:rPr>
          <w:rFonts w:eastAsia="Times New Roman"/>
        </w:rPr>
      </w:pPr>
      <w:r>
        <w:rPr>
          <w:rFonts w:eastAsia="Times New Roman"/>
        </w:rPr>
        <w:t xml:space="preserve">References </w:t>
      </w:r>
    </w:p>
    <w:p w14:paraId="78ADAF00"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Clinical and Laboratory Standards Institute. Performance standards for antimicrobial susceptibility testing. Twenty-Seventh Informational Supplement M100–S27. Villanova, PA, USA 2017. </w:t>
      </w:r>
    </w:p>
    <w:p w14:paraId="3A1F9287"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European Committee on Antimicrobial Susceptibility Testing (2017). Breakpoint tables for interpretation of MICs and zone diameters. Version 7.0, January 2017. Available at http://www.eucast.org/clinical_breakpoints/. Accessed January 1, 2017.</w:t>
      </w:r>
    </w:p>
    <w:p w14:paraId="684524E0"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Ellington MJ, Findlay J, Hopkins KL, Meunier D, Alvarez-</w:t>
      </w:r>
      <w:proofErr w:type="spellStart"/>
      <w:r>
        <w:rPr>
          <w:rFonts w:eastAsia="Times New Roman"/>
        </w:rPr>
        <w:t>Buylla</w:t>
      </w:r>
      <w:proofErr w:type="spellEnd"/>
      <w:r>
        <w:rPr>
          <w:rFonts w:eastAsia="Times New Roman"/>
        </w:rPr>
        <w:t xml:space="preserve"> A, Horner C, et al. Multicentre evaluation of a real-time PCR assay to detect genes encoding clinically relevant </w:t>
      </w:r>
      <w:proofErr w:type="spellStart"/>
      <w:r>
        <w:rPr>
          <w:rFonts w:eastAsia="Times New Roman"/>
        </w:rPr>
        <w:t>carbapenemases</w:t>
      </w:r>
      <w:proofErr w:type="spellEnd"/>
      <w:r>
        <w:rPr>
          <w:rFonts w:eastAsia="Times New Roman"/>
        </w:rPr>
        <w:t xml:space="preserve"> in cultured bacteria. International Journal of Antimicrobial Agents. 2016;47(2):151-4. </w:t>
      </w:r>
    </w:p>
    <w:p w14:paraId="3FA48B6D" w14:textId="77777777" w:rsidR="00CA5C3C" w:rsidRDefault="00CA5C3C" w:rsidP="00CA5C3C">
      <w:pPr>
        <w:numPr>
          <w:ilvl w:val="0"/>
          <w:numId w:val="7"/>
        </w:numPr>
        <w:spacing w:before="100" w:beforeAutospacing="1" w:after="100" w:afterAutospacing="1" w:line="240" w:lineRule="auto"/>
        <w:rPr>
          <w:rFonts w:eastAsia="Times New Roman"/>
        </w:rPr>
      </w:pPr>
      <w:proofErr w:type="spellStart"/>
      <w:r>
        <w:rPr>
          <w:rFonts w:eastAsia="Times New Roman"/>
        </w:rPr>
        <w:t>Roschanski</w:t>
      </w:r>
      <w:proofErr w:type="spellEnd"/>
      <w:r>
        <w:rPr>
          <w:rFonts w:eastAsia="Times New Roman"/>
        </w:rPr>
        <w:t xml:space="preserve"> N, Fischer J, Guerra B, </w:t>
      </w:r>
      <w:proofErr w:type="spellStart"/>
      <w:r>
        <w:rPr>
          <w:rFonts w:eastAsia="Times New Roman"/>
        </w:rPr>
        <w:t>Roesler</w:t>
      </w:r>
      <w:proofErr w:type="spellEnd"/>
      <w:r>
        <w:rPr>
          <w:rFonts w:eastAsia="Times New Roman"/>
        </w:rPr>
        <w:t xml:space="preserve"> U. Development of a Multiplex Real-Time PCR for the Rapid Detection of the Predominant Beta-Lactamase Genes CTX-M, SHV, TEM and CIT-Type </w:t>
      </w:r>
      <w:proofErr w:type="spellStart"/>
      <w:r>
        <w:rPr>
          <w:rFonts w:eastAsia="Times New Roman"/>
        </w:rPr>
        <w:t>AmpCs</w:t>
      </w:r>
      <w:proofErr w:type="spellEnd"/>
      <w:r>
        <w:rPr>
          <w:rFonts w:eastAsia="Times New Roman"/>
        </w:rPr>
        <w:t xml:space="preserve"> in Enterobacteriaceae. PLOS ONE. 2014;9(7):e100956. </w:t>
      </w:r>
    </w:p>
    <w:p w14:paraId="2685BD93"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Swayne R, Ellington MJ, Curran MD, Woodford N, Aliyu SH. Utility of a novel multiplex </w:t>
      </w:r>
      <w:r w:rsidRPr="00E03670">
        <w:rPr>
          <w:rStyle w:val="Emphasis"/>
          <w:rFonts w:eastAsia="Times New Roman"/>
          <w:b w:val="0"/>
        </w:rPr>
        <w:t>Taq</w:t>
      </w:r>
      <w:r>
        <w:rPr>
          <w:rFonts w:eastAsia="Times New Roman"/>
        </w:rPr>
        <w:t xml:space="preserve">Man PCR assay for </w:t>
      </w:r>
      <w:proofErr w:type="spellStart"/>
      <w:r>
        <w:rPr>
          <w:rFonts w:eastAsia="Times New Roman"/>
        </w:rPr>
        <w:t>metallo</w:t>
      </w:r>
      <w:proofErr w:type="spellEnd"/>
      <w:r>
        <w:rPr>
          <w:rFonts w:eastAsia="Times New Roman"/>
        </w:rPr>
        <w:t xml:space="preserve">-β-lactamase genes plus other </w:t>
      </w:r>
      <w:r w:rsidRPr="00E03670">
        <w:rPr>
          <w:rStyle w:val="Emphasis"/>
          <w:rFonts w:eastAsia="Times New Roman"/>
          <w:b w:val="0"/>
        </w:rPr>
        <w:t>Taq</w:t>
      </w:r>
      <w:r>
        <w:rPr>
          <w:rFonts w:eastAsia="Times New Roman"/>
        </w:rPr>
        <w:t xml:space="preserve">Man assays in detecting genes encoding serine </w:t>
      </w:r>
      <w:proofErr w:type="spellStart"/>
      <w:r>
        <w:rPr>
          <w:rFonts w:eastAsia="Times New Roman"/>
        </w:rPr>
        <w:t>carbapenemases</w:t>
      </w:r>
      <w:proofErr w:type="spellEnd"/>
      <w:r>
        <w:rPr>
          <w:rFonts w:eastAsia="Times New Roman"/>
        </w:rPr>
        <w:t xml:space="preserve"> and clinically significant extended-spectrum β-lactamases. International Journal of Antimicrobial Agents. 2013;42(4):352-6. </w:t>
      </w:r>
    </w:p>
    <w:p w14:paraId="73C6763C" w14:textId="77777777" w:rsidR="00CA5C3C" w:rsidRDefault="00CA5C3C" w:rsidP="00CA5C3C">
      <w:pPr>
        <w:numPr>
          <w:ilvl w:val="0"/>
          <w:numId w:val="7"/>
        </w:numPr>
        <w:spacing w:before="100" w:beforeAutospacing="1" w:after="100" w:afterAutospacing="1" w:line="240" w:lineRule="auto"/>
        <w:rPr>
          <w:rFonts w:eastAsia="Times New Roman"/>
        </w:rPr>
      </w:pPr>
      <w:proofErr w:type="spellStart"/>
      <w:r>
        <w:rPr>
          <w:rFonts w:eastAsia="Times New Roman"/>
        </w:rPr>
        <w:t>Ciesielczuk</w:t>
      </w:r>
      <w:proofErr w:type="spellEnd"/>
      <w:r>
        <w:rPr>
          <w:rFonts w:eastAsia="Times New Roman"/>
        </w:rPr>
        <w:t xml:space="preserve"> H, Hornsey M, Choi V, Woodford N, Wareham DW. Development and evaluation of a multiplex PCR for eight plasmid-mediated quinolone-resistance determinants. J Med Microbiol. 2013;62(Pt 12):1823-7. </w:t>
      </w:r>
    </w:p>
    <w:p w14:paraId="1FB2C0BA" w14:textId="77777777" w:rsidR="00CA5C3C" w:rsidRDefault="00CA5C3C" w:rsidP="00CA5C3C">
      <w:pPr>
        <w:numPr>
          <w:ilvl w:val="0"/>
          <w:numId w:val="7"/>
        </w:numPr>
        <w:spacing w:before="100" w:beforeAutospacing="1" w:after="100" w:afterAutospacing="1" w:line="240" w:lineRule="auto"/>
        <w:rPr>
          <w:rFonts w:eastAsia="Times New Roman"/>
        </w:rPr>
      </w:pPr>
      <w:proofErr w:type="spellStart"/>
      <w:r>
        <w:rPr>
          <w:rFonts w:eastAsia="Times New Roman"/>
        </w:rPr>
        <w:t>Corrêa</w:t>
      </w:r>
      <w:proofErr w:type="spellEnd"/>
      <w:r>
        <w:rPr>
          <w:rFonts w:eastAsia="Times New Roman"/>
        </w:rPr>
        <w:t xml:space="preserve"> LL, </w:t>
      </w:r>
      <w:proofErr w:type="spellStart"/>
      <w:r>
        <w:rPr>
          <w:rFonts w:eastAsia="Times New Roman"/>
        </w:rPr>
        <w:t>Montezzi</w:t>
      </w:r>
      <w:proofErr w:type="spellEnd"/>
      <w:r>
        <w:rPr>
          <w:rFonts w:eastAsia="Times New Roman"/>
        </w:rPr>
        <w:t xml:space="preserve"> LF, </w:t>
      </w:r>
      <w:proofErr w:type="spellStart"/>
      <w:r>
        <w:rPr>
          <w:rFonts w:eastAsia="Times New Roman"/>
        </w:rPr>
        <w:t>Bonelli</w:t>
      </w:r>
      <w:proofErr w:type="spellEnd"/>
      <w:r>
        <w:rPr>
          <w:rFonts w:eastAsia="Times New Roman"/>
        </w:rPr>
        <w:t xml:space="preserve"> RR, Moreira BM, </w:t>
      </w:r>
      <w:proofErr w:type="spellStart"/>
      <w:r>
        <w:rPr>
          <w:rFonts w:eastAsia="Times New Roman"/>
        </w:rPr>
        <w:t>Picão</w:t>
      </w:r>
      <w:proofErr w:type="spellEnd"/>
      <w:r>
        <w:rPr>
          <w:rFonts w:eastAsia="Times New Roman"/>
        </w:rPr>
        <w:t xml:space="preserve"> RC. Revised and updated multiplex PCR targeting acquired 16S rRNA methyltransferases. International Journal of Antimicrobial Agents. 2014;43(5):479-81. </w:t>
      </w:r>
    </w:p>
    <w:p w14:paraId="27986CD3"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Doi Y, Arakawa Y. 16S Ribosomal RNA Methylation: Emerging Resistance Mechanism against Aminoglycosides. Clinical Infectious Diseases. 2007;45(1):88-94. </w:t>
      </w:r>
    </w:p>
    <w:p w14:paraId="1D93988C"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Liu YY, Wang Y, Walsh TR, Yi LX, Zhang R, Spencer J, et al. Emergence of plasmid-mediated colistin resistance mechanism MCR-1 in animals and human beings in China: a microbiological and molecular biological study. Lancet Infect Dis. 2016;16(2):161-8. </w:t>
      </w:r>
    </w:p>
    <w:p w14:paraId="424FE7AF"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Mendes RE, Kiyota KA, Monteiro J, </w:t>
      </w:r>
      <w:proofErr w:type="spellStart"/>
      <w:r>
        <w:rPr>
          <w:rFonts w:eastAsia="Times New Roman"/>
        </w:rPr>
        <w:t>Castanheira</w:t>
      </w:r>
      <w:proofErr w:type="spellEnd"/>
      <w:r>
        <w:rPr>
          <w:rFonts w:eastAsia="Times New Roman"/>
        </w:rPr>
        <w:t xml:space="preserve"> M, Andrade SS, Gales AC, et al. Rapid </w:t>
      </w:r>
      <w:proofErr w:type="gramStart"/>
      <w:r>
        <w:rPr>
          <w:rFonts w:eastAsia="Times New Roman"/>
        </w:rPr>
        <w:t>detection</w:t>
      </w:r>
      <w:proofErr w:type="gramEnd"/>
      <w:r>
        <w:rPr>
          <w:rFonts w:eastAsia="Times New Roman"/>
        </w:rPr>
        <w:t xml:space="preserve"> and identification of metallo-beta-lactamase-encoding genes by multiplex real-time PCR assay and melt curve analysis. J Clin Microbiol. 2007;45(2):544-7. </w:t>
      </w:r>
    </w:p>
    <w:p w14:paraId="0E780097"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Yin W, Li H, Shen Y, Liu Z, Wang S, Shen Z, et al. Novel Plasmid-Mediated Colistin Resistance Gene mcr-3 in </w:t>
      </w:r>
      <w:r w:rsidRPr="00E03670">
        <w:rPr>
          <w:rStyle w:val="Emphasis"/>
          <w:rFonts w:eastAsia="Times New Roman"/>
          <w:b w:val="0"/>
        </w:rPr>
        <w:t>Escherichia coli</w:t>
      </w:r>
      <w:r>
        <w:rPr>
          <w:rFonts w:eastAsia="Times New Roman"/>
        </w:rPr>
        <w:t xml:space="preserve">. </w:t>
      </w:r>
      <w:proofErr w:type="spellStart"/>
      <w:r>
        <w:rPr>
          <w:rFonts w:eastAsia="Times New Roman"/>
        </w:rPr>
        <w:t>MBio</w:t>
      </w:r>
      <w:proofErr w:type="spellEnd"/>
      <w:r>
        <w:rPr>
          <w:rFonts w:eastAsia="Times New Roman"/>
        </w:rPr>
        <w:t xml:space="preserve">. 2017;8(3). </w:t>
      </w:r>
    </w:p>
    <w:p w14:paraId="2CBB566E" w14:textId="77777777" w:rsidR="00CA5C3C" w:rsidRDefault="00CA5C3C" w:rsidP="00CA5C3C">
      <w:pPr>
        <w:numPr>
          <w:ilvl w:val="0"/>
          <w:numId w:val="7"/>
        </w:numPr>
        <w:spacing w:before="100" w:beforeAutospacing="1" w:after="100" w:afterAutospacing="1" w:line="240" w:lineRule="auto"/>
        <w:rPr>
          <w:rFonts w:eastAsia="Times New Roman"/>
        </w:rPr>
      </w:pPr>
      <w:proofErr w:type="spellStart"/>
      <w:r>
        <w:rPr>
          <w:rFonts w:eastAsia="Times New Roman"/>
        </w:rPr>
        <w:t>Dhanji</w:t>
      </w:r>
      <w:proofErr w:type="spellEnd"/>
      <w:r>
        <w:rPr>
          <w:rFonts w:eastAsia="Times New Roman"/>
        </w:rPr>
        <w:t xml:space="preserve"> H, </w:t>
      </w:r>
      <w:proofErr w:type="spellStart"/>
      <w:r>
        <w:rPr>
          <w:rFonts w:eastAsia="Times New Roman"/>
        </w:rPr>
        <w:t>Doumith</w:t>
      </w:r>
      <w:proofErr w:type="spellEnd"/>
      <w:r>
        <w:rPr>
          <w:rFonts w:eastAsia="Times New Roman"/>
        </w:rPr>
        <w:t xml:space="preserve"> M, Clermont O, </w:t>
      </w:r>
      <w:proofErr w:type="spellStart"/>
      <w:r>
        <w:rPr>
          <w:rFonts w:eastAsia="Times New Roman"/>
        </w:rPr>
        <w:t>Denamur</w:t>
      </w:r>
      <w:proofErr w:type="spellEnd"/>
      <w:r>
        <w:rPr>
          <w:rFonts w:eastAsia="Times New Roman"/>
        </w:rPr>
        <w:t xml:space="preserve"> E, Hope R, Livermore DM, et al. Real-time PCR for detection of the O25b-ST131 clone of </w:t>
      </w:r>
      <w:r w:rsidRPr="00E03670">
        <w:rPr>
          <w:rStyle w:val="Emphasis"/>
          <w:rFonts w:eastAsia="Times New Roman"/>
          <w:b w:val="0"/>
        </w:rPr>
        <w:t>Escherichia coli</w:t>
      </w:r>
      <w:r>
        <w:rPr>
          <w:rFonts w:eastAsia="Times New Roman"/>
        </w:rPr>
        <w:t xml:space="preserve"> and its CTX-M-15-like extended-spectrum beta-lactamases. Int J Antimicrob Agents. 2010;36(4):355-8. </w:t>
      </w:r>
    </w:p>
    <w:p w14:paraId="29EF8EEE"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Woodford N, Ellington MJ, Coelho JM, Turton JF, Ward ME, Brown S, et al. Multiplex PCR for genes encoding prevalent OXA </w:t>
      </w:r>
      <w:proofErr w:type="spellStart"/>
      <w:r>
        <w:rPr>
          <w:rFonts w:eastAsia="Times New Roman"/>
        </w:rPr>
        <w:t>carbapenemases</w:t>
      </w:r>
      <w:proofErr w:type="spellEnd"/>
      <w:r>
        <w:rPr>
          <w:rFonts w:eastAsia="Times New Roman"/>
        </w:rPr>
        <w:t xml:space="preserve"> in </w:t>
      </w:r>
      <w:r w:rsidRPr="00E03670">
        <w:rPr>
          <w:rStyle w:val="Emphasis"/>
          <w:rFonts w:eastAsia="Times New Roman"/>
          <w:b w:val="0"/>
        </w:rPr>
        <w:t>Acinetobacter</w:t>
      </w:r>
      <w:r>
        <w:rPr>
          <w:rFonts w:eastAsia="Times New Roman"/>
        </w:rPr>
        <w:t xml:space="preserve"> spp. International Journal of Antimicrobial Agents. 2006;27(4):351-3. </w:t>
      </w:r>
    </w:p>
    <w:p w14:paraId="664B198C"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Seemann T, Goncalves da Silva A, </w:t>
      </w:r>
      <w:proofErr w:type="spellStart"/>
      <w:r>
        <w:rPr>
          <w:rFonts w:eastAsia="Times New Roman"/>
        </w:rPr>
        <w:t>Bulach</w:t>
      </w:r>
      <w:proofErr w:type="spellEnd"/>
      <w:r>
        <w:rPr>
          <w:rFonts w:eastAsia="Times New Roman"/>
        </w:rPr>
        <w:t xml:space="preserve"> DM, Schultz MB, Kwong JC, Howden BP.</w:t>
      </w:r>
      <w:r w:rsidRPr="00E03670">
        <w:rPr>
          <w:rStyle w:val="Emphasis"/>
          <w:rFonts w:eastAsia="Times New Roman"/>
          <w:b w:val="0"/>
        </w:rPr>
        <w:t xml:space="preserve"> Nullarbor</w:t>
      </w:r>
      <w:r>
        <w:rPr>
          <w:rFonts w:eastAsia="Times New Roman"/>
        </w:rPr>
        <w:t xml:space="preserve"> </w:t>
      </w:r>
      <w:proofErr w:type="spellStart"/>
      <w:r>
        <w:rPr>
          <w:rFonts w:eastAsia="Times New Roman"/>
        </w:rPr>
        <w:t>Github</w:t>
      </w:r>
      <w:proofErr w:type="spellEnd"/>
      <w:r>
        <w:rPr>
          <w:rFonts w:eastAsia="Times New Roman"/>
        </w:rPr>
        <w:t xml:space="preserve"> [Available from: https://github.com/tseemann/nullarbor . </w:t>
      </w:r>
    </w:p>
    <w:p w14:paraId="6A200EEF" w14:textId="77777777" w:rsidR="00CA5C3C" w:rsidRDefault="00CA5C3C" w:rsidP="00CA5C3C">
      <w:pPr>
        <w:numPr>
          <w:ilvl w:val="0"/>
          <w:numId w:val="7"/>
        </w:numPr>
        <w:spacing w:before="100" w:beforeAutospacing="1" w:after="100" w:afterAutospacing="1" w:line="240" w:lineRule="auto"/>
        <w:rPr>
          <w:rFonts w:eastAsia="Times New Roman"/>
        </w:rPr>
      </w:pPr>
      <w:proofErr w:type="spellStart"/>
      <w:r>
        <w:rPr>
          <w:rFonts w:eastAsia="Times New Roman"/>
        </w:rPr>
        <w:t>Turnidge</w:t>
      </w:r>
      <w:proofErr w:type="spellEnd"/>
      <w:r>
        <w:rPr>
          <w:rFonts w:eastAsia="Times New Roman"/>
        </w:rPr>
        <w:t xml:space="preserve"> J, Gottlieb T, Mitchell D, Pearson J, Bell J, for the Australian Group for Antimicrobial Resistance. Gram-negative Survey 2011 Antimicrobial Susceptibility Report. 2011 Adelaide. Available from: http://www.agargroup.org/files/AGAR20GNB0820Report20FINAL.pdf </w:t>
      </w:r>
    </w:p>
    <w:p w14:paraId="6AE9E96C" w14:textId="77777777" w:rsidR="00CA5C3C" w:rsidRDefault="00CA5C3C" w:rsidP="00CA5C3C">
      <w:pPr>
        <w:numPr>
          <w:ilvl w:val="0"/>
          <w:numId w:val="7"/>
        </w:numPr>
        <w:spacing w:before="100" w:beforeAutospacing="1" w:after="100" w:afterAutospacing="1" w:line="240" w:lineRule="auto"/>
        <w:rPr>
          <w:rFonts w:eastAsia="Times New Roman"/>
        </w:rPr>
      </w:pPr>
      <w:r>
        <w:rPr>
          <w:rFonts w:eastAsia="Times New Roman"/>
        </w:rPr>
        <w:t xml:space="preserve">Sheng WH, Badal RE, Hsueh PR; SMART Program. Distribution of extended-spectrum β-lactamases, </w:t>
      </w:r>
      <w:proofErr w:type="spellStart"/>
      <w:r>
        <w:rPr>
          <w:rFonts w:eastAsia="Times New Roman"/>
        </w:rPr>
        <w:t>AmpC</w:t>
      </w:r>
      <w:proofErr w:type="spellEnd"/>
      <w:r>
        <w:rPr>
          <w:rFonts w:eastAsia="Times New Roman"/>
        </w:rPr>
        <w:t xml:space="preserve"> β-lactamases, and </w:t>
      </w:r>
      <w:proofErr w:type="spellStart"/>
      <w:r>
        <w:rPr>
          <w:rFonts w:eastAsia="Times New Roman"/>
        </w:rPr>
        <w:t>carbapenemases</w:t>
      </w:r>
      <w:proofErr w:type="spellEnd"/>
      <w:r>
        <w:rPr>
          <w:rFonts w:eastAsia="Times New Roman"/>
        </w:rPr>
        <w:t xml:space="preserve"> among Enterobacteriaceae isolates causing intra-abdominal infections in the Asia-Pacific region: results of the study for Monitoring Antimicrobial Resistance Trends (SMART). </w:t>
      </w:r>
      <w:r w:rsidRPr="00E03670">
        <w:rPr>
          <w:rStyle w:val="Emphasis"/>
          <w:rFonts w:eastAsia="Times New Roman"/>
          <w:b w:val="0"/>
        </w:rPr>
        <w:t xml:space="preserve">Antimicrob Agents </w:t>
      </w:r>
      <w:proofErr w:type="spellStart"/>
      <w:r w:rsidRPr="00E03670">
        <w:rPr>
          <w:rStyle w:val="Emphasis"/>
          <w:rFonts w:eastAsia="Times New Roman"/>
          <w:b w:val="0"/>
        </w:rPr>
        <w:t>Chemother</w:t>
      </w:r>
      <w:proofErr w:type="spellEnd"/>
      <w:r>
        <w:rPr>
          <w:rFonts w:eastAsia="Times New Roman"/>
        </w:rPr>
        <w:t xml:space="preserve"> 2013;57(7):2981–2988.</w:t>
      </w:r>
    </w:p>
    <w:p w14:paraId="2AACC514"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71686227" wp14:editId="52FFCC1C">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41115905"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6A4325">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5190FCF7"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42457C01"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7EB2F7E5"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32DCFB9C"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62AD6D68" w14:textId="77777777" w:rsidR="007C56A1" w:rsidRPr="00786329" w:rsidRDefault="007C56A1" w:rsidP="007C56A1">
      <w:pPr>
        <w:pBdr>
          <w:bottom w:val="single" w:sz="6" w:space="1" w:color="auto"/>
        </w:pBdr>
        <w:rPr>
          <w:rStyle w:val="A11"/>
          <w:sz w:val="20"/>
          <w:szCs w:val="20"/>
          <w:u w:val="none"/>
        </w:rPr>
      </w:pPr>
    </w:p>
    <w:p w14:paraId="324B118A"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04EC9E0C"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0477EDB5" w14:textId="77777777" w:rsidR="007C56A1" w:rsidRPr="0006264A" w:rsidRDefault="007C56A1" w:rsidP="007C56A1">
      <w:pPr>
        <w:pBdr>
          <w:bottom w:val="single" w:sz="6" w:space="1" w:color="auto"/>
        </w:pBdr>
        <w:rPr>
          <w:sz w:val="20"/>
          <w:szCs w:val="20"/>
        </w:rPr>
      </w:pPr>
    </w:p>
    <w:p w14:paraId="07E6E6D7"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40326E6B"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69C2CE11"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C13B86">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C35A" w14:textId="77777777" w:rsidR="009B0571" w:rsidRDefault="009B0571" w:rsidP="00E54DBA">
      <w:r>
        <w:separator/>
      </w:r>
    </w:p>
    <w:p w14:paraId="4F5A12B6" w14:textId="77777777" w:rsidR="009B0571" w:rsidRDefault="009B0571"/>
    <w:p w14:paraId="4D8CA0BD" w14:textId="77777777" w:rsidR="009B0571" w:rsidRDefault="009B0571" w:rsidP="008714B0"/>
  </w:endnote>
  <w:endnote w:type="continuationSeparator" w:id="0">
    <w:p w14:paraId="2DB5FEB0" w14:textId="77777777" w:rsidR="009B0571" w:rsidRDefault="009B0571" w:rsidP="00E54DBA">
      <w:r>
        <w:continuationSeparator/>
      </w:r>
    </w:p>
    <w:p w14:paraId="39F86C72" w14:textId="77777777" w:rsidR="009B0571" w:rsidRDefault="009B0571"/>
    <w:p w14:paraId="0A652856" w14:textId="77777777" w:rsidR="009B0571" w:rsidRDefault="009B057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FDB7" w14:textId="77777777" w:rsidR="00321F91" w:rsidRDefault="00321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F672" w14:textId="69F1D1EB" w:rsidR="009B0571" w:rsidRPr="0042435E" w:rsidRDefault="009B057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5000B">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C5000B">
      <w:rPr>
        <w:noProof/>
        <w:sz w:val="18"/>
      </w:rPr>
      <w:t>11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321F91" w:rsidRPr="00321F91">
      <w:rPr>
        <w:sz w:val="18"/>
      </w:rPr>
      <w:t>Commun Dis Intell (2018) 2018;42 https://doi.org/10.33321/cdi.2018.42.</w:t>
    </w:r>
    <w:r w:rsidR="00321F91">
      <w:rPr>
        <w:sz w:val="18"/>
      </w:rPr>
      <w:t>20</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3576" w14:textId="6D7FE9BE" w:rsidR="009B0571" w:rsidRPr="00BB5378" w:rsidRDefault="009B057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5000B">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C5000B">
      <w:rPr>
        <w:noProof/>
        <w:sz w:val="18"/>
      </w:rPr>
      <w:t>11</w:t>
    </w:r>
    <w:r>
      <w:rPr>
        <w:noProof/>
        <w:sz w:val="18"/>
      </w:rPr>
      <w:fldChar w:fldCharType="end"/>
    </w:r>
    <w:r>
      <w:rPr>
        <w:noProof/>
        <w:sz w:val="18"/>
      </w:rPr>
      <w:t xml:space="preserve"> </w:t>
    </w:r>
    <w:r>
      <w:rPr>
        <w:noProof/>
        <w:sz w:val="18"/>
      </w:rPr>
      <w:ptab w:relativeTo="margin" w:alignment="center" w:leader="none"/>
    </w:r>
    <w:r w:rsidR="00321F91" w:rsidRPr="00321F91">
      <w:rPr>
        <w:sz w:val="18"/>
      </w:rPr>
      <w:t>Commun Dis Intell (2018) 2018;42 https://doi.org/10.33321/cdi.2018.42.</w:t>
    </w:r>
    <w:r w:rsidR="00321F91">
      <w:rPr>
        <w:sz w:val="18"/>
      </w:rPr>
      <w:t>20</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554C" w14:textId="77777777" w:rsidR="009B0571" w:rsidRDefault="009B0571" w:rsidP="00E54DBA">
      <w:r>
        <w:separator/>
      </w:r>
    </w:p>
    <w:p w14:paraId="71F72A6F" w14:textId="77777777" w:rsidR="009B0571" w:rsidRDefault="009B0571"/>
    <w:p w14:paraId="3223DEC2" w14:textId="77777777" w:rsidR="009B0571" w:rsidRDefault="009B0571" w:rsidP="008714B0"/>
  </w:footnote>
  <w:footnote w:type="continuationSeparator" w:id="0">
    <w:p w14:paraId="2C4B8C08" w14:textId="77777777" w:rsidR="009B0571" w:rsidRDefault="009B0571" w:rsidP="00E54DBA">
      <w:r>
        <w:continuationSeparator/>
      </w:r>
    </w:p>
    <w:p w14:paraId="6947DE67" w14:textId="77777777" w:rsidR="009B0571" w:rsidRDefault="009B0571"/>
    <w:p w14:paraId="052C0AE9" w14:textId="77777777" w:rsidR="009B0571" w:rsidRDefault="009B0571"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0A38" w14:textId="77777777" w:rsidR="00321F91" w:rsidRDefault="00321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5E2C" w14:textId="77777777" w:rsidR="009B0571" w:rsidRDefault="00321F91"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B0571">
          <w:t>Annual report</w:t>
        </w:r>
      </w:sdtContent>
    </w:sdt>
    <w:r w:rsidR="009B0571">
      <w:ptab w:relativeTo="margin" w:alignment="right" w:leader="none"/>
    </w:r>
    <w:r w:rsidR="009B0571"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A15C" w14:textId="77777777" w:rsidR="00321F91" w:rsidRDefault="00321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1169"/>
    <w:multiLevelType w:val="hybridMultilevel"/>
    <w:tmpl w:val="A67A00B6"/>
    <w:lvl w:ilvl="0" w:tplc="471EE0D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9E601E"/>
    <w:multiLevelType w:val="hybridMultilevel"/>
    <w:tmpl w:val="613E03D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DA4D84"/>
    <w:multiLevelType w:val="multilevel"/>
    <w:tmpl w:val="EC22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C6EDF"/>
    <w:multiLevelType w:val="multilevel"/>
    <w:tmpl w:val="6E74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BC5EDA"/>
    <w:multiLevelType w:val="hybridMultilevel"/>
    <w:tmpl w:val="2C66A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497061">
    <w:abstractNumId w:val="3"/>
  </w:num>
  <w:num w:numId="2" w16cid:durableId="1838614389">
    <w:abstractNumId w:val="6"/>
  </w:num>
  <w:num w:numId="3" w16cid:durableId="2005668271">
    <w:abstractNumId w:val="7"/>
  </w:num>
  <w:num w:numId="4" w16cid:durableId="62607605">
    <w:abstractNumId w:val="2"/>
  </w:num>
  <w:num w:numId="5" w16cid:durableId="510222315">
    <w:abstractNumId w:val="8"/>
  </w:num>
  <w:num w:numId="6" w16cid:durableId="124852779">
    <w:abstractNumId w:val="4"/>
  </w:num>
  <w:num w:numId="7" w16cid:durableId="1850831206">
    <w:abstractNumId w:val="5"/>
  </w:num>
  <w:num w:numId="8" w16cid:durableId="1258444317">
    <w:abstractNumId w:val="9"/>
  </w:num>
  <w:num w:numId="9" w16cid:durableId="1790128370">
    <w:abstractNumId w:val="0"/>
  </w:num>
  <w:num w:numId="10" w16cid:durableId="199945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6A4325"/>
    <w:rsid w:val="00000B5B"/>
    <w:rsid w:val="00001611"/>
    <w:rsid w:val="000104A8"/>
    <w:rsid w:val="000120B3"/>
    <w:rsid w:val="0001246E"/>
    <w:rsid w:val="000124B1"/>
    <w:rsid w:val="00016FE6"/>
    <w:rsid w:val="0002717D"/>
    <w:rsid w:val="00031064"/>
    <w:rsid w:val="00032531"/>
    <w:rsid w:val="000471BF"/>
    <w:rsid w:val="00052600"/>
    <w:rsid w:val="0005643C"/>
    <w:rsid w:val="0006264A"/>
    <w:rsid w:val="00073D77"/>
    <w:rsid w:val="00075737"/>
    <w:rsid w:val="00081655"/>
    <w:rsid w:val="000864E0"/>
    <w:rsid w:val="0009103D"/>
    <w:rsid w:val="000969B3"/>
    <w:rsid w:val="000C704C"/>
    <w:rsid w:val="000D4B4D"/>
    <w:rsid w:val="000E355C"/>
    <w:rsid w:val="00113D58"/>
    <w:rsid w:val="00155582"/>
    <w:rsid w:val="00161590"/>
    <w:rsid w:val="00171CC0"/>
    <w:rsid w:val="00175494"/>
    <w:rsid w:val="00175629"/>
    <w:rsid w:val="001830EC"/>
    <w:rsid w:val="00183534"/>
    <w:rsid w:val="001A4A96"/>
    <w:rsid w:val="001A5D05"/>
    <w:rsid w:val="001A67D3"/>
    <w:rsid w:val="001A796C"/>
    <w:rsid w:val="001B1128"/>
    <w:rsid w:val="001B2614"/>
    <w:rsid w:val="001B31A6"/>
    <w:rsid w:val="001B37B8"/>
    <w:rsid w:val="001B552F"/>
    <w:rsid w:val="001C0893"/>
    <w:rsid w:val="001C1303"/>
    <w:rsid w:val="001C70B2"/>
    <w:rsid w:val="001D6888"/>
    <w:rsid w:val="002276DC"/>
    <w:rsid w:val="00227E00"/>
    <w:rsid w:val="002307CB"/>
    <w:rsid w:val="00231046"/>
    <w:rsid w:val="00242659"/>
    <w:rsid w:val="002428F7"/>
    <w:rsid w:val="0024315F"/>
    <w:rsid w:val="00252C9A"/>
    <w:rsid w:val="00256309"/>
    <w:rsid w:val="00257484"/>
    <w:rsid w:val="00260636"/>
    <w:rsid w:val="00260928"/>
    <w:rsid w:val="00280594"/>
    <w:rsid w:val="00281EE3"/>
    <w:rsid w:val="00284E4A"/>
    <w:rsid w:val="002A3799"/>
    <w:rsid w:val="002A3BCC"/>
    <w:rsid w:val="002A4516"/>
    <w:rsid w:val="002A569F"/>
    <w:rsid w:val="002A7066"/>
    <w:rsid w:val="002B001E"/>
    <w:rsid w:val="002B09B7"/>
    <w:rsid w:val="002C21B0"/>
    <w:rsid w:val="002E2FB3"/>
    <w:rsid w:val="002F327B"/>
    <w:rsid w:val="00301504"/>
    <w:rsid w:val="00301626"/>
    <w:rsid w:val="00311DD5"/>
    <w:rsid w:val="00316CCD"/>
    <w:rsid w:val="00321F91"/>
    <w:rsid w:val="00324F7E"/>
    <w:rsid w:val="003323BC"/>
    <w:rsid w:val="00346D42"/>
    <w:rsid w:val="00346E11"/>
    <w:rsid w:val="003542CB"/>
    <w:rsid w:val="003601C0"/>
    <w:rsid w:val="003635F5"/>
    <w:rsid w:val="00372A88"/>
    <w:rsid w:val="00381A0F"/>
    <w:rsid w:val="003A1B3A"/>
    <w:rsid w:val="003A40F5"/>
    <w:rsid w:val="003B5B8C"/>
    <w:rsid w:val="003E74EE"/>
    <w:rsid w:val="003F0552"/>
    <w:rsid w:val="003F3BC2"/>
    <w:rsid w:val="00401ED1"/>
    <w:rsid w:val="00413EE1"/>
    <w:rsid w:val="004164BB"/>
    <w:rsid w:val="00421ECE"/>
    <w:rsid w:val="0042435E"/>
    <w:rsid w:val="004315F5"/>
    <w:rsid w:val="00433456"/>
    <w:rsid w:val="00433DFA"/>
    <w:rsid w:val="00435D67"/>
    <w:rsid w:val="00464A58"/>
    <w:rsid w:val="00473D2D"/>
    <w:rsid w:val="004A2125"/>
    <w:rsid w:val="004A38F6"/>
    <w:rsid w:val="004A5955"/>
    <w:rsid w:val="004B4EB6"/>
    <w:rsid w:val="004C67C6"/>
    <w:rsid w:val="005009FB"/>
    <w:rsid w:val="00510EAC"/>
    <w:rsid w:val="00542A57"/>
    <w:rsid w:val="005732C0"/>
    <w:rsid w:val="0057336D"/>
    <w:rsid w:val="00575377"/>
    <w:rsid w:val="0058540B"/>
    <w:rsid w:val="00587C87"/>
    <w:rsid w:val="00590B80"/>
    <w:rsid w:val="005B3134"/>
    <w:rsid w:val="005B4E61"/>
    <w:rsid w:val="005B595A"/>
    <w:rsid w:val="005B66C2"/>
    <w:rsid w:val="005C6499"/>
    <w:rsid w:val="005D2465"/>
    <w:rsid w:val="005E4229"/>
    <w:rsid w:val="005E540E"/>
    <w:rsid w:val="005E55FB"/>
    <w:rsid w:val="005F132A"/>
    <w:rsid w:val="005F16BB"/>
    <w:rsid w:val="00607115"/>
    <w:rsid w:val="00610C36"/>
    <w:rsid w:val="00620768"/>
    <w:rsid w:val="0062594B"/>
    <w:rsid w:val="00631406"/>
    <w:rsid w:val="006324FF"/>
    <w:rsid w:val="006351D6"/>
    <w:rsid w:val="00636E0D"/>
    <w:rsid w:val="0064142F"/>
    <w:rsid w:val="00643CB4"/>
    <w:rsid w:val="00656427"/>
    <w:rsid w:val="00660255"/>
    <w:rsid w:val="00694ECF"/>
    <w:rsid w:val="00695CA7"/>
    <w:rsid w:val="006971F3"/>
    <w:rsid w:val="006A4325"/>
    <w:rsid w:val="006C74A3"/>
    <w:rsid w:val="006D1381"/>
    <w:rsid w:val="006D31BC"/>
    <w:rsid w:val="006E7943"/>
    <w:rsid w:val="006F24EA"/>
    <w:rsid w:val="00704CA9"/>
    <w:rsid w:val="0070707F"/>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811708"/>
    <w:rsid w:val="00816B90"/>
    <w:rsid w:val="00817799"/>
    <w:rsid w:val="00822F5F"/>
    <w:rsid w:val="00824FD3"/>
    <w:rsid w:val="00826589"/>
    <w:rsid w:val="00834BCC"/>
    <w:rsid w:val="00850D54"/>
    <w:rsid w:val="008714B0"/>
    <w:rsid w:val="00876331"/>
    <w:rsid w:val="00880726"/>
    <w:rsid w:val="008A3544"/>
    <w:rsid w:val="008B48B8"/>
    <w:rsid w:val="008B58F8"/>
    <w:rsid w:val="008C0712"/>
    <w:rsid w:val="008C4520"/>
    <w:rsid w:val="008C5F09"/>
    <w:rsid w:val="008D470F"/>
    <w:rsid w:val="008E18AF"/>
    <w:rsid w:val="008E1F8F"/>
    <w:rsid w:val="008E4768"/>
    <w:rsid w:val="008E6910"/>
    <w:rsid w:val="008E761E"/>
    <w:rsid w:val="008F77B3"/>
    <w:rsid w:val="009008F5"/>
    <w:rsid w:val="00904CC1"/>
    <w:rsid w:val="009066AF"/>
    <w:rsid w:val="00912050"/>
    <w:rsid w:val="00912E48"/>
    <w:rsid w:val="0092746F"/>
    <w:rsid w:val="00935BE3"/>
    <w:rsid w:val="00935DC9"/>
    <w:rsid w:val="0094263D"/>
    <w:rsid w:val="009446C0"/>
    <w:rsid w:val="009534F0"/>
    <w:rsid w:val="0096082E"/>
    <w:rsid w:val="00967D73"/>
    <w:rsid w:val="0097383D"/>
    <w:rsid w:val="0098119A"/>
    <w:rsid w:val="00984AAF"/>
    <w:rsid w:val="00991B09"/>
    <w:rsid w:val="00993CB2"/>
    <w:rsid w:val="009A5166"/>
    <w:rsid w:val="009A76F8"/>
    <w:rsid w:val="009B0571"/>
    <w:rsid w:val="009B2B83"/>
    <w:rsid w:val="009C49F8"/>
    <w:rsid w:val="009D77CC"/>
    <w:rsid w:val="009E2423"/>
    <w:rsid w:val="009E55D7"/>
    <w:rsid w:val="009F4150"/>
    <w:rsid w:val="009F5665"/>
    <w:rsid w:val="009F5DAD"/>
    <w:rsid w:val="00A10458"/>
    <w:rsid w:val="00A273C3"/>
    <w:rsid w:val="00A36C65"/>
    <w:rsid w:val="00A41BBE"/>
    <w:rsid w:val="00A45BDD"/>
    <w:rsid w:val="00A46A0A"/>
    <w:rsid w:val="00A553F8"/>
    <w:rsid w:val="00A6708F"/>
    <w:rsid w:val="00A71BF6"/>
    <w:rsid w:val="00A86F9A"/>
    <w:rsid w:val="00AA35E6"/>
    <w:rsid w:val="00AA50B6"/>
    <w:rsid w:val="00AB3472"/>
    <w:rsid w:val="00AD0762"/>
    <w:rsid w:val="00AD57E4"/>
    <w:rsid w:val="00AE4452"/>
    <w:rsid w:val="00AE7C38"/>
    <w:rsid w:val="00B014C0"/>
    <w:rsid w:val="00B01F99"/>
    <w:rsid w:val="00B02B37"/>
    <w:rsid w:val="00B05276"/>
    <w:rsid w:val="00B132DB"/>
    <w:rsid w:val="00B15B8D"/>
    <w:rsid w:val="00B31427"/>
    <w:rsid w:val="00B33861"/>
    <w:rsid w:val="00B40DE2"/>
    <w:rsid w:val="00B47AA4"/>
    <w:rsid w:val="00B50210"/>
    <w:rsid w:val="00B53955"/>
    <w:rsid w:val="00B6408A"/>
    <w:rsid w:val="00B714B8"/>
    <w:rsid w:val="00B800FE"/>
    <w:rsid w:val="00B82C2C"/>
    <w:rsid w:val="00B8720B"/>
    <w:rsid w:val="00B876EF"/>
    <w:rsid w:val="00BA4697"/>
    <w:rsid w:val="00BB5378"/>
    <w:rsid w:val="00BB616C"/>
    <w:rsid w:val="00BC0BD3"/>
    <w:rsid w:val="00BD0107"/>
    <w:rsid w:val="00BE0C33"/>
    <w:rsid w:val="00BE1B7A"/>
    <w:rsid w:val="00BE262C"/>
    <w:rsid w:val="00BE6C3D"/>
    <w:rsid w:val="00C07606"/>
    <w:rsid w:val="00C12542"/>
    <w:rsid w:val="00C13B86"/>
    <w:rsid w:val="00C24725"/>
    <w:rsid w:val="00C30BA9"/>
    <w:rsid w:val="00C3541E"/>
    <w:rsid w:val="00C36A8F"/>
    <w:rsid w:val="00C42FFA"/>
    <w:rsid w:val="00C5000B"/>
    <w:rsid w:val="00C507D8"/>
    <w:rsid w:val="00C62EAC"/>
    <w:rsid w:val="00C63F9F"/>
    <w:rsid w:val="00C7723C"/>
    <w:rsid w:val="00CA1AF4"/>
    <w:rsid w:val="00CA5C3C"/>
    <w:rsid w:val="00CA6068"/>
    <w:rsid w:val="00CB15E1"/>
    <w:rsid w:val="00CB3D46"/>
    <w:rsid w:val="00CD1A87"/>
    <w:rsid w:val="00CD35F3"/>
    <w:rsid w:val="00CD5C93"/>
    <w:rsid w:val="00CE0E97"/>
    <w:rsid w:val="00CE1008"/>
    <w:rsid w:val="00CF320C"/>
    <w:rsid w:val="00CF3A4B"/>
    <w:rsid w:val="00D05837"/>
    <w:rsid w:val="00D12D8A"/>
    <w:rsid w:val="00D13E0C"/>
    <w:rsid w:val="00D22403"/>
    <w:rsid w:val="00D25896"/>
    <w:rsid w:val="00D373A1"/>
    <w:rsid w:val="00D37C0F"/>
    <w:rsid w:val="00D45661"/>
    <w:rsid w:val="00D45943"/>
    <w:rsid w:val="00D47D22"/>
    <w:rsid w:val="00D51865"/>
    <w:rsid w:val="00D51D0C"/>
    <w:rsid w:val="00D57B41"/>
    <w:rsid w:val="00D74140"/>
    <w:rsid w:val="00DA6E56"/>
    <w:rsid w:val="00DC6705"/>
    <w:rsid w:val="00DD2DE8"/>
    <w:rsid w:val="00DE18C8"/>
    <w:rsid w:val="00DE38B4"/>
    <w:rsid w:val="00DE5D02"/>
    <w:rsid w:val="00DF33C0"/>
    <w:rsid w:val="00E005A9"/>
    <w:rsid w:val="00E03670"/>
    <w:rsid w:val="00E1166E"/>
    <w:rsid w:val="00E17C1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FC2"/>
    <w:rsid w:val="00F14F3B"/>
    <w:rsid w:val="00F16362"/>
    <w:rsid w:val="00F36B6D"/>
    <w:rsid w:val="00F43FA3"/>
    <w:rsid w:val="00F70046"/>
    <w:rsid w:val="00F748C2"/>
    <w:rsid w:val="00F76C5C"/>
    <w:rsid w:val="00F81EF3"/>
    <w:rsid w:val="00F84496"/>
    <w:rsid w:val="00F85DCB"/>
    <w:rsid w:val="00F86F9C"/>
    <w:rsid w:val="00F94BCC"/>
    <w:rsid w:val="00FB3A23"/>
    <w:rsid w:val="00FB5FC3"/>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0AEC69"/>
  <w15:docId w15:val="{3907DB4D-7B84-4BB2-9AF8-D39E4AC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styleId="CommentReference">
    <w:name w:val="annotation reference"/>
    <w:basedOn w:val="DefaultParagraphFont"/>
    <w:uiPriority w:val="99"/>
    <w:semiHidden/>
    <w:unhideWhenUsed/>
    <w:rsid w:val="000120B3"/>
    <w:rPr>
      <w:sz w:val="16"/>
      <w:szCs w:val="16"/>
    </w:rPr>
  </w:style>
  <w:style w:type="paragraph" w:styleId="CommentText">
    <w:name w:val="annotation text"/>
    <w:basedOn w:val="Normal"/>
    <w:link w:val="CommentTextChar"/>
    <w:uiPriority w:val="99"/>
    <w:semiHidden/>
    <w:unhideWhenUsed/>
    <w:rsid w:val="000120B3"/>
    <w:pPr>
      <w:spacing w:line="240" w:lineRule="auto"/>
    </w:pPr>
    <w:rPr>
      <w:sz w:val="20"/>
      <w:szCs w:val="20"/>
    </w:rPr>
  </w:style>
  <w:style w:type="character" w:customStyle="1" w:styleId="CommentTextChar">
    <w:name w:val="Comment Text Char"/>
    <w:basedOn w:val="DefaultParagraphFont"/>
    <w:link w:val="CommentText"/>
    <w:uiPriority w:val="99"/>
    <w:semiHidden/>
    <w:rsid w:val="000120B3"/>
    <w:rPr>
      <w:sz w:val="20"/>
      <w:szCs w:val="20"/>
    </w:rPr>
  </w:style>
  <w:style w:type="paragraph" w:styleId="CommentSubject">
    <w:name w:val="annotation subject"/>
    <w:basedOn w:val="CommentText"/>
    <w:next w:val="CommentText"/>
    <w:link w:val="CommentSubjectChar"/>
    <w:uiPriority w:val="99"/>
    <w:semiHidden/>
    <w:unhideWhenUsed/>
    <w:rsid w:val="000120B3"/>
    <w:rPr>
      <w:b/>
      <w:bCs/>
    </w:rPr>
  </w:style>
  <w:style w:type="character" w:customStyle="1" w:styleId="CommentSubjectChar">
    <w:name w:val="Comment Subject Char"/>
    <w:basedOn w:val="CommentTextChar"/>
    <w:link w:val="CommentSubject"/>
    <w:uiPriority w:val="99"/>
    <w:semiHidden/>
    <w:rsid w:val="000120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C58F1E-03FE-42B8-9513-5AF91822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Communicable Diseases Intelligence 2018 - Australian Group on Antimicrobial Resistance (AGAR) Australian Gram-negative Sepsis Outcome Programme (GNSOP) Annual Report 2016</vt:lpstr>
    </vt:vector>
  </TitlesOfParts>
  <Company>Australian Government, Department of Health</Company>
  <LinksUpToDate>false</LinksUpToDate>
  <CharactersWithSpaces>26744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Australian Group on Antimicrobial Resistance (AGAR) Australian Gram-negative Sepsis Outcome Programme (GNSOP) Annual Report 2016</dc:title>
  <dc:subject>The Australian Group on Antimicrobial Resistance’s 2016 Australian Gram negative Sepsis Outcome Program has shown multidrug resistance is being increasingly observed, particularly in Escherichia coli and Enterobacter cloacae, both of which now have multidrug resistance rates above 17%.  Increasing multi-resistance is likely to be a driver for broad-spectrum antibiotic use and will increase the resistance selection pressure for important reserve antimicrobial classes, especially the carbapenemases</dc:subject>
  <dc:creator>Jan M Bell;Thomas Gottlieb;Denise A Daley;Geoffrey W Coombs</dc:creator>
  <cp:keywords>; Australian Group on Antimicrobial Resistance (AGAR); antibiotic resistance; bacteraemia; gram-negative; Escherichia coli; Enterobacter; Klebsiella</cp:keywords>
  <cp:revision>2</cp:revision>
  <cp:lastPrinted>2018-05-10T02:19:00Z</cp:lastPrinted>
  <dcterms:created xsi:type="dcterms:W3CDTF">2024-08-27T02:24:00Z</dcterms:created>
  <dcterms:modified xsi:type="dcterms:W3CDTF">2024-08-27T02:24:00Z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