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D442" w14:textId="77777777" w:rsidR="0089127B" w:rsidRPr="00CB6B6F" w:rsidRDefault="0089127B" w:rsidP="00CB6B6F">
      <w:pPr>
        <w:pStyle w:val="Title"/>
      </w:pPr>
      <w:r w:rsidRPr="00CB6B6F">
        <w:t>A review of listeriosis notifications and co-existing conditions in New South Wales, 2010-2015</w:t>
      </w:r>
    </w:p>
    <w:p w14:paraId="339CAA24" w14:textId="77777777" w:rsidR="00C92D37" w:rsidRPr="00C92D37" w:rsidRDefault="0089127B" w:rsidP="00C92D37">
      <w:pPr>
        <w:divId w:val="1287590030"/>
      </w:pPr>
      <w:r w:rsidRPr="0089127B">
        <w:t xml:space="preserve">Kit Leung, Kirsty Hope and Vicky </w:t>
      </w:r>
      <w:proofErr w:type="spellStart"/>
      <w:r w:rsidRPr="0089127B">
        <w:t>Sheppeard</w:t>
      </w:r>
      <w:proofErr w:type="spellEnd"/>
    </w:p>
    <w:p w14:paraId="1C37E978" w14:textId="77777777" w:rsidR="0089127B" w:rsidRPr="00CB6B6F" w:rsidRDefault="0089127B" w:rsidP="00CB6B6F">
      <w:pPr>
        <w:pStyle w:val="Heading1"/>
        <w:divId w:val="1287590030"/>
      </w:pPr>
      <w:r w:rsidRPr="00CB6B6F">
        <w:t>Abstract</w:t>
      </w:r>
    </w:p>
    <w:p w14:paraId="28045186" w14:textId="77777777" w:rsidR="0089127B" w:rsidRDefault="0089127B">
      <w:pPr>
        <w:pStyle w:val="Heading2"/>
        <w:divId w:val="1287590030"/>
        <w:rPr>
          <w:rFonts w:eastAsia="Times New Roman"/>
        </w:rPr>
      </w:pPr>
      <w:r>
        <w:rPr>
          <w:rFonts w:eastAsia="Times New Roman"/>
        </w:rPr>
        <w:t xml:space="preserve">Aim </w:t>
      </w:r>
    </w:p>
    <w:p w14:paraId="48B84C9C" w14:textId="77777777" w:rsidR="0089127B" w:rsidRDefault="0089127B">
      <w:pPr>
        <w:pStyle w:val="NormalWeb"/>
        <w:divId w:val="1287590030"/>
      </w:pPr>
      <w:r>
        <w:t>To describe the distribution of known risk factors for listeria infection, including co-existing conditions, among listeriosis notifications in NSW between 2010 and 2015.</w:t>
      </w:r>
    </w:p>
    <w:p w14:paraId="615FC8B9" w14:textId="77777777" w:rsidR="0089127B" w:rsidRDefault="0089127B">
      <w:pPr>
        <w:pStyle w:val="Heading2"/>
        <w:divId w:val="1287590030"/>
        <w:rPr>
          <w:rFonts w:eastAsia="Times New Roman"/>
        </w:rPr>
      </w:pPr>
      <w:r>
        <w:rPr>
          <w:rFonts w:eastAsia="Times New Roman"/>
        </w:rPr>
        <w:t xml:space="preserve">Methods </w:t>
      </w:r>
    </w:p>
    <w:p w14:paraId="32A4490F" w14:textId="77777777" w:rsidR="0089127B" w:rsidRDefault="0089127B">
      <w:pPr>
        <w:pStyle w:val="NormalWeb"/>
        <w:divId w:val="1287590030"/>
      </w:pPr>
      <w:r>
        <w:t xml:space="preserve">Data from all notifications of invasive listeriosis in NSW between 01 January 2010 and 31 December 2015 were extracted from the NSW Notifiable Conditions Information Management System (NCIMS). </w:t>
      </w:r>
      <w:proofErr w:type="spellStart"/>
      <w:r>
        <w:t>OzFoodNet</w:t>
      </w:r>
      <w:proofErr w:type="spellEnd"/>
      <w:r>
        <w:t xml:space="preserve"> Listeria Case Questionnaires for each notification were reviewed. Descriptive analyses of notification data were undertaken.</w:t>
      </w:r>
    </w:p>
    <w:p w14:paraId="639394D8" w14:textId="77777777" w:rsidR="0089127B" w:rsidRDefault="0089127B">
      <w:pPr>
        <w:pStyle w:val="Heading2"/>
        <w:divId w:val="1287590030"/>
        <w:rPr>
          <w:rFonts w:eastAsia="Times New Roman"/>
        </w:rPr>
      </w:pPr>
      <w:r>
        <w:rPr>
          <w:rFonts w:eastAsia="Times New Roman"/>
        </w:rPr>
        <w:t xml:space="preserve">Results </w:t>
      </w:r>
    </w:p>
    <w:p w14:paraId="2FC21EDA" w14:textId="77777777" w:rsidR="0089127B" w:rsidRDefault="0089127B">
      <w:pPr>
        <w:pStyle w:val="NormalWeb"/>
        <w:divId w:val="1287590030"/>
      </w:pPr>
      <w:r>
        <w:t xml:space="preserve">Between 2010 and 2015, there were 158 listeriosis notifications in NSW with an average of 26.3 notifications a year. Persons over 65 years represented 71.5% of all notifications. A total of 4.4% notifications were among pregnant women, while 79.1% and 64.6% were among persons with a </w:t>
      </w:r>
      <w:r w:rsidRPr="00143AA8">
        <w:rPr>
          <w:rStyle w:val="Emphasis"/>
          <w:b w:val="0"/>
        </w:rPr>
        <w:t>condition</w:t>
      </w:r>
      <w:r>
        <w:t xml:space="preserve"> and on </w:t>
      </w:r>
      <w:r w:rsidRPr="00143AA8">
        <w:rPr>
          <w:rStyle w:val="Emphasis"/>
          <w:b w:val="0"/>
        </w:rPr>
        <w:t xml:space="preserve">treatment, </w:t>
      </w:r>
      <w:r>
        <w:t xml:space="preserve">respectively, known to supress the immune response or increase the risk of infection. Specifically, cancer patients and persons on cancer treatment (chemotherapy, radiotherapy) represented 31.0% and 13.9%, respectively, of all listeriosis notifications. Information on </w:t>
      </w:r>
      <w:r w:rsidRPr="00143AA8">
        <w:rPr>
          <w:rStyle w:val="Emphasis"/>
          <w:b w:val="0"/>
        </w:rPr>
        <w:t>foods to avoid in preventing listeria</w:t>
      </w:r>
      <w:r>
        <w:t xml:space="preserve"> from a healthcare worker prior to infection was received by 7.2% of notifications with a known risk condition and 5.9% of notifications on medication; 41.6% and 46.1% respectively had visited a hospital in the four weeks prior to notification.</w:t>
      </w:r>
    </w:p>
    <w:p w14:paraId="452658C0" w14:textId="77777777" w:rsidR="0089127B" w:rsidRDefault="0089127B">
      <w:pPr>
        <w:pStyle w:val="Heading2"/>
        <w:divId w:val="1287590030"/>
        <w:rPr>
          <w:rFonts w:eastAsia="Times New Roman"/>
        </w:rPr>
      </w:pPr>
      <w:r>
        <w:rPr>
          <w:rFonts w:eastAsia="Times New Roman"/>
        </w:rPr>
        <w:t xml:space="preserve">Conclusion </w:t>
      </w:r>
    </w:p>
    <w:p w14:paraId="6B27A97F" w14:textId="77777777" w:rsidR="0089127B" w:rsidRDefault="0089127B">
      <w:pPr>
        <w:pStyle w:val="NormalWeb"/>
        <w:divId w:val="1287590030"/>
      </w:pPr>
      <w:r>
        <w:t>The prevalence of known risk factors for listeriosis among notified cases remains significant in NSW. Improved risk communication for this population, starting with information from healthcare professionals, may be beneficial in reducing the burden of listeriosis in known vulnerable groups who have regular contact with the health system.</w:t>
      </w:r>
    </w:p>
    <w:p w14:paraId="6B9E4E9E" w14:textId="77777777" w:rsidR="0089127B" w:rsidRDefault="0089127B">
      <w:pPr>
        <w:pStyle w:val="NormalWeb"/>
        <w:divId w:val="1287590030"/>
      </w:pPr>
      <w:r>
        <w:t xml:space="preserve">Key words: </w:t>
      </w:r>
      <w:r w:rsidRPr="00143AA8">
        <w:rPr>
          <w:rStyle w:val="Emphasis"/>
          <w:b w:val="0"/>
        </w:rPr>
        <w:t>Listeria monocytogenes</w:t>
      </w:r>
      <w:r>
        <w:t>, listeriosis, immunocompromised conditions, immunosuppressant medications, cancer, risk factors, patient information, Australia</w:t>
      </w:r>
    </w:p>
    <w:p w14:paraId="333AE961" w14:textId="77777777" w:rsidR="0089127B" w:rsidRPr="00CB6B6F" w:rsidRDefault="0089127B" w:rsidP="00CB6B6F">
      <w:pPr>
        <w:pStyle w:val="Heading1"/>
        <w:divId w:val="1287590030"/>
      </w:pPr>
      <w:r w:rsidRPr="00CB6B6F">
        <w:t>Introduction</w:t>
      </w:r>
    </w:p>
    <w:p w14:paraId="7617E9F4" w14:textId="77777777" w:rsidR="0089127B" w:rsidRDefault="0089127B">
      <w:pPr>
        <w:pStyle w:val="NormalWeb"/>
        <w:divId w:val="1287590030"/>
      </w:pPr>
      <w:r>
        <w:t xml:space="preserve">Listeriosis is a rare food-borne illness associated with high hospitalisation and fatality rates among those infected, particularly in the elderly, pregnant </w:t>
      </w:r>
      <w:proofErr w:type="gramStart"/>
      <w:r>
        <w:t>women</w:t>
      </w:r>
      <w:proofErr w:type="gramEnd"/>
      <w:r>
        <w:t xml:space="preserve"> and persons with weakened immune systems. The average case fatality rate among hospitalisations is estimated to be between 20%–30% </w:t>
      </w:r>
      <w:r>
        <w:rPr>
          <w:vertAlign w:val="superscript"/>
        </w:rPr>
        <w:t>1-3</w:t>
      </w:r>
      <w:r>
        <w:t xml:space="preserve"> ,</w:t>
      </w:r>
      <w:r w:rsidR="00C203C1">
        <w:t xml:space="preserve"> </w:t>
      </w:r>
      <w:r>
        <w:t xml:space="preserve">with studies showing patients with an </w:t>
      </w:r>
      <w:r>
        <w:lastRenderedPageBreak/>
        <w:t>underlying condition having higher case fatality rates of up to 40%.</w:t>
      </w:r>
      <w:r>
        <w:rPr>
          <w:vertAlign w:val="superscript"/>
        </w:rPr>
        <w:t>4-6</w:t>
      </w:r>
      <w:r>
        <w:t xml:space="preserve"> Listeriosis which is caused by the gram-positive bacterium </w:t>
      </w:r>
      <w:r w:rsidRPr="00143AA8">
        <w:rPr>
          <w:rStyle w:val="Emphasis"/>
          <w:b w:val="0"/>
        </w:rPr>
        <w:t xml:space="preserve">Listeria monocytogenes </w:t>
      </w:r>
      <w:r>
        <w:t>can be transmitted from person to person, but is commonly transmitted through the consumption of contaminated food including meat, poultry and dairy products, and through utero/placental transmission in infected pregnant women.</w:t>
      </w:r>
      <w:r>
        <w:rPr>
          <w:vertAlign w:val="superscript"/>
        </w:rPr>
        <w:t>7</w:t>
      </w:r>
      <w:r>
        <w:t xml:space="preserve"> The incubation period can be up to 70 days and will vary depending on the form of listeriosis.</w:t>
      </w:r>
      <w:r>
        <w:rPr>
          <w:vertAlign w:val="superscript"/>
        </w:rPr>
        <w:t>8,9</w:t>
      </w:r>
      <w:r>
        <w:t xml:space="preserve"> Invasive listeriosis is determined by the presence of </w:t>
      </w:r>
      <w:r w:rsidRPr="00143AA8">
        <w:rPr>
          <w:rStyle w:val="Emphasis"/>
          <w:b w:val="0"/>
        </w:rPr>
        <w:t>L. monocytogenes</w:t>
      </w:r>
      <w:r>
        <w:t xml:space="preserve"> in the blood, in the fluid of the central nervous system or infection of the uterus in the case of pregnancy, with a clinical presentation of septicaemia, meningitis and miscarriage.</w:t>
      </w:r>
      <w:r>
        <w:rPr>
          <w:vertAlign w:val="superscript"/>
        </w:rPr>
        <w:t>3</w:t>
      </w:r>
      <w:r>
        <w:t xml:space="preserve"> Main risk factors for infection are age, a weakened immune system (due to underlying medical conditions or the use of immunosuppressant therapies), pregnancy and exposure to a high dose or a highly-virulent strain.</w:t>
      </w:r>
      <w:r>
        <w:rPr>
          <w:vertAlign w:val="superscript"/>
        </w:rPr>
        <w:t>10</w:t>
      </w:r>
      <w:r>
        <w:t xml:space="preserve"> In the general population, most infections of </w:t>
      </w:r>
      <w:r w:rsidRPr="00143AA8">
        <w:rPr>
          <w:rStyle w:val="Emphasis"/>
          <w:b w:val="0"/>
        </w:rPr>
        <w:t>L. monocytogenes</w:t>
      </w:r>
      <w:r>
        <w:t xml:space="preserve"> are without symptoms or manifest as a mild gastroenteritis illness, often remaining unsuspected or unreported.</w:t>
      </w:r>
      <w:r>
        <w:rPr>
          <w:vertAlign w:val="superscript"/>
        </w:rPr>
        <w:t>1,11</w:t>
      </w:r>
    </w:p>
    <w:p w14:paraId="0E772CEE" w14:textId="77777777" w:rsidR="0089127B" w:rsidRDefault="0089127B">
      <w:pPr>
        <w:pStyle w:val="NormalWeb"/>
        <w:divId w:val="1287590030"/>
      </w:pPr>
      <w:r>
        <w:t>Increased risk of listeriosis has been associated with: immunocompromising conditions such as HIV, leukaemia, and autoimmune diseases; immunosuppressing treatments, such as those used to treat malignancies (chemotherapy, radiotherapy) or prepare patients for organ transplants (systemic steroids); certain chronic medical conditions such as heart disease, diabetes, liver disease, renal disease, cancer, and alcohol dependency; and persons on medication associated with gastrointestinal tract infection (gastric acid inhibitors).</w:t>
      </w:r>
      <w:r>
        <w:rPr>
          <w:vertAlign w:val="superscript"/>
        </w:rPr>
        <w:t>11-14</w:t>
      </w:r>
      <w:r>
        <w:t xml:space="preserve"> A number of studies estimate that immunocompromised persons are between 100 - 2,500 times more likely to develop listeriosis, when compared to ‘healthy’ adults.</w:t>
      </w:r>
      <w:r>
        <w:rPr>
          <w:vertAlign w:val="superscript"/>
        </w:rPr>
        <w:t>1,4</w:t>
      </w:r>
    </w:p>
    <w:p w14:paraId="0D036089" w14:textId="77777777" w:rsidR="0089127B" w:rsidRDefault="0089127B">
      <w:pPr>
        <w:pStyle w:val="NormalWeb"/>
        <w:divId w:val="1287590030"/>
      </w:pPr>
      <w:r>
        <w:t>Since standardised reporting of listeriosis in 1991, rates of notification have stabilised over the last decade across Australia. With an average of 80.4 cases reported per year (2009-2014), Australia has a notification rate of 0.3 per 100,000 population.</w:t>
      </w:r>
      <w:r w:rsidR="00EC4E72" w:rsidRPr="00EC4E72">
        <w:rPr>
          <w:vertAlign w:val="superscript"/>
        </w:rPr>
        <w:t xml:space="preserve"> </w:t>
      </w:r>
      <w:r w:rsidR="00EC4E72">
        <w:rPr>
          <w:vertAlign w:val="superscript"/>
        </w:rPr>
        <w:t>15</w:t>
      </w:r>
      <w:r>
        <w:t xml:space="preserve"> New South Wales (NSW) state accounts for a significant proportion of notifications and has with a mean notification rate of 0.4 per 100,000 (2009-2014)</w:t>
      </w:r>
      <w:proofErr w:type="gramStart"/>
      <w:r>
        <w:t>.</w:t>
      </w:r>
      <w:r>
        <w:rPr>
          <w:vertAlign w:val="superscript"/>
        </w:rPr>
        <w:t>15</w:t>
      </w:r>
      <w:proofErr w:type="gramEnd"/>
    </w:p>
    <w:p w14:paraId="559B127A" w14:textId="77777777" w:rsidR="0089127B" w:rsidRDefault="0089127B">
      <w:pPr>
        <w:pStyle w:val="NormalWeb"/>
        <w:divId w:val="1287590030"/>
      </w:pPr>
      <w:r>
        <w:t>In Australia, few studies have examined the distribution of persons with immunocompromising conditions or receiving immunosuppressing treatments among listeriosis</w:t>
      </w:r>
      <w:r w:rsidR="0010408F">
        <w:t xml:space="preserve"> </w:t>
      </w:r>
      <w:r>
        <w:t>notifications. Studies to date, including that done by Popovic and authors, have analysed general epidemiological trends such as age, sex, pregnancy status, links to outbreaks, exposures and distribution across jurisdictional boundaries.</w:t>
      </w:r>
      <w:r>
        <w:rPr>
          <w:vertAlign w:val="superscript"/>
        </w:rPr>
        <w:t>16</w:t>
      </w:r>
      <w:r>
        <w:t xml:space="preserve"> A case-control study by Dalton and authors identified prior hospitalisation, use of gastric acid inhibitors and consumption of camembert to have been associated with an increased risk of listeriosis among non-perinatal notifications.</w:t>
      </w:r>
      <w:r>
        <w:rPr>
          <w:vertAlign w:val="superscript"/>
        </w:rPr>
        <w:t>17</w:t>
      </w:r>
      <w:r>
        <w:t xml:space="preserve"> Australia is expected to have similar epidemiological trends as other high-income countries, where persons with co-existing conditions, in particular those that affect the immune system, present at higher rates than the general population. A study in the UK found that among listeriosis notifications for a 10 year period, patients with co-existing malignancies accounted for more than one third of notifications and cancer patients had a 5 fold-increased risk for developing listeriosis.</w:t>
      </w:r>
      <w:r>
        <w:rPr>
          <w:vertAlign w:val="superscript"/>
        </w:rPr>
        <w:t>18</w:t>
      </w:r>
      <w:r>
        <w:t xml:space="preserve"> In Israel, a retrospective study showed 74% of non-perinatal infections involved immunocompromised patients with malignancies, chronic liver disease, chronic renal failure, or diabetes mellitus.</w:t>
      </w:r>
      <w:r>
        <w:rPr>
          <w:vertAlign w:val="superscript"/>
        </w:rPr>
        <w:t>19</w:t>
      </w:r>
    </w:p>
    <w:p w14:paraId="3920C0B1" w14:textId="77777777" w:rsidR="0089127B" w:rsidRDefault="0089127B">
      <w:pPr>
        <w:pStyle w:val="NormalWeb"/>
        <w:divId w:val="1287590030"/>
      </w:pPr>
      <w:r>
        <w:t xml:space="preserve">In Australia, </w:t>
      </w:r>
      <w:proofErr w:type="gramStart"/>
      <w:r>
        <w:t>education</w:t>
      </w:r>
      <w:proofErr w:type="gramEnd"/>
      <w:r>
        <w:t xml:space="preserve"> and communication campaigns on the risks of listeriosis and preventative measures for pregnant women and maternal healthcare providers are well established and notification rates among this population remain low.</w:t>
      </w:r>
      <w:r>
        <w:rPr>
          <w:vertAlign w:val="superscript"/>
        </w:rPr>
        <w:t>20</w:t>
      </w:r>
      <w:r>
        <w:t xml:space="preserve"> There is a need to better understand the incidence of other risk groups, namely immunocompromised persons, among cases of listeriosis to better target risk reduction efforts in the future.</w:t>
      </w:r>
    </w:p>
    <w:p w14:paraId="388D0F22" w14:textId="77777777" w:rsidR="0089127B" w:rsidRDefault="0089127B">
      <w:pPr>
        <w:pStyle w:val="NormalWeb"/>
        <w:divId w:val="1287590030"/>
      </w:pPr>
      <w:r>
        <w:t>The aim of this study is to describe the distribution of patients with co-existing conditions and other known risk factors among known cases of listeriosis by examining</w:t>
      </w:r>
      <w:r w:rsidR="0010408F">
        <w:t xml:space="preserve"> </w:t>
      </w:r>
      <w:r>
        <w:t>the demographic and clinical characteristics, and risk factors for infection of notified cases between 2010 and 2015 in NSW, Australia.</w:t>
      </w:r>
    </w:p>
    <w:p w14:paraId="168A541C" w14:textId="77777777" w:rsidR="0089127B" w:rsidRPr="00CB6B6F" w:rsidRDefault="0089127B" w:rsidP="00CB6B6F">
      <w:pPr>
        <w:pStyle w:val="Heading1"/>
        <w:divId w:val="1287590030"/>
      </w:pPr>
      <w:r w:rsidRPr="00CB6B6F">
        <w:rPr>
          <w:rStyle w:val="Strong"/>
          <w:b/>
          <w:bCs/>
        </w:rPr>
        <w:lastRenderedPageBreak/>
        <w:t xml:space="preserve">Methods </w:t>
      </w:r>
    </w:p>
    <w:p w14:paraId="53C977F5" w14:textId="77777777" w:rsidR="0089127B" w:rsidRPr="00CB6B6F" w:rsidRDefault="0089127B" w:rsidP="00CB6B6F">
      <w:pPr>
        <w:pStyle w:val="Heading2"/>
        <w:divId w:val="1287590030"/>
      </w:pPr>
      <w:r w:rsidRPr="00CB6B6F">
        <w:rPr>
          <w:rStyle w:val="Strong"/>
          <w:b/>
          <w:bCs/>
        </w:rPr>
        <w:t xml:space="preserve">Data sources </w:t>
      </w:r>
    </w:p>
    <w:p w14:paraId="730BDE46" w14:textId="77777777" w:rsidR="0089127B" w:rsidRDefault="0089127B">
      <w:pPr>
        <w:pStyle w:val="NormalWeb"/>
        <w:divId w:val="1287590030"/>
      </w:pPr>
      <w:r>
        <w:t>Listeriosis notification data were extracted from the NSW Notifiable Conditions Information Management System (NCIMS). Under the authority of the NSW Public Health Act 2010, all listed conditions, including invasive listeriosis, must be reported to public health units from general practitioners (GPs), hospitals, and pathology laboratories. Data were included in the study when the year of diagnosis (defined as symptom onset or in lieu of this, the specimen collection date) was between 01 January 2010 and 31 December 2015, The Australian enhanced foodborne disease surveillance network (</w:t>
      </w:r>
      <w:proofErr w:type="spellStart"/>
      <w:r>
        <w:t>OzFoodNet</w:t>
      </w:r>
      <w:proofErr w:type="spellEnd"/>
      <w:r>
        <w:t xml:space="preserve">) Listeria Case Questionnaires for each case were reviewed where key data of interest was missing in the NCIMS database including whether the patient had cancer or was receiving immunosuppressant medications or treatment at the time of listeriosis diagnosis. </w:t>
      </w:r>
      <w:proofErr w:type="spellStart"/>
      <w:r w:rsidR="0010408F">
        <w:t>OzFoodNet</w:t>
      </w:r>
      <w:proofErr w:type="spellEnd"/>
      <w:r>
        <w:t xml:space="preserve"> standardised Listeria Case Questionnaires are administered to all invasive listeriosis cases in NSW by public health units, capturing information on case demographics, risk factors, food history and laboratory data.</w:t>
      </w:r>
    </w:p>
    <w:p w14:paraId="295B0F54" w14:textId="77777777" w:rsidR="0089127B" w:rsidRDefault="0089127B">
      <w:pPr>
        <w:pStyle w:val="NormalWeb"/>
        <w:divId w:val="1287590030"/>
      </w:pPr>
      <w:r>
        <w:t>Responses in the questionnaire of both the attending clinician and the patient/caregiver themselves were included for analysis. Where there was an affirmative response from either treating clinician or patient/caregiver, a record was counted as affirmative, where there was no response recorded by either respondent, it was assumed negative.</w:t>
      </w:r>
    </w:p>
    <w:p w14:paraId="2567D293" w14:textId="77777777" w:rsidR="0089127B" w:rsidRDefault="0089127B">
      <w:pPr>
        <w:pStyle w:val="NormalWeb"/>
        <w:divId w:val="1287590030"/>
      </w:pPr>
      <w:r>
        <w:t xml:space="preserve">Descriptive analyses of notification data were undertaken. Results were compared across demographics (age, gender, </w:t>
      </w:r>
      <w:r w:rsidR="0016411E">
        <w:t>and pregnancy</w:t>
      </w:r>
      <w:r>
        <w:t xml:space="preserve"> status), known risk factors (co-existing conditions, treatments, </w:t>
      </w:r>
      <w:proofErr w:type="gramStart"/>
      <w:r>
        <w:t>medications</w:t>
      </w:r>
      <w:proofErr w:type="gramEnd"/>
      <w:r>
        <w:t xml:space="preserve"> and foods consumed) and previous exposure to healthcare resources (visits and admissions to hospital, information received from healthcare workers) for the study period.</w:t>
      </w:r>
    </w:p>
    <w:p w14:paraId="1B0608B4" w14:textId="77777777" w:rsidR="0089127B" w:rsidRPr="00CB6B6F" w:rsidRDefault="0089127B" w:rsidP="00CB6B6F">
      <w:pPr>
        <w:pStyle w:val="Heading2"/>
        <w:divId w:val="1287590030"/>
      </w:pPr>
      <w:r w:rsidRPr="00CB6B6F">
        <w:rPr>
          <w:rStyle w:val="Strong"/>
          <w:b/>
          <w:bCs/>
        </w:rPr>
        <w:t>Definitions</w:t>
      </w:r>
      <w:r w:rsidRPr="00CB6B6F">
        <w:t xml:space="preserve"> (Case definition) </w:t>
      </w:r>
    </w:p>
    <w:p w14:paraId="518896D0" w14:textId="77777777" w:rsidR="0089127B" w:rsidRDefault="0089127B">
      <w:pPr>
        <w:pStyle w:val="NormalWeb"/>
        <w:divId w:val="1287590030"/>
      </w:pPr>
      <w:r>
        <w:t xml:space="preserve">For the purpose of this study, a case is defined as </w:t>
      </w:r>
      <w:proofErr w:type="gramStart"/>
      <w:r>
        <w:t>a</w:t>
      </w:r>
      <w:proofErr w:type="gramEnd"/>
      <w:r>
        <w:t xml:space="preserve"> NSW resident with invasive listeriosis; confirmed by isolation or detection of </w:t>
      </w:r>
      <w:r w:rsidRPr="00143AA8">
        <w:rPr>
          <w:rStyle w:val="Emphasis"/>
          <w:b w:val="0"/>
        </w:rPr>
        <w:t>L. monocytogenes</w:t>
      </w:r>
      <w:r>
        <w:t xml:space="preserve"> from a site that is normally sterile, including </w:t>
      </w:r>
      <w:proofErr w:type="spellStart"/>
      <w:r>
        <w:t>fetal</w:t>
      </w:r>
      <w:proofErr w:type="spellEnd"/>
      <w:r>
        <w:t xml:space="preserve"> gastrointestinal contents, and whose symptom onset or specimen collection date was between 01 January 2010 and 31 December 2015. Only data for NSW was included and linked notifications (where both mother and neonate were both infected) were removed and the data for the mother only included.</w:t>
      </w:r>
    </w:p>
    <w:p w14:paraId="000E96F6" w14:textId="77777777" w:rsidR="00CB6B6F" w:rsidRDefault="0089127B" w:rsidP="00CB6B6F">
      <w:pPr>
        <w:pStyle w:val="NormalWeb"/>
        <w:divId w:val="1287590030"/>
      </w:pPr>
      <w:r>
        <w:t xml:space="preserve">Grouped response categories were created for study variables, </w:t>
      </w:r>
      <w:proofErr w:type="gramStart"/>
      <w:r>
        <w:t>treatments</w:t>
      </w:r>
      <w:proofErr w:type="gramEnd"/>
      <w:r>
        <w:t xml:space="preserve"> and food exposures, in order to analyse trends in risk. Response categories for treatments administered at the time of illness were created using responses to the question in the Listeria Case Questionnaire</w:t>
      </w:r>
      <w:r w:rsidRPr="00143AA8">
        <w:rPr>
          <w:rStyle w:val="Emphasis"/>
          <w:b w:val="0"/>
        </w:rPr>
        <w:t xml:space="preserve">: in the 4 weeks prior to illness, were you taking any of the following treatments? </w:t>
      </w:r>
      <w:r>
        <w:t>(Table 1)</w:t>
      </w:r>
      <w:r w:rsidRPr="00143AA8">
        <w:rPr>
          <w:rStyle w:val="Emphasis"/>
          <w:b w:val="0"/>
        </w:rPr>
        <w:t xml:space="preserve">. </w:t>
      </w:r>
      <w:r>
        <w:t xml:space="preserve">Response categories for food exposures with a known high risk of </w:t>
      </w:r>
      <w:r w:rsidRPr="00143AA8">
        <w:rPr>
          <w:rStyle w:val="Emphasis"/>
          <w:b w:val="0"/>
        </w:rPr>
        <w:t xml:space="preserve">Listeria monocytogenes </w:t>
      </w:r>
      <w:r>
        <w:t xml:space="preserve">transmission in Australia were created using the responses to the question: </w:t>
      </w:r>
      <w:r w:rsidRPr="00143AA8">
        <w:rPr>
          <w:rStyle w:val="Emphasis"/>
          <w:b w:val="0"/>
        </w:rPr>
        <w:t xml:space="preserve">in the 4 weeks prior to illness, did you consume any of the following? </w:t>
      </w:r>
      <w:r>
        <w:t>(Table 1). Where ‘other’ or ‘comments’ were recorded for treatment and co-existing conditions in the questionnaire, data were reviewed by a medical registrar for inclusion in available categories where relevant to reduce measurement bias. In total, 32 conditions and 11 treatment responses recorded as ‘other’ were redistributed to available categories after review. Remaining ‘other’ medications and treatments were not included for analysis as they were not related to impeding the immune system or having a known risk associated with listeriosis.</w:t>
      </w:r>
      <w:r>
        <w:rPr>
          <w:vertAlign w:val="superscript"/>
        </w:rPr>
        <w:t>1</w:t>
      </w:r>
    </w:p>
    <w:p w14:paraId="4AC21656" w14:textId="77777777" w:rsidR="00CB6B6F" w:rsidRDefault="00CB6B6F">
      <w:r>
        <w:br w:type="page"/>
      </w:r>
    </w:p>
    <w:p w14:paraId="12DFB936" w14:textId="77777777" w:rsidR="0089127B" w:rsidRPr="009937C4" w:rsidRDefault="0089127B" w:rsidP="00CB6B6F">
      <w:pPr>
        <w:pStyle w:val="NormalWeb"/>
        <w:divId w:val="1287590030"/>
      </w:pPr>
      <w:r w:rsidRPr="009937C4">
        <w:rPr>
          <w:rStyle w:val="Strong"/>
          <w:bCs w:val="0"/>
        </w:rPr>
        <w:lastRenderedPageBreak/>
        <w:t>Table 1. Definition of study variables</w:t>
      </w:r>
    </w:p>
    <w:tbl>
      <w:tblPr>
        <w:tblStyle w:val="CDI-StandardTable"/>
        <w:tblW w:w="0" w:type="auto"/>
        <w:tblLook w:val="04A0" w:firstRow="1" w:lastRow="0" w:firstColumn="1" w:lastColumn="0" w:noHBand="0" w:noVBand="1"/>
        <w:tblCaption w:val="Table 1. Definition of study variables"/>
        <w:tblDescription w:val="Table 1 shows the study variables and the corresponding data included under each variable from the OzFoodNet Listeria Case Questionnaire response categories."/>
      </w:tblPr>
      <w:tblGrid>
        <w:gridCol w:w="2824"/>
        <w:gridCol w:w="3112"/>
        <w:gridCol w:w="4770"/>
      </w:tblGrid>
      <w:tr w:rsidR="001B7CC9" w:rsidRPr="001B7CC9" w14:paraId="24ED7A86" w14:textId="77777777" w:rsidTr="001B7CC9">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hideMark/>
          </w:tcPr>
          <w:p w14:paraId="2BD1172C" w14:textId="77777777" w:rsidR="0089127B" w:rsidRPr="001B7CC9" w:rsidRDefault="0089127B">
            <w:pPr>
              <w:rPr>
                <w:rFonts w:eastAsia="Times New Roman"/>
                <w:color w:val="FFFFFF" w:themeColor="background1"/>
                <w:sz w:val="24"/>
                <w:szCs w:val="24"/>
              </w:rPr>
            </w:pPr>
            <w:r w:rsidRPr="001B7CC9">
              <w:rPr>
                <w:rFonts w:eastAsia="Times New Roman"/>
                <w:color w:val="FFFFFF" w:themeColor="background1"/>
              </w:rPr>
              <w:t>Risk category</w:t>
            </w:r>
          </w:p>
        </w:tc>
        <w:tc>
          <w:tcPr>
            <w:tcW w:w="0" w:type="auto"/>
            <w:hideMark/>
          </w:tcPr>
          <w:p w14:paraId="0F72C290" w14:textId="77777777" w:rsidR="0089127B" w:rsidRPr="001B7CC9" w:rsidRDefault="0089127B">
            <w:pPr>
              <w:rPr>
                <w:rFonts w:eastAsia="Times New Roman"/>
                <w:color w:val="FFFFFF" w:themeColor="background1"/>
                <w:sz w:val="24"/>
                <w:szCs w:val="24"/>
              </w:rPr>
            </w:pPr>
            <w:r w:rsidRPr="001B7CC9">
              <w:rPr>
                <w:rFonts w:eastAsia="Times New Roman"/>
                <w:color w:val="FFFFFF" w:themeColor="background1"/>
              </w:rPr>
              <w:t>Study variable</w:t>
            </w:r>
          </w:p>
        </w:tc>
        <w:tc>
          <w:tcPr>
            <w:tcW w:w="0" w:type="auto"/>
            <w:hideMark/>
          </w:tcPr>
          <w:p w14:paraId="409EBE0B" w14:textId="77777777" w:rsidR="0089127B" w:rsidRPr="001B7CC9" w:rsidRDefault="0089127B">
            <w:pPr>
              <w:rPr>
                <w:rFonts w:eastAsia="Times New Roman"/>
                <w:color w:val="FFFFFF" w:themeColor="background1"/>
                <w:sz w:val="24"/>
                <w:szCs w:val="24"/>
              </w:rPr>
            </w:pPr>
            <w:r w:rsidRPr="001B7CC9">
              <w:rPr>
                <w:rFonts w:eastAsia="Times New Roman"/>
                <w:color w:val="FFFFFF" w:themeColor="background1"/>
              </w:rPr>
              <w:t>Data included</w:t>
            </w:r>
            <w:r w:rsidRPr="001B7CC9">
              <w:rPr>
                <w:rFonts w:eastAsia="Times New Roman"/>
                <w:color w:val="FFFFFF" w:themeColor="background1"/>
                <w:vertAlign w:val="superscript"/>
              </w:rPr>
              <w:t>*</w:t>
            </w:r>
          </w:p>
        </w:tc>
      </w:tr>
      <w:tr w:rsidR="0089127B" w14:paraId="23F8A3B1" w14:textId="77777777" w:rsidTr="001D1E83">
        <w:tblPrEx>
          <w:tblCellMar>
            <w:top w:w="0" w:type="dxa"/>
            <w:left w:w="108" w:type="dxa"/>
            <w:bottom w:w="0" w:type="dxa"/>
            <w:right w:w="108" w:type="dxa"/>
          </w:tblCellMar>
        </w:tblPrEx>
        <w:trPr>
          <w:divId w:val="1287590030"/>
        </w:trPr>
        <w:tc>
          <w:tcPr>
            <w:tcW w:w="0" w:type="auto"/>
            <w:vMerge w:val="restart"/>
            <w:shd w:val="clear" w:color="auto" w:fill="808080" w:themeFill="background1" w:themeFillShade="80"/>
            <w:vAlign w:val="center"/>
            <w:hideMark/>
          </w:tcPr>
          <w:p w14:paraId="458227F1" w14:textId="77777777" w:rsidR="0089127B" w:rsidRPr="001D1E83" w:rsidRDefault="0089127B" w:rsidP="001D1E83">
            <w:pPr>
              <w:jc w:val="center"/>
              <w:rPr>
                <w:rFonts w:eastAsia="Times New Roman"/>
                <w:b/>
                <w:color w:val="FFFFFF" w:themeColor="background1"/>
                <w:sz w:val="24"/>
                <w:szCs w:val="24"/>
              </w:rPr>
            </w:pPr>
            <w:r w:rsidRPr="001D1E83">
              <w:rPr>
                <w:rFonts w:eastAsia="Times New Roman"/>
                <w:b/>
                <w:color w:val="FFFFFF" w:themeColor="background1"/>
              </w:rPr>
              <w:t>Treatments administered at the time of illness</w:t>
            </w:r>
          </w:p>
        </w:tc>
        <w:tc>
          <w:tcPr>
            <w:tcW w:w="0" w:type="auto"/>
            <w:hideMark/>
          </w:tcPr>
          <w:p w14:paraId="2D432A69" w14:textId="77777777" w:rsidR="0089127B" w:rsidRDefault="0089127B">
            <w:pPr>
              <w:rPr>
                <w:rFonts w:eastAsia="Times New Roman"/>
                <w:sz w:val="24"/>
                <w:szCs w:val="24"/>
              </w:rPr>
            </w:pPr>
            <w:r>
              <w:rPr>
                <w:rFonts w:eastAsia="Times New Roman"/>
              </w:rPr>
              <w:t>systemic steroids</w:t>
            </w:r>
          </w:p>
        </w:tc>
        <w:tc>
          <w:tcPr>
            <w:tcW w:w="0" w:type="auto"/>
            <w:hideMark/>
          </w:tcPr>
          <w:p w14:paraId="04BEBA2B" w14:textId="77777777" w:rsidR="0089127B" w:rsidRDefault="0089127B">
            <w:pPr>
              <w:rPr>
                <w:rFonts w:eastAsia="Times New Roman"/>
                <w:sz w:val="24"/>
                <w:szCs w:val="24"/>
              </w:rPr>
            </w:pPr>
            <w:r>
              <w:rPr>
                <w:rFonts w:eastAsia="Times New Roman"/>
              </w:rPr>
              <w:t>corticosteroids (</w:t>
            </w:r>
            <w:proofErr w:type="spellStart"/>
            <w:r>
              <w:rPr>
                <w:rFonts w:eastAsia="Times New Roman"/>
              </w:rPr>
              <w:t>eg.</w:t>
            </w:r>
            <w:proofErr w:type="spellEnd"/>
            <w:r>
              <w:rPr>
                <w:rFonts w:eastAsia="Times New Roman"/>
              </w:rPr>
              <w:t xml:space="preserve"> prednisone)</w:t>
            </w:r>
          </w:p>
        </w:tc>
      </w:tr>
      <w:tr w:rsidR="0089127B" w14:paraId="22F2F48A" w14:textId="77777777" w:rsidTr="001D1E8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vMerge/>
            <w:shd w:val="clear" w:color="auto" w:fill="808080" w:themeFill="background1" w:themeFillShade="80"/>
            <w:hideMark/>
          </w:tcPr>
          <w:p w14:paraId="14AC8D41" w14:textId="77777777" w:rsidR="0089127B" w:rsidRPr="001D1E83" w:rsidRDefault="0089127B">
            <w:pPr>
              <w:rPr>
                <w:rFonts w:eastAsia="Times New Roman"/>
                <w:b/>
                <w:color w:val="FFFFFF" w:themeColor="background1"/>
                <w:sz w:val="24"/>
                <w:szCs w:val="24"/>
              </w:rPr>
            </w:pPr>
          </w:p>
        </w:tc>
        <w:tc>
          <w:tcPr>
            <w:tcW w:w="0" w:type="auto"/>
            <w:hideMark/>
          </w:tcPr>
          <w:p w14:paraId="3AB3A2D2" w14:textId="77777777" w:rsidR="0089127B" w:rsidRDefault="0089127B">
            <w:pPr>
              <w:rPr>
                <w:rFonts w:eastAsia="Times New Roman"/>
                <w:sz w:val="24"/>
                <w:szCs w:val="24"/>
              </w:rPr>
            </w:pPr>
            <w:r>
              <w:rPr>
                <w:rFonts w:eastAsia="Times New Roman"/>
              </w:rPr>
              <w:t>immunosuppressants</w:t>
            </w:r>
          </w:p>
        </w:tc>
        <w:tc>
          <w:tcPr>
            <w:tcW w:w="0" w:type="auto"/>
            <w:hideMark/>
          </w:tcPr>
          <w:p w14:paraId="187A3293" w14:textId="77777777" w:rsidR="0089127B" w:rsidRDefault="0089127B">
            <w:pPr>
              <w:rPr>
                <w:rFonts w:eastAsia="Times New Roman"/>
                <w:sz w:val="24"/>
                <w:szCs w:val="24"/>
              </w:rPr>
            </w:pPr>
            <w:r>
              <w:rPr>
                <w:rFonts w:eastAsia="Times New Roman"/>
              </w:rPr>
              <w:t>cyclosporine other drugs that affect the immune system</w:t>
            </w:r>
          </w:p>
        </w:tc>
      </w:tr>
      <w:tr w:rsidR="0089127B" w14:paraId="70A78582" w14:textId="77777777" w:rsidTr="001D1E83">
        <w:tblPrEx>
          <w:tblCellMar>
            <w:top w:w="0" w:type="dxa"/>
            <w:left w:w="108" w:type="dxa"/>
            <w:bottom w:w="0" w:type="dxa"/>
            <w:right w:w="108" w:type="dxa"/>
          </w:tblCellMar>
        </w:tblPrEx>
        <w:trPr>
          <w:divId w:val="1287590030"/>
        </w:trPr>
        <w:tc>
          <w:tcPr>
            <w:tcW w:w="0" w:type="auto"/>
            <w:vMerge/>
            <w:shd w:val="clear" w:color="auto" w:fill="808080" w:themeFill="background1" w:themeFillShade="80"/>
            <w:hideMark/>
          </w:tcPr>
          <w:p w14:paraId="5D9C2261" w14:textId="77777777" w:rsidR="0089127B" w:rsidRPr="001D1E83" w:rsidRDefault="0089127B">
            <w:pPr>
              <w:rPr>
                <w:rFonts w:eastAsia="Times New Roman"/>
                <w:b/>
                <w:color w:val="FFFFFF" w:themeColor="background1"/>
                <w:sz w:val="24"/>
                <w:szCs w:val="24"/>
              </w:rPr>
            </w:pPr>
          </w:p>
        </w:tc>
        <w:tc>
          <w:tcPr>
            <w:tcW w:w="0" w:type="auto"/>
            <w:hideMark/>
          </w:tcPr>
          <w:p w14:paraId="49DFD1AF" w14:textId="77777777" w:rsidR="0089127B" w:rsidRDefault="0089127B">
            <w:pPr>
              <w:rPr>
                <w:rFonts w:eastAsia="Times New Roman"/>
                <w:sz w:val="24"/>
                <w:szCs w:val="24"/>
              </w:rPr>
            </w:pPr>
            <w:r>
              <w:rPr>
                <w:rFonts w:eastAsia="Times New Roman"/>
              </w:rPr>
              <w:t>cancer treatments</w:t>
            </w:r>
          </w:p>
        </w:tc>
        <w:tc>
          <w:tcPr>
            <w:tcW w:w="0" w:type="auto"/>
            <w:hideMark/>
          </w:tcPr>
          <w:p w14:paraId="2A7BF660" w14:textId="77777777" w:rsidR="0089127B" w:rsidRDefault="0089127B">
            <w:pPr>
              <w:rPr>
                <w:rFonts w:eastAsia="Times New Roman"/>
                <w:sz w:val="24"/>
                <w:szCs w:val="24"/>
              </w:rPr>
            </w:pPr>
            <w:r>
              <w:rPr>
                <w:rFonts w:eastAsia="Times New Roman"/>
              </w:rPr>
              <w:t>chemotherapy radiation therapy</w:t>
            </w:r>
          </w:p>
        </w:tc>
      </w:tr>
      <w:tr w:rsidR="0089127B" w14:paraId="7D419390" w14:textId="77777777" w:rsidTr="00253D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vMerge/>
            <w:tcBorders>
              <w:bottom w:val="single" w:sz="2" w:space="0" w:color="auto"/>
            </w:tcBorders>
            <w:shd w:val="clear" w:color="auto" w:fill="808080" w:themeFill="background1" w:themeFillShade="80"/>
            <w:hideMark/>
          </w:tcPr>
          <w:p w14:paraId="65B9B4C0" w14:textId="77777777" w:rsidR="0089127B" w:rsidRPr="001D1E83" w:rsidRDefault="0089127B">
            <w:pPr>
              <w:rPr>
                <w:rFonts w:eastAsia="Times New Roman"/>
                <w:b/>
                <w:color w:val="FFFFFF" w:themeColor="background1"/>
                <w:sz w:val="24"/>
                <w:szCs w:val="24"/>
              </w:rPr>
            </w:pPr>
          </w:p>
        </w:tc>
        <w:tc>
          <w:tcPr>
            <w:tcW w:w="0" w:type="auto"/>
            <w:tcBorders>
              <w:bottom w:val="single" w:sz="2" w:space="0" w:color="auto"/>
            </w:tcBorders>
            <w:hideMark/>
          </w:tcPr>
          <w:p w14:paraId="20581294" w14:textId="77777777" w:rsidR="0089127B" w:rsidRDefault="0089127B">
            <w:pPr>
              <w:rPr>
                <w:rFonts w:eastAsia="Times New Roman"/>
                <w:sz w:val="24"/>
                <w:szCs w:val="24"/>
              </w:rPr>
            </w:pPr>
            <w:r>
              <w:rPr>
                <w:rFonts w:eastAsia="Times New Roman"/>
              </w:rPr>
              <w:t xml:space="preserve">antibiotics, </w:t>
            </w:r>
            <w:proofErr w:type="spellStart"/>
            <w:r>
              <w:rPr>
                <w:rFonts w:eastAsia="Times New Roman"/>
              </w:rPr>
              <w:t>antidiarrhoeals</w:t>
            </w:r>
            <w:proofErr w:type="spellEnd"/>
            <w:r>
              <w:rPr>
                <w:rFonts w:eastAsia="Times New Roman"/>
              </w:rPr>
              <w:t>, antacids or other medication which reduces stomach acid</w:t>
            </w:r>
          </w:p>
        </w:tc>
        <w:tc>
          <w:tcPr>
            <w:tcW w:w="0" w:type="auto"/>
            <w:tcBorders>
              <w:bottom w:val="single" w:sz="2" w:space="0" w:color="auto"/>
            </w:tcBorders>
            <w:hideMark/>
          </w:tcPr>
          <w:p w14:paraId="6DCD6FA9" w14:textId="77777777" w:rsidR="0089127B" w:rsidRDefault="0089127B">
            <w:pPr>
              <w:rPr>
                <w:rFonts w:eastAsia="Times New Roman"/>
                <w:sz w:val="24"/>
                <w:szCs w:val="24"/>
              </w:rPr>
            </w:pPr>
            <w:proofErr w:type="spellStart"/>
            <w:r>
              <w:rPr>
                <w:rFonts w:eastAsia="Times New Roman"/>
              </w:rPr>
              <w:t>antidiarrhoeal</w:t>
            </w:r>
            <w:proofErr w:type="spellEnd"/>
            <w:r>
              <w:rPr>
                <w:rFonts w:eastAsia="Times New Roman"/>
              </w:rPr>
              <w:t xml:space="preserve"> medication (</w:t>
            </w:r>
            <w:proofErr w:type="spellStart"/>
            <w:r>
              <w:rPr>
                <w:rFonts w:eastAsia="Times New Roman"/>
              </w:rPr>
              <w:t>eg.</w:t>
            </w:r>
            <w:proofErr w:type="spellEnd"/>
            <w:r>
              <w:rPr>
                <w:rFonts w:eastAsia="Times New Roman"/>
              </w:rPr>
              <w:t xml:space="preserve"> </w:t>
            </w:r>
            <w:proofErr w:type="spellStart"/>
            <w:r>
              <w:rPr>
                <w:rFonts w:eastAsia="Times New Roman"/>
              </w:rPr>
              <w:t>Llomotil</w:t>
            </w:r>
            <w:proofErr w:type="spellEnd"/>
            <w:r>
              <w:rPr>
                <w:rFonts w:eastAsia="Times New Roman"/>
              </w:rPr>
              <w:t>, Imodium) antacids (</w:t>
            </w:r>
            <w:proofErr w:type="spellStart"/>
            <w:r>
              <w:rPr>
                <w:rFonts w:eastAsia="Times New Roman"/>
              </w:rPr>
              <w:t>eg.</w:t>
            </w:r>
            <w:proofErr w:type="spellEnd"/>
            <w:r>
              <w:rPr>
                <w:rFonts w:eastAsia="Times New Roman"/>
              </w:rPr>
              <w:t xml:space="preserve"> Mylanta, </w:t>
            </w:r>
            <w:proofErr w:type="spellStart"/>
            <w:r>
              <w:rPr>
                <w:rFonts w:eastAsia="Times New Roman"/>
              </w:rPr>
              <w:t>Mucaine</w:t>
            </w:r>
            <w:proofErr w:type="spellEnd"/>
            <w:r>
              <w:rPr>
                <w:rFonts w:eastAsia="Times New Roman"/>
              </w:rPr>
              <w:t>) medications that reduce stomach acid (</w:t>
            </w:r>
            <w:r w:rsidR="00B30F89">
              <w:rPr>
                <w:rFonts w:eastAsia="Times New Roman"/>
              </w:rPr>
              <w:t>e.g.</w:t>
            </w:r>
            <w:r>
              <w:rPr>
                <w:rFonts w:eastAsia="Times New Roman"/>
              </w:rPr>
              <w:t xml:space="preserve"> Zantac, Tagamet, Somac, Losec) antibiotics other</w:t>
            </w:r>
          </w:p>
        </w:tc>
      </w:tr>
      <w:tr w:rsidR="0089127B" w14:paraId="2291EAFB" w14:textId="77777777" w:rsidTr="00253D4C">
        <w:tblPrEx>
          <w:tblCellMar>
            <w:top w:w="0" w:type="dxa"/>
            <w:left w:w="108" w:type="dxa"/>
            <w:bottom w:w="0" w:type="dxa"/>
            <w:right w:w="108" w:type="dxa"/>
          </w:tblCellMar>
        </w:tblPrEx>
        <w:trPr>
          <w:divId w:val="1287590030"/>
        </w:trPr>
        <w:tc>
          <w:tcPr>
            <w:tcW w:w="0" w:type="auto"/>
            <w:vMerge w:val="restart"/>
            <w:tcBorders>
              <w:top w:val="single" w:sz="2" w:space="0" w:color="auto"/>
            </w:tcBorders>
            <w:shd w:val="clear" w:color="auto" w:fill="808080" w:themeFill="background1" w:themeFillShade="80"/>
            <w:vAlign w:val="center"/>
            <w:hideMark/>
          </w:tcPr>
          <w:p w14:paraId="57C6EE2D" w14:textId="77777777" w:rsidR="0089127B" w:rsidRPr="001D1E83" w:rsidRDefault="0089127B" w:rsidP="001D1E83">
            <w:pPr>
              <w:jc w:val="center"/>
              <w:rPr>
                <w:rFonts w:eastAsia="Times New Roman"/>
                <w:b/>
                <w:color w:val="FFFFFF" w:themeColor="background1"/>
                <w:sz w:val="24"/>
                <w:szCs w:val="24"/>
              </w:rPr>
            </w:pPr>
            <w:r w:rsidRPr="001D1E83">
              <w:rPr>
                <w:rFonts w:eastAsia="Times New Roman"/>
                <w:b/>
                <w:color w:val="FFFFFF" w:themeColor="background1"/>
              </w:rPr>
              <w:t>Food exposure with a known high risk of Listeria monocytogenes transmission in Australia</w:t>
            </w:r>
          </w:p>
        </w:tc>
        <w:tc>
          <w:tcPr>
            <w:tcW w:w="0" w:type="auto"/>
            <w:tcBorders>
              <w:top w:val="single" w:sz="2" w:space="0" w:color="auto"/>
            </w:tcBorders>
            <w:hideMark/>
          </w:tcPr>
          <w:p w14:paraId="05AC1FB9" w14:textId="77777777" w:rsidR="0089127B" w:rsidRDefault="0089127B">
            <w:pPr>
              <w:rPr>
                <w:rFonts w:eastAsia="Times New Roman"/>
                <w:sz w:val="24"/>
                <w:szCs w:val="24"/>
              </w:rPr>
            </w:pPr>
            <w:r>
              <w:rPr>
                <w:rFonts w:eastAsia="Times New Roman"/>
              </w:rPr>
              <w:t>pre-prepared fruit</w:t>
            </w:r>
          </w:p>
        </w:tc>
        <w:tc>
          <w:tcPr>
            <w:tcW w:w="0" w:type="auto"/>
            <w:tcBorders>
              <w:top w:val="single" w:sz="2" w:space="0" w:color="auto"/>
            </w:tcBorders>
            <w:hideMark/>
          </w:tcPr>
          <w:p w14:paraId="3749BAD9" w14:textId="77777777" w:rsidR="0089127B" w:rsidRDefault="0089127B">
            <w:pPr>
              <w:rPr>
                <w:rFonts w:eastAsia="Times New Roman"/>
                <w:sz w:val="24"/>
                <w:szCs w:val="24"/>
              </w:rPr>
            </w:pPr>
            <w:r>
              <w:rPr>
                <w:rFonts w:eastAsia="Times New Roman"/>
              </w:rPr>
              <w:t>fruit salad self-service salad bar, fruit salad delicatessen</w:t>
            </w:r>
          </w:p>
        </w:tc>
      </w:tr>
      <w:tr w:rsidR="0089127B" w14:paraId="250F0F14" w14:textId="77777777" w:rsidTr="001D1E8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vMerge/>
            <w:shd w:val="clear" w:color="auto" w:fill="808080" w:themeFill="background1" w:themeFillShade="80"/>
            <w:hideMark/>
          </w:tcPr>
          <w:p w14:paraId="52F051FC" w14:textId="77777777" w:rsidR="0089127B" w:rsidRDefault="0089127B">
            <w:pPr>
              <w:rPr>
                <w:rFonts w:eastAsia="Times New Roman"/>
                <w:sz w:val="24"/>
                <w:szCs w:val="24"/>
              </w:rPr>
            </w:pPr>
          </w:p>
        </w:tc>
        <w:tc>
          <w:tcPr>
            <w:tcW w:w="0" w:type="auto"/>
            <w:hideMark/>
          </w:tcPr>
          <w:p w14:paraId="6886103A" w14:textId="77777777" w:rsidR="0089127B" w:rsidRDefault="0089127B">
            <w:pPr>
              <w:rPr>
                <w:rFonts w:eastAsia="Times New Roman"/>
                <w:sz w:val="24"/>
                <w:szCs w:val="24"/>
              </w:rPr>
            </w:pPr>
            <w:r>
              <w:rPr>
                <w:rFonts w:eastAsia="Times New Roman"/>
              </w:rPr>
              <w:t>soft cheeses</w:t>
            </w:r>
          </w:p>
        </w:tc>
        <w:tc>
          <w:tcPr>
            <w:tcW w:w="0" w:type="auto"/>
            <w:hideMark/>
          </w:tcPr>
          <w:p w14:paraId="7A297F8C" w14:textId="77777777" w:rsidR="0089127B" w:rsidRDefault="0089127B">
            <w:pPr>
              <w:rPr>
                <w:rFonts w:eastAsia="Times New Roman"/>
                <w:sz w:val="24"/>
                <w:szCs w:val="24"/>
              </w:rPr>
            </w:pPr>
            <w:r>
              <w:rPr>
                <w:rFonts w:eastAsia="Times New Roman"/>
              </w:rPr>
              <w:t>brie, camembert, blue veined, fetta, ricotta, mozzarella, other soft cheese</w:t>
            </w:r>
          </w:p>
        </w:tc>
      </w:tr>
      <w:tr w:rsidR="0089127B" w14:paraId="1668582B" w14:textId="77777777" w:rsidTr="001D1E83">
        <w:tblPrEx>
          <w:tblCellMar>
            <w:top w:w="0" w:type="dxa"/>
            <w:left w:w="108" w:type="dxa"/>
            <w:bottom w:w="0" w:type="dxa"/>
            <w:right w:w="108" w:type="dxa"/>
          </w:tblCellMar>
        </w:tblPrEx>
        <w:trPr>
          <w:divId w:val="1287590030"/>
        </w:trPr>
        <w:tc>
          <w:tcPr>
            <w:tcW w:w="0" w:type="auto"/>
            <w:vMerge/>
            <w:shd w:val="clear" w:color="auto" w:fill="808080" w:themeFill="background1" w:themeFillShade="80"/>
            <w:hideMark/>
          </w:tcPr>
          <w:p w14:paraId="4DC2376D" w14:textId="77777777" w:rsidR="0089127B" w:rsidRDefault="0089127B">
            <w:pPr>
              <w:rPr>
                <w:rFonts w:eastAsia="Times New Roman"/>
                <w:sz w:val="24"/>
                <w:szCs w:val="24"/>
              </w:rPr>
            </w:pPr>
          </w:p>
        </w:tc>
        <w:tc>
          <w:tcPr>
            <w:tcW w:w="0" w:type="auto"/>
            <w:hideMark/>
          </w:tcPr>
          <w:p w14:paraId="2ED51D2D" w14:textId="77777777" w:rsidR="0089127B" w:rsidRDefault="0089127B">
            <w:pPr>
              <w:rPr>
                <w:rFonts w:eastAsia="Times New Roman"/>
                <w:sz w:val="24"/>
                <w:szCs w:val="24"/>
              </w:rPr>
            </w:pPr>
            <w:r>
              <w:rPr>
                <w:rFonts w:eastAsia="Times New Roman"/>
              </w:rPr>
              <w:t>unpasteurised cheese/milk</w:t>
            </w:r>
          </w:p>
        </w:tc>
        <w:tc>
          <w:tcPr>
            <w:tcW w:w="0" w:type="auto"/>
            <w:hideMark/>
          </w:tcPr>
          <w:p w14:paraId="40CD1340" w14:textId="77777777" w:rsidR="0089127B" w:rsidRDefault="0089127B">
            <w:pPr>
              <w:rPr>
                <w:rFonts w:eastAsia="Times New Roman"/>
                <w:sz w:val="24"/>
                <w:szCs w:val="24"/>
              </w:rPr>
            </w:pPr>
            <w:r>
              <w:rPr>
                <w:rFonts w:eastAsia="Times New Roman"/>
              </w:rPr>
              <w:t>unpasteurised cheese, unpasteurised milk</w:t>
            </w:r>
          </w:p>
        </w:tc>
      </w:tr>
      <w:tr w:rsidR="0089127B" w14:paraId="23F651D9" w14:textId="77777777" w:rsidTr="001D1E8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vMerge/>
            <w:shd w:val="clear" w:color="auto" w:fill="808080" w:themeFill="background1" w:themeFillShade="80"/>
            <w:hideMark/>
          </w:tcPr>
          <w:p w14:paraId="3C0B1BE6" w14:textId="77777777" w:rsidR="0089127B" w:rsidRDefault="0089127B">
            <w:pPr>
              <w:rPr>
                <w:rFonts w:eastAsia="Times New Roman"/>
                <w:sz w:val="24"/>
                <w:szCs w:val="24"/>
              </w:rPr>
            </w:pPr>
          </w:p>
        </w:tc>
        <w:tc>
          <w:tcPr>
            <w:tcW w:w="0" w:type="auto"/>
            <w:hideMark/>
          </w:tcPr>
          <w:p w14:paraId="113A1BD4" w14:textId="77777777" w:rsidR="0089127B" w:rsidRDefault="0089127B">
            <w:pPr>
              <w:rPr>
                <w:rFonts w:eastAsia="Times New Roman"/>
                <w:sz w:val="24"/>
                <w:szCs w:val="24"/>
              </w:rPr>
            </w:pPr>
            <w:r>
              <w:rPr>
                <w:rFonts w:eastAsia="Times New Roman"/>
              </w:rPr>
              <w:t>cold cooked chicken</w:t>
            </w:r>
          </w:p>
        </w:tc>
        <w:tc>
          <w:tcPr>
            <w:tcW w:w="0" w:type="auto"/>
            <w:hideMark/>
          </w:tcPr>
          <w:p w14:paraId="7D4A3C40" w14:textId="77777777" w:rsidR="0089127B" w:rsidRDefault="0089127B">
            <w:pPr>
              <w:rPr>
                <w:rFonts w:eastAsia="Times New Roman"/>
                <w:sz w:val="24"/>
                <w:szCs w:val="24"/>
              </w:rPr>
            </w:pPr>
            <w:r>
              <w:rPr>
                <w:rFonts w:eastAsia="Times New Roman"/>
              </w:rPr>
              <w:t>cold cooked chicken</w:t>
            </w:r>
          </w:p>
        </w:tc>
      </w:tr>
      <w:tr w:rsidR="0089127B" w14:paraId="115978B1" w14:textId="77777777" w:rsidTr="001D1E83">
        <w:tblPrEx>
          <w:tblCellMar>
            <w:top w:w="0" w:type="dxa"/>
            <w:left w:w="108" w:type="dxa"/>
            <w:bottom w:w="0" w:type="dxa"/>
            <w:right w:w="108" w:type="dxa"/>
          </w:tblCellMar>
        </w:tblPrEx>
        <w:trPr>
          <w:divId w:val="1287590030"/>
        </w:trPr>
        <w:tc>
          <w:tcPr>
            <w:tcW w:w="0" w:type="auto"/>
            <w:vMerge/>
            <w:shd w:val="clear" w:color="auto" w:fill="808080" w:themeFill="background1" w:themeFillShade="80"/>
            <w:hideMark/>
          </w:tcPr>
          <w:p w14:paraId="3BAEA934" w14:textId="77777777" w:rsidR="0089127B" w:rsidRDefault="0089127B">
            <w:pPr>
              <w:rPr>
                <w:rFonts w:eastAsia="Times New Roman"/>
                <w:sz w:val="24"/>
                <w:szCs w:val="24"/>
              </w:rPr>
            </w:pPr>
          </w:p>
        </w:tc>
        <w:tc>
          <w:tcPr>
            <w:tcW w:w="0" w:type="auto"/>
            <w:hideMark/>
          </w:tcPr>
          <w:p w14:paraId="369E12A6" w14:textId="77777777" w:rsidR="0089127B" w:rsidRDefault="0089127B">
            <w:pPr>
              <w:rPr>
                <w:rFonts w:eastAsia="Times New Roman"/>
                <w:sz w:val="24"/>
                <w:szCs w:val="24"/>
              </w:rPr>
            </w:pPr>
            <w:r>
              <w:rPr>
                <w:rFonts w:eastAsia="Times New Roman"/>
              </w:rPr>
              <w:t>deli bought meat</w:t>
            </w:r>
          </w:p>
        </w:tc>
        <w:tc>
          <w:tcPr>
            <w:tcW w:w="0" w:type="auto"/>
            <w:hideMark/>
          </w:tcPr>
          <w:p w14:paraId="693E2D37" w14:textId="77777777" w:rsidR="0089127B" w:rsidRDefault="0089127B">
            <w:pPr>
              <w:rPr>
                <w:rFonts w:eastAsia="Times New Roman"/>
                <w:sz w:val="24"/>
                <w:szCs w:val="24"/>
              </w:rPr>
            </w:pPr>
            <w:r>
              <w:rPr>
                <w:rFonts w:eastAsia="Times New Roman"/>
              </w:rPr>
              <w:t xml:space="preserve">BBQ chicken, luncheon/sandwich meat, ham, salami, chicken/turkey slices, silverside, liverwurst, </w:t>
            </w:r>
            <w:proofErr w:type="spellStart"/>
            <w:r>
              <w:rPr>
                <w:rFonts w:eastAsia="Times New Roman"/>
              </w:rPr>
              <w:t>frankfurts</w:t>
            </w:r>
            <w:proofErr w:type="spellEnd"/>
          </w:p>
        </w:tc>
      </w:tr>
      <w:tr w:rsidR="0089127B" w14:paraId="31F63DF7" w14:textId="77777777" w:rsidTr="001D1E8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vMerge/>
            <w:shd w:val="clear" w:color="auto" w:fill="808080" w:themeFill="background1" w:themeFillShade="80"/>
            <w:hideMark/>
          </w:tcPr>
          <w:p w14:paraId="3077CC62" w14:textId="77777777" w:rsidR="0089127B" w:rsidRDefault="0089127B">
            <w:pPr>
              <w:rPr>
                <w:rFonts w:eastAsia="Times New Roman"/>
                <w:sz w:val="24"/>
                <w:szCs w:val="24"/>
              </w:rPr>
            </w:pPr>
          </w:p>
        </w:tc>
        <w:tc>
          <w:tcPr>
            <w:tcW w:w="0" w:type="auto"/>
            <w:hideMark/>
          </w:tcPr>
          <w:p w14:paraId="7EE89A46" w14:textId="77777777" w:rsidR="0089127B" w:rsidRDefault="0089127B">
            <w:pPr>
              <w:rPr>
                <w:rFonts w:eastAsia="Times New Roman"/>
                <w:sz w:val="24"/>
                <w:szCs w:val="24"/>
              </w:rPr>
            </w:pPr>
            <w:r>
              <w:rPr>
                <w:rFonts w:eastAsia="Times New Roman"/>
              </w:rPr>
              <w:t>pate</w:t>
            </w:r>
          </w:p>
        </w:tc>
        <w:tc>
          <w:tcPr>
            <w:tcW w:w="0" w:type="auto"/>
            <w:hideMark/>
          </w:tcPr>
          <w:p w14:paraId="3C7364FE" w14:textId="77777777" w:rsidR="0089127B" w:rsidRDefault="0089127B">
            <w:pPr>
              <w:rPr>
                <w:rFonts w:eastAsia="Times New Roman"/>
                <w:sz w:val="24"/>
                <w:szCs w:val="24"/>
              </w:rPr>
            </w:pPr>
            <w:r>
              <w:rPr>
                <w:rFonts w:eastAsia="Times New Roman"/>
              </w:rPr>
              <w:t>pate</w:t>
            </w:r>
          </w:p>
        </w:tc>
      </w:tr>
      <w:tr w:rsidR="0089127B" w14:paraId="7A3900A2" w14:textId="77777777" w:rsidTr="001D1E83">
        <w:tblPrEx>
          <w:tblCellMar>
            <w:top w:w="0" w:type="dxa"/>
            <w:left w:w="108" w:type="dxa"/>
            <w:bottom w:w="0" w:type="dxa"/>
            <w:right w:w="108" w:type="dxa"/>
          </w:tblCellMar>
        </w:tblPrEx>
        <w:trPr>
          <w:divId w:val="1287590030"/>
        </w:trPr>
        <w:tc>
          <w:tcPr>
            <w:tcW w:w="0" w:type="auto"/>
            <w:vMerge/>
            <w:shd w:val="clear" w:color="auto" w:fill="808080" w:themeFill="background1" w:themeFillShade="80"/>
            <w:hideMark/>
          </w:tcPr>
          <w:p w14:paraId="4EB3F077" w14:textId="77777777" w:rsidR="0089127B" w:rsidRDefault="0089127B">
            <w:pPr>
              <w:rPr>
                <w:rFonts w:eastAsia="Times New Roman"/>
                <w:sz w:val="24"/>
                <w:szCs w:val="24"/>
              </w:rPr>
            </w:pPr>
          </w:p>
        </w:tc>
        <w:tc>
          <w:tcPr>
            <w:tcW w:w="0" w:type="auto"/>
            <w:hideMark/>
          </w:tcPr>
          <w:p w14:paraId="681CE6DC" w14:textId="77777777" w:rsidR="0089127B" w:rsidRDefault="0089127B">
            <w:pPr>
              <w:rPr>
                <w:rFonts w:eastAsia="Times New Roman"/>
                <w:sz w:val="24"/>
                <w:szCs w:val="24"/>
              </w:rPr>
            </w:pPr>
            <w:r>
              <w:rPr>
                <w:rFonts w:eastAsia="Times New Roman"/>
              </w:rPr>
              <w:t>pre-prepared salad</w:t>
            </w:r>
          </w:p>
        </w:tc>
        <w:tc>
          <w:tcPr>
            <w:tcW w:w="0" w:type="auto"/>
            <w:hideMark/>
          </w:tcPr>
          <w:p w14:paraId="37D179C3" w14:textId="77777777" w:rsidR="0089127B" w:rsidRDefault="0089127B">
            <w:pPr>
              <w:rPr>
                <w:rFonts w:eastAsia="Times New Roman"/>
                <w:sz w:val="24"/>
                <w:szCs w:val="24"/>
              </w:rPr>
            </w:pPr>
            <w:r>
              <w:rPr>
                <w:rFonts w:eastAsia="Times New Roman"/>
              </w:rPr>
              <w:t>pre-prepared potato salad, pre-prepared coleslaw, pre-prepared pasta salad</w:t>
            </w:r>
          </w:p>
        </w:tc>
      </w:tr>
      <w:tr w:rsidR="0089127B" w14:paraId="08AE60F1" w14:textId="77777777" w:rsidTr="001D1E8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vMerge/>
            <w:shd w:val="clear" w:color="auto" w:fill="808080" w:themeFill="background1" w:themeFillShade="80"/>
            <w:hideMark/>
          </w:tcPr>
          <w:p w14:paraId="77DA3C09" w14:textId="77777777" w:rsidR="0089127B" w:rsidRDefault="0089127B">
            <w:pPr>
              <w:rPr>
                <w:rFonts w:eastAsia="Times New Roman"/>
                <w:sz w:val="24"/>
                <w:szCs w:val="24"/>
              </w:rPr>
            </w:pPr>
          </w:p>
        </w:tc>
        <w:tc>
          <w:tcPr>
            <w:tcW w:w="0" w:type="auto"/>
            <w:hideMark/>
          </w:tcPr>
          <w:p w14:paraId="0A3E28C6" w14:textId="77777777" w:rsidR="0089127B" w:rsidRDefault="0089127B">
            <w:pPr>
              <w:rPr>
                <w:rFonts w:eastAsia="Times New Roman"/>
                <w:sz w:val="24"/>
                <w:szCs w:val="24"/>
              </w:rPr>
            </w:pPr>
            <w:r>
              <w:rPr>
                <w:rFonts w:eastAsia="Times New Roman"/>
              </w:rPr>
              <w:t>cold/uncooked seafood</w:t>
            </w:r>
          </w:p>
        </w:tc>
        <w:tc>
          <w:tcPr>
            <w:tcW w:w="0" w:type="auto"/>
            <w:hideMark/>
          </w:tcPr>
          <w:p w14:paraId="0DAEDF04" w14:textId="77777777" w:rsidR="0089127B" w:rsidRDefault="0089127B">
            <w:pPr>
              <w:rPr>
                <w:rFonts w:eastAsia="Times New Roman"/>
                <w:sz w:val="24"/>
                <w:szCs w:val="24"/>
              </w:rPr>
            </w:pPr>
            <w:r>
              <w:rPr>
                <w:rFonts w:eastAsia="Times New Roman"/>
              </w:rPr>
              <w:t>mussels, crab, prawns purchased cooked, prawns purchased cold, oysters, smoked salmon, other smoked fish/salmon, sushi/sashimi, other seafood</w:t>
            </w:r>
          </w:p>
        </w:tc>
      </w:tr>
      <w:tr w:rsidR="0089127B" w14:paraId="7E2B4AC3" w14:textId="77777777" w:rsidTr="001D1E83">
        <w:tblPrEx>
          <w:tblCellMar>
            <w:top w:w="0" w:type="dxa"/>
            <w:left w:w="108" w:type="dxa"/>
            <w:bottom w:w="0" w:type="dxa"/>
            <w:right w:w="108" w:type="dxa"/>
          </w:tblCellMar>
        </w:tblPrEx>
        <w:trPr>
          <w:divId w:val="1287590030"/>
        </w:trPr>
        <w:tc>
          <w:tcPr>
            <w:tcW w:w="0" w:type="auto"/>
            <w:vMerge/>
            <w:shd w:val="clear" w:color="auto" w:fill="808080" w:themeFill="background1" w:themeFillShade="80"/>
            <w:hideMark/>
          </w:tcPr>
          <w:p w14:paraId="24C9B1C7" w14:textId="77777777" w:rsidR="0089127B" w:rsidRDefault="0089127B">
            <w:pPr>
              <w:rPr>
                <w:rFonts w:eastAsia="Times New Roman"/>
                <w:sz w:val="24"/>
                <w:szCs w:val="24"/>
              </w:rPr>
            </w:pPr>
          </w:p>
        </w:tc>
        <w:tc>
          <w:tcPr>
            <w:tcW w:w="0" w:type="auto"/>
            <w:hideMark/>
          </w:tcPr>
          <w:p w14:paraId="68B5E9EB" w14:textId="77777777" w:rsidR="0089127B" w:rsidRDefault="0089127B">
            <w:pPr>
              <w:rPr>
                <w:rFonts w:eastAsia="Times New Roman"/>
                <w:sz w:val="24"/>
                <w:szCs w:val="24"/>
              </w:rPr>
            </w:pPr>
            <w:r>
              <w:rPr>
                <w:rFonts w:eastAsia="Times New Roman"/>
              </w:rPr>
              <w:t>sandwich fillings</w:t>
            </w:r>
          </w:p>
        </w:tc>
        <w:tc>
          <w:tcPr>
            <w:tcW w:w="0" w:type="auto"/>
            <w:hideMark/>
          </w:tcPr>
          <w:p w14:paraId="25DBD947" w14:textId="77777777" w:rsidR="0089127B" w:rsidRDefault="0089127B">
            <w:pPr>
              <w:rPr>
                <w:rFonts w:eastAsia="Times New Roman"/>
                <w:sz w:val="24"/>
                <w:szCs w:val="24"/>
              </w:rPr>
            </w:pPr>
            <w:r>
              <w:rPr>
                <w:rFonts w:eastAsia="Times New Roman"/>
              </w:rPr>
              <w:t>sandwiches/burgers/rolls containing ham, beef, bacon/lettuce/tomato, chicken, turkey, other meat, salad, cheese</w:t>
            </w:r>
          </w:p>
        </w:tc>
      </w:tr>
      <w:tr w:rsidR="0089127B" w14:paraId="77D6999F" w14:textId="77777777" w:rsidTr="000F5BB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gridSpan w:val="3"/>
            <w:shd w:val="clear" w:color="auto" w:fill="auto"/>
            <w:hideMark/>
          </w:tcPr>
          <w:p w14:paraId="5DE0101A" w14:textId="77777777" w:rsidR="0089127B" w:rsidRDefault="0089127B" w:rsidP="00F830CB">
            <w:pPr>
              <w:pStyle w:val="CDIfootnotes"/>
              <w:rPr>
                <w:rFonts w:eastAsia="Times New Roman"/>
                <w:sz w:val="24"/>
                <w:szCs w:val="24"/>
              </w:rPr>
            </w:pPr>
            <w:r>
              <w:rPr>
                <w:rFonts w:eastAsia="Times New Roman"/>
              </w:rPr>
              <w:t xml:space="preserve">* </w:t>
            </w:r>
            <w:proofErr w:type="spellStart"/>
            <w:r>
              <w:rPr>
                <w:rFonts w:eastAsia="Times New Roman"/>
              </w:rPr>
              <w:t>OzFoodNet</w:t>
            </w:r>
            <w:proofErr w:type="spellEnd"/>
            <w:r>
              <w:rPr>
                <w:rFonts w:eastAsia="Times New Roman"/>
              </w:rPr>
              <w:t xml:space="preserve"> Listeria Case Questionnaire response categories</w:t>
            </w:r>
          </w:p>
        </w:tc>
      </w:tr>
    </w:tbl>
    <w:p w14:paraId="7ED06357" w14:textId="77777777" w:rsidR="0089127B" w:rsidRPr="00CB6B6F" w:rsidRDefault="0089127B" w:rsidP="00CB6B6F">
      <w:pPr>
        <w:pStyle w:val="Heading2"/>
        <w:divId w:val="1287590030"/>
      </w:pPr>
      <w:r w:rsidRPr="00CB6B6F">
        <w:rPr>
          <w:rStyle w:val="Strong"/>
          <w:b/>
          <w:bCs/>
        </w:rPr>
        <w:t xml:space="preserve">Descriptive analysis </w:t>
      </w:r>
    </w:p>
    <w:p w14:paraId="1B80071B" w14:textId="77777777" w:rsidR="0089127B" w:rsidRDefault="0089127B">
      <w:pPr>
        <w:pStyle w:val="NormalWeb"/>
        <w:divId w:val="1287590030"/>
      </w:pPr>
      <w:r>
        <w:t>Descriptive analyses of notification data were undertaken using SAS</w:t>
      </w:r>
      <w:r>
        <w:rPr>
          <w:vertAlign w:val="superscript"/>
        </w:rPr>
        <w:t>®</w:t>
      </w:r>
      <w:r>
        <w:t xml:space="preserve"> Enterprise Guide</w:t>
      </w:r>
      <w:r>
        <w:rPr>
          <w:vertAlign w:val="superscript"/>
        </w:rPr>
        <w:t>®</w:t>
      </w:r>
      <w:r>
        <w:t xml:space="preserve"> (version 4.3, SAS Institute, Cary, NC, USA) and EXCEL (Microsoft, version 2010).</w:t>
      </w:r>
    </w:p>
    <w:p w14:paraId="199D4C16" w14:textId="77777777" w:rsidR="0089127B" w:rsidRPr="00CB6B6F" w:rsidRDefault="0089127B" w:rsidP="00CB6B6F">
      <w:pPr>
        <w:pStyle w:val="Heading1"/>
        <w:divId w:val="1287590030"/>
      </w:pPr>
      <w:r w:rsidRPr="00CB6B6F">
        <w:rPr>
          <w:rStyle w:val="Strong"/>
          <w:b/>
          <w:bCs/>
        </w:rPr>
        <w:t xml:space="preserve">Results </w:t>
      </w:r>
    </w:p>
    <w:p w14:paraId="427CA116" w14:textId="77777777" w:rsidR="00CB6B6F" w:rsidRDefault="0089127B">
      <w:pPr>
        <w:pStyle w:val="NormalWeb"/>
        <w:divId w:val="1287590030"/>
      </w:pPr>
      <w:r>
        <w:t>Between 2010 and 2015, there were 158 listeriosis notifications in NSW with an average of 26.3 notifications a year. Notifications were notably higher in 2012 and 2013, with 32 and 30 notifications, respectively (Figure). There was equal distribution between males and females (79 females, 79 males) with a high proportion of notifications over 65 years, representing 71.5% (n=113) of all notifications. A total of 4.4% (n=7) of notifications were among pregnant women, while 79.1% (n=125) and 64.6% (n=102) were among persons with a condition or on treatment, respectively, known to suppress the immune response or increase the risk of infection (Table 2).</w:t>
      </w:r>
    </w:p>
    <w:p w14:paraId="423CB291" w14:textId="77777777" w:rsidR="00CB6B6F" w:rsidRDefault="00CB6B6F">
      <w:r>
        <w:br w:type="page"/>
      </w:r>
    </w:p>
    <w:p w14:paraId="2D9B3BE5" w14:textId="77777777" w:rsidR="0089127B" w:rsidRPr="009937C4" w:rsidRDefault="0089127B" w:rsidP="009937C4">
      <w:pPr>
        <w:pStyle w:val="CDIFigures"/>
        <w:divId w:val="1287590030"/>
      </w:pPr>
      <w:r w:rsidRPr="009937C4">
        <w:rPr>
          <w:rStyle w:val="Strong"/>
          <w:b/>
          <w:bCs w:val="0"/>
        </w:rPr>
        <w:lastRenderedPageBreak/>
        <w:t xml:space="preserve">Table 2. Characteristics of listeriosis notifications in NSW between 1 January 2010 to 31 December 2015 </w:t>
      </w:r>
    </w:p>
    <w:tbl>
      <w:tblPr>
        <w:tblStyle w:val="CDI-StandardTable"/>
        <w:tblW w:w="0" w:type="auto"/>
        <w:tblLook w:val="04A0" w:firstRow="1" w:lastRow="0" w:firstColumn="1" w:lastColumn="0" w:noHBand="0" w:noVBand="1"/>
        <w:tblCaption w:val="Table 2. Characteristics of listeriosis notifications in NSW between 1 January 2010 to 31 December 2015 "/>
        <w:tblDescription w:val="Table 2 presents data on the characteristics of listeriosis notifications in NSW between 1 January 2010 to 31 December 2015. Data is presented according to year of notification, sex, age group, pregnancy status, co-existing conditions and medications and treatment. "/>
      </w:tblPr>
      <w:tblGrid>
        <w:gridCol w:w="8663"/>
        <w:gridCol w:w="2043"/>
      </w:tblGrid>
      <w:tr w:rsidR="0089127B" w14:paraId="46699D15" w14:textId="77777777" w:rsidTr="001B7CC9">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hideMark/>
          </w:tcPr>
          <w:p w14:paraId="37558427" w14:textId="77777777" w:rsidR="0089127B" w:rsidRPr="001B7CC9" w:rsidRDefault="0089127B">
            <w:pPr>
              <w:rPr>
                <w:rFonts w:eastAsia="Times New Roman"/>
                <w:color w:val="FFFFFF" w:themeColor="background1"/>
                <w:sz w:val="24"/>
                <w:szCs w:val="24"/>
              </w:rPr>
            </w:pPr>
            <w:r w:rsidRPr="001B7CC9">
              <w:rPr>
                <w:rFonts w:eastAsia="Times New Roman"/>
                <w:color w:val="FFFFFF" w:themeColor="background1"/>
              </w:rPr>
              <w:t>Year of notification</w:t>
            </w:r>
          </w:p>
        </w:tc>
        <w:tc>
          <w:tcPr>
            <w:tcW w:w="0" w:type="auto"/>
            <w:hideMark/>
          </w:tcPr>
          <w:p w14:paraId="66BB9C57" w14:textId="77777777" w:rsidR="0089127B" w:rsidRPr="001B7CC9" w:rsidRDefault="0089127B">
            <w:pPr>
              <w:rPr>
                <w:rFonts w:eastAsia="Times New Roman"/>
                <w:color w:val="FFFFFF" w:themeColor="background1"/>
                <w:sz w:val="24"/>
                <w:szCs w:val="24"/>
              </w:rPr>
            </w:pPr>
            <w:r w:rsidRPr="001B7CC9">
              <w:rPr>
                <w:rFonts w:eastAsia="Times New Roman"/>
                <w:color w:val="FFFFFF" w:themeColor="background1"/>
              </w:rPr>
              <w:t>No. (%) notifications</w:t>
            </w:r>
          </w:p>
        </w:tc>
      </w:tr>
      <w:tr w:rsidR="0089127B" w14:paraId="19851DBC" w14:textId="77777777" w:rsidTr="001B7CC9">
        <w:tblPrEx>
          <w:tblCellMar>
            <w:top w:w="0" w:type="dxa"/>
            <w:left w:w="108" w:type="dxa"/>
            <w:bottom w:w="0" w:type="dxa"/>
            <w:right w:w="108" w:type="dxa"/>
          </w:tblCellMar>
        </w:tblPrEx>
        <w:trPr>
          <w:divId w:val="1287590030"/>
        </w:trPr>
        <w:tc>
          <w:tcPr>
            <w:tcW w:w="0" w:type="auto"/>
            <w:hideMark/>
          </w:tcPr>
          <w:p w14:paraId="5CBC028C" w14:textId="77777777" w:rsidR="0089127B" w:rsidRDefault="0089127B">
            <w:pPr>
              <w:rPr>
                <w:rFonts w:eastAsia="Times New Roman"/>
                <w:sz w:val="24"/>
                <w:szCs w:val="24"/>
              </w:rPr>
            </w:pPr>
            <w:r>
              <w:rPr>
                <w:rFonts w:eastAsia="Times New Roman"/>
              </w:rPr>
              <w:t>2010</w:t>
            </w:r>
          </w:p>
        </w:tc>
        <w:tc>
          <w:tcPr>
            <w:tcW w:w="0" w:type="auto"/>
            <w:hideMark/>
          </w:tcPr>
          <w:p w14:paraId="33BA9F7C" w14:textId="77777777" w:rsidR="0089127B" w:rsidRDefault="0089127B">
            <w:pPr>
              <w:rPr>
                <w:rFonts w:eastAsia="Times New Roman"/>
                <w:sz w:val="24"/>
                <w:szCs w:val="24"/>
              </w:rPr>
            </w:pPr>
            <w:r>
              <w:rPr>
                <w:rFonts w:eastAsia="Times New Roman"/>
              </w:rPr>
              <w:t>26 (16.5%)</w:t>
            </w:r>
          </w:p>
        </w:tc>
      </w:tr>
      <w:tr w:rsidR="0089127B" w14:paraId="2FA9467E"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22D265ED" w14:textId="77777777" w:rsidR="0089127B" w:rsidRDefault="0089127B">
            <w:pPr>
              <w:rPr>
                <w:rFonts w:eastAsia="Times New Roman"/>
                <w:sz w:val="24"/>
                <w:szCs w:val="24"/>
              </w:rPr>
            </w:pPr>
            <w:r>
              <w:rPr>
                <w:rFonts w:eastAsia="Times New Roman"/>
              </w:rPr>
              <w:t>2011</w:t>
            </w:r>
          </w:p>
        </w:tc>
        <w:tc>
          <w:tcPr>
            <w:tcW w:w="0" w:type="auto"/>
            <w:hideMark/>
          </w:tcPr>
          <w:p w14:paraId="7C9D0A83" w14:textId="77777777" w:rsidR="0089127B" w:rsidRDefault="0089127B">
            <w:pPr>
              <w:rPr>
                <w:rFonts w:eastAsia="Times New Roman"/>
                <w:sz w:val="24"/>
                <w:szCs w:val="24"/>
              </w:rPr>
            </w:pPr>
            <w:r>
              <w:rPr>
                <w:rFonts w:eastAsia="Times New Roman"/>
              </w:rPr>
              <w:t>20 (12.7%)</w:t>
            </w:r>
          </w:p>
        </w:tc>
      </w:tr>
      <w:tr w:rsidR="0089127B" w14:paraId="4AC4D7C1" w14:textId="77777777" w:rsidTr="001B7CC9">
        <w:tblPrEx>
          <w:tblCellMar>
            <w:top w:w="0" w:type="dxa"/>
            <w:left w:w="108" w:type="dxa"/>
            <w:bottom w:w="0" w:type="dxa"/>
            <w:right w:w="108" w:type="dxa"/>
          </w:tblCellMar>
        </w:tblPrEx>
        <w:trPr>
          <w:divId w:val="1287590030"/>
        </w:trPr>
        <w:tc>
          <w:tcPr>
            <w:tcW w:w="0" w:type="auto"/>
            <w:hideMark/>
          </w:tcPr>
          <w:p w14:paraId="0C020FD7" w14:textId="77777777" w:rsidR="0089127B" w:rsidRDefault="0089127B">
            <w:pPr>
              <w:rPr>
                <w:rFonts w:eastAsia="Times New Roman"/>
                <w:sz w:val="24"/>
                <w:szCs w:val="24"/>
              </w:rPr>
            </w:pPr>
            <w:r>
              <w:rPr>
                <w:rFonts w:eastAsia="Times New Roman"/>
              </w:rPr>
              <w:t>2012</w:t>
            </w:r>
          </w:p>
        </w:tc>
        <w:tc>
          <w:tcPr>
            <w:tcW w:w="0" w:type="auto"/>
            <w:hideMark/>
          </w:tcPr>
          <w:p w14:paraId="46266A32" w14:textId="77777777" w:rsidR="0089127B" w:rsidRDefault="0089127B">
            <w:pPr>
              <w:rPr>
                <w:rFonts w:eastAsia="Times New Roman"/>
                <w:sz w:val="24"/>
                <w:szCs w:val="24"/>
              </w:rPr>
            </w:pPr>
            <w:r>
              <w:rPr>
                <w:rFonts w:eastAsia="Times New Roman"/>
              </w:rPr>
              <w:t>32 (20.3%)</w:t>
            </w:r>
          </w:p>
        </w:tc>
      </w:tr>
      <w:tr w:rsidR="0089127B" w14:paraId="6E37DF9C"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7C95EDE9" w14:textId="77777777" w:rsidR="0089127B" w:rsidRDefault="0089127B">
            <w:pPr>
              <w:rPr>
                <w:rFonts w:eastAsia="Times New Roman"/>
                <w:sz w:val="24"/>
                <w:szCs w:val="24"/>
              </w:rPr>
            </w:pPr>
            <w:r>
              <w:rPr>
                <w:rFonts w:eastAsia="Times New Roman"/>
              </w:rPr>
              <w:t>2013</w:t>
            </w:r>
          </w:p>
        </w:tc>
        <w:tc>
          <w:tcPr>
            <w:tcW w:w="0" w:type="auto"/>
            <w:hideMark/>
          </w:tcPr>
          <w:p w14:paraId="1ED50BF1" w14:textId="77777777" w:rsidR="0089127B" w:rsidRDefault="0089127B">
            <w:pPr>
              <w:rPr>
                <w:rFonts w:eastAsia="Times New Roman"/>
                <w:sz w:val="24"/>
                <w:szCs w:val="24"/>
              </w:rPr>
            </w:pPr>
            <w:r>
              <w:rPr>
                <w:rFonts w:eastAsia="Times New Roman"/>
              </w:rPr>
              <w:t>30 (19.0%)</w:t>
            </w:r>
          </w:p>
        </w:tc>
      </w:tr>
      <w:tr w:rsidR="0089127B" w14:paraId="0F95ADBB" w14:textId="77777777" w:rsidTr="001B7CC9">
        <w:tblPrEx>
          <w:tblCellMar>
            <w:top w:w="0" w:type="dxa"/>
            <w:left w:w="108" w:type="dxa"/>
            <w:bottom w:w="0" w:type="dxa"/>
            <w:right w:w="108" w:type="dxa"/>
          </w:tblCellMar>
        </w:tblPrEx>
        <w:trPr>
          <w:divId w:val="1287590030"/>
        </w:trPr>
        <w:tc>
          <w:tcPr>
            <w:tcW w:w="0" w:type="auto"/>
            <w:hideMark/>
          </w:tcPr>
          <w:p w14:paraId="708A5350" w14:textId="77777777" w:rsidR="0089127B" w:rsidRDefault="0089127B">
            <w:pPr>
              <w:rPr>
                <w:rFonts w:eastAsia="Times New Roman"/>
                <w:sz w:val="24"/>
                <w:szCs w:val="24"/>
              </w:rPr>
            </w:pPr>
            <w:r>
              <w:rPr>
                <w:rFonts w:eastAsia="Times New Roman"/>
              </w:rPr>
              <w:t>2014</w:t>
            </w:r>
          </w:p>
        </w:tc>
        <w:tc>
          <w:tcPr>
            <w:tcW w:w="0" w:type="auto"/>
            <w:hideMark/>
          </w:tcPr>
          <w:p w14:paraId="05AB16C8" w14:textId="77777777" w:rsidR="0089127B" w:rsidRDefault="0089127B">
            <w:pPr>
              <w:rPr>
                <w:rFonts w:eastAsia="Times New Roman"/>
                <w:sz w:val="24"/>
                <w:szCs w:val="24"/>
              </w:rPr>
            </w:pPr>
            <w:r>
              <w:rPr>
                <w:rFonts w:eastAsia="Times New Roman"/>
              </w:rPr>
              <w:t>23 (14.6%)</w:t>
            </w:r>
          </w:p>
        </w:tc>
      </w:tr>
      <w:tr w:rsidR="0089127B" w14:paraId="01592813"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7C36A5D0" w14:textId="77777777" w:rsidR="0089127B" w:rsidRDefault="0089127B">
            <w:pPr>
              <w:rPr>
                <w:rFonts w:eastAsia="Times New Roman"/>
                <w:sz w:val="24"/>
                <w:szCs w:val="24"/>
              </w:rPr>
            </w:pPr>
            <w:r>
              <w:rPr>
                <w:rFonts w:eastAsia="Times New Roman"/>
              </w:rPr>
              <w:t>2015</w:t>
            </w:r>
          </w:p>
        </w:tc>
        <w:tc>
          <w:tcPr>
            <w:tcW w:w="0" w:type="auto"/>
            <w:hideMark/>
          </w:tcPr>
          <w:p w14:paraId="57841652" w14:textId="77777777" w:rsidR="0089127B" w:rsidRDefault="0089127B">
            <w:pPr>
              <w:rPr>
                <w:rFonts w:eastAsia="Times New Roman"/>
                <w:sz w:val="24"/>
                <w:szCs w:val="24"/>
              </w:rPr>
            </w:pPr>
            <w:r>
              <w:rPr>
                <w:rFonts w:eastAsia="Times New Roman"/>
              </w:rPr>
              <w:t>27 (17.1%)</w:t>
            </w:r>
          </w:p>
        </w:tc>
      </w:tr>
      <w:tr w:rsidR="0089127B" w14:paraId="5E86A8A5" w14:textId="77777777" w:rsidTr="00871DB1">
        <w:tblPrEx>
          <w:tblCellMar>
            <w:top w:w="0" w:type="dxa"/>
            <w:left w:w="108" w:type="dxa"/>
            <w:bottom w:w="0" w:type="dxa"/>
            <w:right w:w="108" w:type="dxa"/>
          </w:tblCellMar>
        </w:tblPrEx>
        <w:trPr>
          <w:divId w:val="1287590030"/>
        </w:trPr>
        <w:tc>
          <w:tcPr>
            <w:tcW w:w="0" w:type="auto"/>
            <w:shd w:val="clear" w:color="auto" w:fill="FFFFCC"/>
            <w:hideMark/>
          </w:tcPr>
          <w:p w14:paraId="5463240A" w14:textId="77777777" w:rsidR="0089127B" w:rsidRDefault="0089127B">
            <w:pPr>
              <w:rPr>
                <w:rFonts w:eastAsia="Times New Roman"/>
                <w:sz w:val="24"/>
                <w:szCs w:val="24"/>
              </w:rPr>
            </w:pPr>
            <w:r>
              <w:rPr>
                <w:rFonts w:eastAsia="Times New Roman"/>
              </w:rPr>
              <w:t>Total</w:t>
            </w:r>
          </w:p>
        </w:tc>
        <w:tc>
          <w:tcPr>
            <w:tcW w:w="0" w:type="auto"/>
            <w:shd w:val="clear" w:color="auto" w:fill="FFFFCC"/>
            <w:hideMark/>
          </w:tcPr>
          <w:p w14:paraId="7A6A63E1" w14:textId="77777777" w:rsidR="0089127B" w:rsidRDefault="0089127B">
            <w:pPr>
              <w:rPr>
                <w:rFonts w:eastAsia="Times New Roman"/>
                <w:sz w:val="24"/>
                <w:szCs w:val="24"/>
              </w:rPr>
            </w:pPr>
            <w:r>
              <w:rPr>
                <w:rFonts w:eastAsia="Times New Roman"/>
              </w:rPr>
              <w:t>158 (100.0%)</w:t>
            </w:r>
          </w:p>
        </w:tc>
      </w:tr>
      <w:tr w:rsidR="0089127B" w14:paraId="3D5A0751" w14:textId="77777777" w:rsidTr="00871DB1">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shd w:val="clear" w:color="auto" w:fill="808080" w:themeFill="background1" w:themeFillShade="80"/>
            <w:hideMark/>
          </w:tcPr>
          <w:p w14:paraId="6F00B029" w14:textId="77777777" w:rsidR="0089127B" w:rsidRPr="00871DB1" w:rsidRDefault="0089127B">
            <w:pPr>
              <w:rPr>
                <w:rFonts w:eastAsia="Times New Roman"/>
                <w:b/>
                <w:sz w:val="24"/>
                <w:szCs w:val="24"/>
              </w:rPr>
            </w:pPr>
            <w:r w:rsidRPr="00871DB1">
              <w:rPr>
                <w:rFonts w:eastAsia="Times New Roman"/>
                <w:b/>
                <w:color w:val="FFFFFF" w:themeColor="background1"/>
              </w:rPr>
              <w:t>Sex</w:t>
            </w:r>
          </w:p>
        </w:tc>
        <w:tc>
          <w:tcPr>
            <w:tcW w:w="0" w:type="auto"/>
            <w:shd w:val="clear" w:color="auto" w:fill="808080" w:themeFill="background1" w:themeFillShade="80"/>
            <w:hideMark/>
          </w:tcPr>
          <w:p w14:paraId="0872F628" w14:textId="77777777" w:rsidR="0089127B" w:rsidRDefault="0089127B">
            <w:pPr>
              <w:rPr>
                <w:rFonts w:eastAsia="Times New Roman"/>
                <w:sz w:val="24"/>
                <w:szCs w:val="24"/>
              </w:rPr>
            </w:pPr>
            <w:r>
              <w:rPr>
                <w:rFonts w:eastAsia="Times New Roman"/>
              </w:rPr>
              <w:t> </w:t>
            </w:r>
          </w:p>
        </w:tc>
      </w:tr>
      <w:tr w:rsidR="0089127B" w14:paraId="3082C41F" w14:textId="77777777" w:rsidTr="001B7CC9">
        <w:tblPrEx>
          <w:tblCellMar>
            <w:top w:w="0" w:type="dxa"/>
            <w:left w:w="108" w:type="dxa"/>
            <w:bottom w:w="0" w:type="dxa"/>
            <w:right w:w="108" w:type="dxa"/>
          </w:tblCellMar>
        </w:tblPrEx>
        <w:trPr>
          <w:divId w:val="1287590030"/>
        </w:trPr>
        <w:tc>
          <w:tcPr>
            <w:tcW w:w="0" w:type="auto"/>
            <w:hideMark/>
          </w:tcPr>
          <w:p w14:paraId="41D77D67" w14:textId="77777777" w:rsidR="0089127B" w:rsidRDefault="0089127B">
            <w:pPr>
              <w:rPr>
                <w:rFonts w:eastAsia="Times New Roman"/>
                <w:sz w:val="24"/>
                <w:szCs w:val="24"/>
              </w:rPr>
            </w:pPr>
            <w:r>
              <w:rPr>
                <w:rFonts w:eastAsia="Times New Roman"/>
              </w:rPr>
              <w:t>Female</w:t>
            </w:r>
          </w:p>
        </w:tc>
        <w:tc>
          <w:tcPr>
            <w:tcW w:w="0" w:type="auto"/>
            <w:hideMark/>
          </w:tcPr>
          <w:p w14:paraId="02F29D22" w14:textId="77777777" w:rsidR="0089127B" w:rsidRDefault="0089127B">
            <w:pPr>
              <w:rPr>
                <w:rFonts w:eastAsia="Times New Roman"/>
                <w:sz w:val="24"/>
                <w:szCs w:val="24"/>
              </w:rPr>
            </w:pPr>
            <w:r>
              <w:rPr>
                <w:rFonts w:eastAsia="Times New Roman"/>
              </w:rPr>
              <w:t>79 (50.0%)</w:t>
            </w:r>
          </w:p>
        </w:tc>
      </w:tr>
      <w:tr w:rsidR="0089127B" w14:paraId="7DB59ED1"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23AA9788" w14:textId="77777777" w:rsidR="0089127B" w:rsidRDefault="0089127B">
            <w:pPr>
              <w:rPr>
                <w:rFonts w:eastAsia="Times New Roman"/>
                <w:sz w:val="24"/>
                <w:szCs w:val="24"/>
              </w:rPr>
            </w:pPr>
            <w:r>
              <w:rPr>
                <w:rFonts w:eastAsia="Times New Roman"/>
              </w:rPr>
              <w:t>Male</w:t>
            </w:r>
          </w:p>
        </w:tc>
        <w:tc>
          <w:tcPr>
            <w:tcW w:w="0" w:type="auto"/>
            <w:hideMark/>
          </w:tcPr>
          <w:p w14:paraId="628404B6" w14:textId="77777777" w:rsidR="0089127B" w:rsidRDefault="0089127B">
            <w:pPr>
              <w:rPr>
                <w:rFonts w:eastAsia="Times New Roman"/>
                <w:sz w:val="24"/>
                <w:szCs w:val="24"/>
              </w:rPr>
            </w:pPr>
            <w:r>
              <w:rPr>
                <w:rFonts w:eastAsia="Times New Roman"/>
              </w:rPr>
              <w:t>79 (50.0%)</w:t>
            </w:r>
          </w:p>
        </w:tc>
      </w:tr>
      <w:tr w:rsidR="0075585D" w:rsidRPr="0075585D" w14:paraId="737BD4A7" w14:textId="77777777" w:rsidTr="0075585D">
        <w:tblPrEx>
          <w:tblCellMar>
            <w:top w:w="0" w:type="dxa"/>
            <w:left w:w="108" w:type="dxa"/>
            <w:bottom w:w="0" w:type="dxa"/>
            <w:right w:w="108" w:type="dxa"/>
          </w:tblCellMar>
        </w:tblPrEx>
        <w:trPr>
          <w:divId w:val="1287590030"/>
        </w:trPr>
        <w:tc>
          <w:tcPr>
            <w:tcW w:w="0" w:type="auto"/>
            <w:shd w:val="clear" w:color="auto" w:fill="808080" w:themeFill="background1" w:themeFillShade="80"/>
            <w:hideMark/>
          </w:tcPr>
          <w:p w14:paraId="3B9ABCED" w14:textId="77777777" w:rsidR="0089127B" w:rsidRPr="0075585D" w:rsidRDefault="0089127B">
            <w:pPr>
              <w:rPr>
                <w:rFonts w:eastAsia="Times New Roman"/>
                <w:b/>
                <w:color w:val="FFFFFF" w:themeColor="background1"/>
                <w:sz w:val="24"/>
                <w:szCs w:val="24"/>
              </w:rPr>
            </w:pPr>
            <w:r w:rsidRPr="0075585D">
              <w:rPr>
                <w:rFonts w:eastAsia="Times New Roman"/>
                <w:b/>
                <w:color w:val="FFFFFF" w:themeColor="background1"/>
              </w:rPr>
              <w:t>Age group</w:t>
            </w:r>
          </w:p>
        </w:tc>
        <w:tc>
          <w:tcPr>
            <w:tcW w:w="0" w:type="auto"/>
            <w:shd w:val="clear" w:color="auto" w:fill="808080" w:themeFill="background1" w:themeFillShade="80"/>
            <w:hideMark/>
          </w:tcPr>
          <w:p w14:paraId="3A4E9375" w14:textId="77777777" w:rsidR="0089127B" w:rsidRPr="0075585D" w:rsidRDefault="0089127B">
            <w:pPr>
              <w:rPr>
                <w:rFonts w:eastAsia="Times New Roman"/>
                <w:b/>
                <w:color w:val="FFFFFF" w:themeColor="background1"/>
                <w:sz w:val="24"/>
                <w:szCs w:val="24"/>
              </w:rPr>
            </w:pPr>
            <w:r w:rsidRPr="0075585D">
              <w:rPr>
                <w:rFonts w:eastAsia="Times New Roman"/>
                <w:b/>
                <w:color w:val="FFFFFF" w:themeColor="background1"/>
              </w:rPr>
              <w:t> </w:t>
            </w:r>
          </w:p>
        </w:tc>
      </w:tr>
      <w:tr w:rsidR="0089127B" w14:paraId="527318E2"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709A131C" w14:textId="77777777" w:rsidR="0089127B" w:rsidRDefault="0089127B">
            <w:pPr>
              <w:rPr>
                <w:rFonts w:eastAsia="Times New Roman"/>
                <w:sz w:val="24"/>
                <w:szCs w:val="24"/>
              </w:rPr>
            </w:pPr>
            <w:r>
              <w:rPr>
                <w:rFonts w:eastAsia="Times New Roman"/>
              </w:rPr>
              <w:t>0-4</w:t>
            </w:r>
          </w:p>
        </w:tc>
        <w:tc>
          <w:tcPr>
            <w:tcW w:w="0" w:type="auto"/>
            <w:hideMark/>
          </w:tcPr>
          <w:p w14:paraId="61DC1088" w14:textId="77777777" w:rsidR="0089127B" w:rsidRDefault="0089127B">
            <w:pPr>
              <w:rPr>
                <w:rFonts w:eastAsia="Times New Roman"/>
                <w:sz w:val="24"/>
                <w:szCs w:val="24"/>
              </w:rPr>
            </w:pPr>
            <w:r>
              <w:rPr>
                <w:rFonts w:eastAsia="Times New Roman"/>
              </w:rPr>
              <w:t>1 (0.6%)</w:t>
            </w:r>
          </w:p>
        </w:tc>
      </w:tr>
      <w:tr w:rsidR="0089127B" w14:paraId="6463B0BB" w14:textId="77777777" w:rsidTr="001B7CC9">
        <w:tblPrEx>
          <w:tblCellMar>
            <w:top w:w="0" w:type="dxa"/>
            <w:left w:w="108" w:type="dxa"/>
            <w:bottom w:w="0" w:type="dxa"/>
            <w:right w:w="108" w:type="dxa"/>
          </w:tblCellMar>
        </w:tblPrEx>
        <w:trPr>
          <w:divId w:val="1287590030"/>
        </w:trPr>
        <w:tc>
          <w:tcPr>
            <w:tcW w:w="0" w:type="auto"/>
            <w:hideMark/>
          </w:tcPr>
          <w:p w14:paraId="248E6A06" w14:textId="77777777" w:rsidR="0089127B" w:rsidRDefault="0089127B">
            <w:pPr>
              <w:rPr>
                <w:rFonts w:eastAsia="Times New Roman"/>
                <w:sz w:val="24"/>
                <w:szCs w:val="24"/>
              </w:rPr>
            </w:pPr>
            <w:r>
              <w:rPr>
                <w:rFonts w:eastAsia="Times New Roman"/>
              </w:rPr>
              <w:t>25-29</w:t>
            </w:r>
          </w:p>
        </w:tc>
        <w:tc>
          <w:tcPr>
            <w:tcW w:w="0" w:type="auto"/>
            <w:hideMark/>
          </w:tcPr>
          <w:p w14:paraId="06862C71" w14:textId="77777777" w:rsidR="0089127B" w:rsidRDefault="0089127B">
            <w:pPr>
              <w:rPr>
                <w:rFonts w:eastAsia="Times New Roman"/>
                <w:sz w:val="24"/>
                <w:szCs w:val="24"/>
              </w:rPr>
            </w:pPr>
            <w:r>
              <w:rPr>
                <w:rFonts w:eastAsia="Times New Roman"/>
              </w:rPr>
              <w:t>2 (1.3%)</w:t>
            </w:r>
          </w:p>
        </w:tc>
      </w:tr>
      <w:tr w:rsidR="0089127B" w14:paraId="3EADED82"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5F7FF349" w14:textId="77777777" w:rsidR="0089127B" w:rsidRDefault="0089127B">
            <w:pPr>
              <w:rPr>
                <w:rFonts w:eastAsia="Times New Roman"/>
                <w:sz w:val="24"/>
                <w:szCs w:val="24"/>
              </w:rPr>
            </w:pPr>
            <w:r>
              <w:rPr>
                <w:rFonts w:eastAsia="Times New Roman"/>
              </w:rPr>
              <w:t>30-34</w:t>
            </w:r>
          </w:p>
        </w:tc>
        <w:tc>
          <w:tcPr>
            <w:tcW w:w="0" w:type="auto"/>
            <w:hideMark/>
          </w:tcPr>
          <w:p w14:paraId="4AA5334D" w14:textId="77777777" w:rsidR="0089127B" w:rsidRDefault="0089127B">
            <w:pPr>
              <w:rPr>
                <w:rFonts w:eastAsia="Times New Roman"/>
                <w:sz w:val="24"/>
                <w:szCs w:val="24"/>
              </w:rPr>
            </w:pPr>
            <w:r>
              <w:rPr>
                <w:rFonts w:eastAsia="Times New Roman"/>
              </w:rPr>
              <w:t>5 (3.2%)</w:t>
            </w:r>
          </w:p>
        </w:tc>
      </w:tr>
      <w:tr w:rsidR="0089127B" w14:paraId="2F3098F7" w14:textId="77777777" w:rsidTr="001B7CC9">
        <w:tblPrEx>
          <w:tblCellMar>
            <w:top w:w="0" w:type="dxa"/>
            <w:left w:w="108" w:type="dxa"/>
            <w:bottom w:w="0" w:type="dxa"/>
            <w:right w:w="108" w:type="dxa"/>
          </w:tblCellMar>
        </w:tblPrEx>
        <w:trPr>
          <w:divId w:val="1287590030"/>
        </w:trPr>
        <w:tc>
          <w:tcPr>
            <w:tcW w:w="0" w:type="auto"/>
            <w:hideMark/>
          </w:tcPr>
          <w:p w14:paraId="317D7A94" w14:textId="77777777" w:rsidR="0089127B" w:rsidRDefault="0089127B">
            <w:pPr>
              <w:rPr>
                <w:rFonts w:eastAsia="Times New Roman"/>
                <w:sz w:val="24"/>
                <w:szCs w:val="24"/>
              </w:rPr>
            </w:pPr>
            <w:r>
              <w:rPr>
                <w:rFonts w:eastAsia="Times New Roman"/>
              </w:rPr>
              <w:t>35-39</w:t>
            </w:r>
          </w:p>
        </w:tc>
        <w:tc>
          <w:tcPr>
            <w:tcW w:w="0" w:type="auto"/>
            <w:hideMark/>
          </w:tcPr>
          <w:p w14:paraId="35D45E40" w14:textId="77777777" w:rsidR="0089127B" w:rsidRDefault="0089127B">
            <w:pPr>
              <w:rPr>
                <w:rFonts w:eastAsia="Times New Roman"/>
                <w:sz w:val="24"/>
                <w:szCs w:val="24"/>
              </w:rPr>
            </w:pPr>
            <w:r>
              <w:rPr>
                <w:rFonts w:eastAsia="Times New Roman"/>
              </w:rPr>
              <w:t>2 (1.3%)</w:t>
            </w:r>
          </w:p>
        </w:tc>
      </w:tr>
      <w:tr w:rsidR="0089127B" w14:paraId="2692FC45"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7668FBCB" w14:textId="77777777" w:rsidR="0089127B" w:rsidRDefault="0089127B">
            <w:pPr>
              <w:rPr>
                <w:rFonts w:eastAsia="Times New Roman"/>
                <w:sz w:val="24"/>
                <w:szCs w:val="24"/>
              </w:rPr>
            </w:pPr>
            <w:r>
              <w:rPr>
                <w:rFonts w:eastAsia="Times New Roman"/>
              </w:rPr>
              <w:t>40-44</w:t>
            </w:r>
          </w:p>
        </w:tc>
        <w:tc>
          <w:tcPr>
            <w:tcW w:w="0" w:type="auto"/>
            <w:hideMark/>
          </w:tcPr>
          <w:p w14:paraId="34908033" w14:textId="77777777" w:rsidR="0089127B" w:rsidRDefault="0089127B">
            <w:pPr>
              <w:rPr>
                <w:rFonts w:eastAsia="Times New Roman"/>
                <w:sz w:val="24"/>
                <w:szCs w:val="24"/>
              </w:rPr>
            </w:pPr>
            <w:r>
              <w:rPr>
                <w:rFonts w:eastAsia="Times New Roman"/>
              </w:rPr>
              <w:t>4 (2.5%)</w:t>
            </w:r>
          </w:p>
        </w:tc>
      </w:tr>
      <w:tr w:rsidR="0089127B" w14:paraId="20E6DDD6" w14:textId="77777777" w:rsidTr="001B7CC9">
        <w:tblPrEx>
          <w:tblCellMar>
            <w:top w:w="0" w:type="dxa"/>
            <w:left w:w="108" w:type="dxa"/>
            <w:bottom w:w="0" w:type="dxa"/>
            <w:right w:w="108" w:type="dxa"/>
          </w:tblCellMar>
        </w:tblPrEx>
        <w:trPr>
          <w:divId w:val="1287590030"/>
        </w:trPr>
        <w:tc>
          <w:tcPr>
            <w:tcW w:w="0" w:type="auto"/>
            <w:hideMark/>
          </w:tcPr>
          <w:p w14:paraId="6FE4B170" w14:textId="77777777" w:rsidR="0089127B" w:rsidRDefault="0089127B">
            <w:pPr>
              <w:rPr>
                <w:rFonts w:eastAsia="Times New Roman"/>
                <w:sz w:val="24"/>
                <w:szCs w:val="24"/>
              </w:rPr>
            </w:pPr>
            <w:r>
              <w:rPr>
                <w:rFonts w:eastAsia="Times New Roman"/>
              </w:rPr>
              <w:t>45-49</w:t>
            </w:r>
          </w:p>
        </w:tc>
        <w:tc>
          <w:tcPr>
            <w:tcW w:w="0" w:type="auto"/>
            <w:hideMark/>
          </w:tcPr>
          <w:p w14:paraId="337815BE" w14:textId="77777777" w:rsidR="0089127B" w:rsidRDefault="0089127B">
            <w:pPr>
              <w:rPr>
                <w:rFonts w:eastAsia="Times New Roman"/>
                <w:sz w:val="24"/>
                <w:szCs w:val="24"/>
              </w:rPr>
            </w:pPr>
            <w:r>
              <w:rPr>
                <w:rFonts w:eastAsia="Times New Roman"/>
              </w:rPr>
              <w:t>4 (2.5%)</w:t>
            </w:r>
          </w:p>
        </w:tc>
      </w:tr>
      <w:tr w:rsidR="0089127B" w14:paraId="7AB78B4D"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53D91CFA" w14:textId="77777777" w:rsidR="0089127B" w:rsidRDefault="0089127B">
            <w:pPr>
              <w:rPr>
                <w:rFonts w:eastAsia="Times New Roman"/>
                <w:sz w:val="24"/>
                <w:szCs w:val="24"/>
              </w:rPr>
            </w:pPr>
            <w:r>
              <w:rPr>
                <w:rFonts w:eastAsia="Times New Roman"/>
              </w:rPr>
              <w:t>50-54</w:t>
            </w:r>
          </w:p>
        </w:tc>
        <w:tc>
          <w:tcPr>
            <w:tcW w:w="0" w:type="auto"/>
            <w:hideMark/>
          </w:tcPr>
          <w:p w14:paraId="4B39928A" w14:textId="77777777" w:rsidR="0089127B" w:rsidRDefault="0089127B">
            <w:pPr>
              <w:rPr>
                <w:rFonts w:eastAsia="Times New Roman"/>
                <w:sz w:val="24"/>
                <w:szCs w:val="24"/>
              </w:rPr>
            </w:pPr>
            <w:r>
              <w:rPr>
                <w:rFonts w:eastAsia="Times New Roman"/>
              </w:rPr>
              <w:t>6 (3.8%)</w:t>
            </w:r>
          </w:p>
        </w:tc>
      </w:tr>
      <w:tr w:rsidR="0089127B" w14:paraId="7C839B5C" w14:textId="77777777" w:rsidTr="001B7CC9">
        <w:tblPrEx>
          <w:tblCellMar>
            <w:top w:w="0" w:type="dxa"/>
            <w:left w:w="108" w:type="dxa"/>
            <w:bottom w:w="0" w:type="dxa"/>
            <w:right w:w="108" w:type="dxa"/>
          </w:tblCellMar>
        </w:tblPrEx>
        <w:trPr>
          <w:divId w:val="1287590030"/>
        </w:trPr>
        <w:tc>
          <w:tcPr>
            <w:tcW w:w="0" w:type="auto"/>
            <w:hideMark/>
          </w:tcPr>
          <w:p w14:paraId="6E67FAA3" w14:textId="77777777" w:rsidR="0089127B" w:rsidRDefault="0089127B">
            <w:pPr>
              <w:rPr>
                <w:rFonts w:eastAsia="Times New Roman"/>
                <w:sz w:val="24"/>
                <w:szCs w:val="24"/>
              </w:rPr>
            </w:pPr>
            <w:r>
              <w:rPr>
                <w:rFonts w:eastAsia="Times New Roman"/>
              </w:rPr>
              <w:t>55-59</w:t>
            </w:r>
          </w:p>
        </w:tc>
        <w:tc>
          <w:tcPr>
            <w:tcW w:w="0" w:type="auto"/>
            <w:hideMark/>
          </w:tcPr>
          <w:p w14:paraId="26072E30" w14:textId="77777777" w:rsidR="0089127B" w:rsidRDefault="0089127B">
            <w:pPr>
              <w:rPr>
                <w:rFonts w:eastAsia="Times New Roman"/>
                <w:sz w:val="24"/>
                <w:szCs w:val="24"/>
              </w:rPr>
            </w:pPr>
            <w:r>
              <w:rPr>
                <w:rFonts w:eastAsia="Times New Roman"/>
              </w:rPr>
              <w:t>5 (3.2%)</w:t>
            </w:r>
          </w:p>
        </w:tc>
      </w:tr>
      <w:tr w:rsidR="0089127B" w14:paraId="506DF363"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5FEC13E7" w14:textId="77777777" w:rsidR="0089127B" w:rsidRDefault="0089127B">
            <w:pPr>
              <w:rPr>
                <w:rFonts w:eastAsia="Times New Roman"/>
                <w:sz w:val="24"/>
                <w:szCs w:val="24"/>
              </w:rPr>
            </w:pPr>
            <w:r>
              <w:rPr>
                <w:rFonts w:eastAsia="Times New Roman"/>
              </w:rPr>
              <w:t>60-64</w:t>
            </w:r>
          </w:p>
        </w:tc>
        <w:tc>
          <w:tcPr>
            <w:tcW w:w="0" w:type="auto"/>
            <w:hideMark/>
          </w:tcPr>
          <w:p w14:paraId="7EC46BF1" w14:textId="77777777" w:rsidR="0089127B" w:rsidRDefault="0089127B">
            <w:pPr>
              <w:rPr>
                <w:rFonts w:eastAsia="Times New Roman"/>
                <w:sz w:val="24"/>
                <w:szCs w:val="24"/>
              </w:rPr>
            </w:pPr>
            <w:r>
              <w:rPr>
                <w:rFonts w:eastAsia="Times New Roman"/>
              </w:rPr>
              <w:t>6 (10.1%)</w:t>
            </w:r>
          </w:p>
        </w:tc>
      </w:tr>
      <w:tr w:rsidR="0089127B" w14:paraId="75269DCD" w14:textId="77777777" w:rsidTr="001B7CC9">
        <w:tblPrEx>
          <w:tblCellMar>
            <w:top w:w="0" w:type="dxa"/>
            <w:left w:w="108" w:type="dxa"/>
            <w:bottom w:w="0" w:type="dxa"/>
            <w:right w:w="108" w:type="dxa"/>
          </w:tblCellMar>
        </w:tblPrEx>
        <w:trPr>
          <w:divId w:val="1287590030"/>
        </w:trPr>
        <w:tc>
          <w:tcPr>
            <w:tcW w:w="0" w:type="auto"/>
            <w:hideMark/>
          </w:tcPr>
          <w:p w14:paraId="251EFA1A" w14:textId="77777777" w:rsidR="0089127B" w:rsidRDefault="0089127B">
            <w:pPr>
              <w:rPr>
                <w:rFonts w:eastAsia="Times New Roman"/>
                <w:sz w:val="24"/>
                <w:szCs w:val="24"/>
              </w:rPr>
            </w:pPr>
            <w:r>
              <w:rPr>
                <w:rFonts w:eastAsia="Times New Roman"/>
              </w:rPr>
              <w:t>≥ 65 years</w:t>
            </w:r>
          </w:p>
        </w:tc>
        <w:tc>
          <w:tcPr>
            <w:tcW w:w="0" w:type="auto"/>
            <w:hideMark/>
          </w:tcPr>
          <w:p w14:paraId="306D88D2" w14:textId="77777777" w:rsidR="0089127B" w:rsidRDefault="0089127B">
            <w:pPr>
              <w:rPr>
                <w:rFonts w:eastAsia="Times New Roman"/>
                <w:sz w:val="24"/>
                <w:szCs w:val="24"/>
              </w:rPr>
            </w:pPr>
            <w:r>
              <w:rPr>
                <w:rFonts w:eastAsia="Times New Roman"/>
              </w:rPr>
              <w:t>45 (28.5%)</w:t>
            </w:r>
          </w:p>
        </w:tc>
      </w:tr>
      <w:tr w:rsidR="0089127B" w14:paraId="77DD3999" w14:textId="77777777" w:rsidTr="00871DB1">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shd w:val="clear" w:color="auto" w:fill="808080" w:themeFill="background1" w:themeFillShade="80"/>
            <w:hideMark/>
          </w:tcPr>
          <w:p w14:paraId="6580C68B" w14:textId="77777777" w:rsidR="0089127B" w:rsidRPr="00871DB1" w:rsidRDefault="0089127B">
            <w:pPr>
              <w:rPr>
                <w:rFonts w:eastAsia="Times New Roman"/>
                <w:b/>
                <w:color w:val="FFFFFF" w:themeColor="background1"/>
                <w:sz w:val="24"/>
                <w:szCs w:val="24"/>
              </w:rPr>
            </w:pPr>
            <w:r w:rsidRPr="00871DB1">
              <w:rPr>
                <w:rFonts w:eastAsia="Times New Roman"/>
                <w:b/>
                <w:color w:val="FFFFFF" w:themeColor="background1"/>
              </w:rPr>
              <w:t>Pregnancy status</w:t>
            </w:r>
          </w:p>
        </w:tc>
        <w:tc>
          <w:tcPr>
            <w:tcW w:w="0" w:type="auto"/>
            <w:shd w:val="clear" w:color="auto" w:fill="808080" w:themeFill="background1" w:themeFillShade="80"/>
            <w:hideMark/>
          </w:tcPr>
          <w:p w14:paraId="184DB31E" w14:textId="77777777" w:rsidR="0089127B" w:rsidRDefault="0089127B">
            <w:pPr>
              <w:rPr>
                <w:rFonts w:eastAsia="Times New Roman"/>
                <w:sz w:val="24"/>
                <w:szCs w:val="24"/>
              </w:rPr>
            </w:pPr>
            <w:r>
              <w:rPr>
                <w:rFonts w:eastAsia="Times New Roman"/>
              </w:rPr>
              <w:t> </w:t>
            </w:r>
          </w:p>
        </w:tc>
      </w:tr>
      <w:tr w:rsidR="0089127B" w14:paraId="565A2B07" w14:textId="77777777" w:rsidTr="001B7CC9">
        <w:tblPrEx>
          <w:tblCellMar>
            <w:top w:w="0" w:type="dxa"/>
            <w:left w:w="108" w:type="dxa"/>
            <w:bottom w:w="0" w:type="dxa"/>
            <w:right w:w="108" w:type="dxa"/>
          </w:tblCellMar>
        </w:tblPrEx>
        <w:trPr>
          <w:divId w:val="1287590030"/>
        </w:trPr>
        <w:tc>
          <w:tcPr>
            <w:tcW w:w="0" w:type="auto"/>
            <w:hideMark/>
          </w:tcPr>
          <w:p w14:paraId="7CF78928" w14:textId="77777777" w:rsidR="0089127B" w:rsidRDefault="0089127B">
            <w:pPr>
              <w:rPr>
                <w:rFonts w:eastAsia="Times New Roman"/>
                <w:sz w:val="24"/>
                <w:szCs w:val="24"/>
              </w:rPr>
            </w:pPr>
            <w:r>
              <w:rPr>
                <w:rFonts w:eastAsia="Times New Roman"/>
              </w:rPr>
              <w:t>Pregnant</w:t>
            </w:r>
          </w:p>
        </w:tc>
        <w:tc>
          <w:tcPr>
            <w:tcW w:w="0" w:type="auto"/>
            <w:hideMark/>
          </w:tcPr>
          <w:p w14:paraId="3F55B6FF" w14:textId="77777777" w:rsidR="0089127B" w:rsidRDefault="0089127B">
            <w:pPr>
              <w:rPr>
                <w:rFonts w:eastAsia="Times New Roman"/>
                <w:sz w:val="24"/>
                <w:szCs w:val="24"/>
              </w:rPr>
            </w:pPr>
            <w:r>
              <w:rPr>
                <w:rFonts w:eastAsia="Times New Roman"/>
              </w:rPr>
              <w:t>7 (4.4%)</w:t>
            </w:r>
          </w:p>
        </w:tc>
      </w:tr>
      <w:tr w:rsidR="0089127B" w14:paraId="69170AA7"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5C3195F1" w14:textId="77777777" w:rsidR="0089127B" w:rsidRDefault="0089127B">
            <w:pPr>
              <w:rPr>
                <w:rFonts w:eastAsia="Times New Roman"/>
                <w:sz w:val="24"/>
                <w:szCs w:val="24"/>
              </w:rPr>
            </w:pPr>
            <w:r>
              <w:rPr>
                <w:rFonts w:eastAsia="Times New Roman"/>
              </w:rPr>
              <w:t>Not pregnant</w:t>
            </w:r>
          </w:p>
        </w:tc>
        <w:tc>
          <w:tcPr>
            <w:tcW w:w="0" w:type="auto"/>
            <w:hideMark/>
          </w:tcPr>
          <w:p w14:paraId="755215B1" w14:textId="77777777" w:rsidR="0089127B" w:rsidRDefault="0089127B">
            <w:pPr>
              <w:rPr>
                <w:rFonts w:eastAsia="Times New Roman"/>
                <w:sz w:val="24"/>
                <w:szCs w:val="24"/>
              </w:rPr>
            </w:pPr>
            <w:r>
              <w:rPr>
                <w:rFonts w:eastAsia="Times New Roman"/>
              </w:rPr>
              <w:t>150 (94.9%)</w:t>
            </w:r>
          </w:p>
        </w:tc>
      </w:tr>
      <w:tr w:rsidR="0089127B" w14:paraId="7C98FED5" w14:textId="77777777" w:rsidTr="001B7CC9">
        <w:tblPrEx>
          <w:tblCellMar>
            <w:top w:w="0" w:type="dxa"/>
            <w:left w:w="108" w:type="dxa"/>
            <w:bottom w:w="0" w:type="dxa"/>
            <w:right w:w="108" w:type="dxa"/>
          </w:tblCellMar>
        </w:tblPrEx>
        <w:trPr>
          <w:divId w:val="1287590030"/>
        </w:trPr>
        <w:tc>
          <w:tcPr>
            <w:tcW w:w="0" w:type="auto"/>
            <w:hideMark/>
          </w:tcPr>
          <w:p w14:paraId="3400A37A" w14:textId="77777777" w:rsidR="0089127B" w:rsidRDefault="0089127B">
            <w:pPr>
              <w:rPr>
                <w:rFonts w:eastAsia="Times New Roman"/>
                <w:sz w:val="24"/>
                <w:szCs w:val="24"/>
              </w:rPr>
            </w:pPr>
            <w:r>
              <w:rPr>
                <w:rFonts w:eastAsia="Times New Roman"/>
              </w:rPr>
              <w:t>Unknown</w:t>
            </w:r>
          </w:p>
        </w:tc>
        <w:tc>
          <w:tcPr>
            <w:tcW w:w="0" w:type="auto"/>
            <w:hideMark/>
          </w:tcPr>
          <w:p w14:paraId="178C4DFF" w14:textId="77777777" w:rsidR="0089127B" w:rsidRDefault="0089127B">
            <w:pPr>
              <w:rPr>
                <w:rFonts w:eastAsia="Times New Roman"/>
                <w:sz w:val="24"/>
                <w:szCs w:val="24"/>
              </w:rPr>
            </w:pPr>
            <w:r>
              <w:rPr>
                <w:rFonts w:eastAsia="Times New Roman"/>
              </w:rPr>
              <w:t>1 (0.6%)</w:t>
            </w:r>
          </w:p>
        </w:tc>
      </w:tr>
      <w:tr w:rsidR="00AA2AC3" w:rsidRPr="00AA2AC3" w14:paraId="07CB3E32" w14:textId="77777777" w:rsidTr="00AA2AC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shd w:val="clear" w:color="auto" w:fill="808080" w:themeFill="background1" w:themeFillShade="80"/>
            <w:hideMark/>
          </w:tcPr>
          <w:p w14:paraId="1475315C" w14:textId="77777777" w:rsidR="0089127B" w:rsidRPr="00AA2AC3" w:rsidRDefault="0089127B">
            <w:pPr>
              <w:rPr>
                <w:rFonts w:eastAsia="Times New Roman"/>
                <w:b/>
                <w:color w:val="FFFFFF" w:themeColor="background1"/>
                <w:sz w:val="24"/>
                <w:szCs w:val="24"/>
              </w:rPr>
            </w:pPr>
            <w:r w:rsidRPr="00AA2AC3">
              <w:rPr>
                <w:rFonts w:eastAsia="Times New Roman"/>
                <w:b/>
                <w:color w:val="FFFFFF" w:themeColor="background1"/>
              </w:rPr>
              <w:t>Co-</w:t>
            </w:r>
            <w:r w:rsidR="00F11494" w:rsidRPr="00AA2AC3">
              <w:rPr>
                <w:rFonts w:eastAsia="Times New Roman"/>
                <w:b/>
                <w:color w:val="FFFFFF" w:themeColor="background1"/>
              </w:rPr>
              <w:t>existing</w:t>
            </w:r>
            <w:r w:rsidRPr="00AA2AC3">
              <w:rPr>
                <w:rFonts w:eastAsia="Times New Roman"/>
                <w:b/>
                <w:color w:val="FFFFFF" w:themeColor="background1"/>
              </w:rPr>
              <w:t xml:space="preserve"> conditions</w:t>
            </w:r>
            <w:r w:rsidRPr="00AA2AC3">
              <w:rPr>
                <w:rFonts w:eastAsia="Times New Roman"/>
                <w:b/>
                <w:color w:val="FFFFFF" w:themeColor="background1"/>
                <w:vertAlign w:val="superscript"/>
              </w:rPr>
              <w:t>*</w:t>
            </w:r>
          </w:p>
        </w:tc>
        <w:tc>
          <w:tcPr>
            <w:tcW w:w="0" w:type="auto"/>
            <w:shd w:val="clear" w:color="auto" w:fill="808080" w:themeFill="background1" w:themeFillShade="80"/>
            <w:hideMark/>
          </w:tcPr>
          <w:p w14:paraId="6EF35330" w14:textId="77777777" w:rsidR="0089127B" w:rsidRPr="00AA2AC3" w:rsidRDefault="0089127B">
            <w:pPr>
              <w:rPr>
                <w:rFonts w:eastAsia="Times New Roman"/>
                <w:b/>
                <w:color w:val="FFFFFF" w:themeColor="background1"/>
                <w:sz w:val="24"/>
                <w:szCs w:val="24"/>
              </w:rPr>
            </w:pPr>
            <w:r w:rsidRPr="00AA2AC3">
              <w:rPr>
                <w:rFonts w:eastAsia="Times New Roman"/>
                <w:b/>
                <w:color w:val="FFFFFF" w:themeColor="background1"/>
              </w:rPr>
              <w:t> </w:t>
            </w:r>
          </w:p>
        </w:tc>
      </w:tr>
      <w:tr w:rsidR="0089127B" w14:paraId="69E45301" w14:textId="77777777" w:rsidTr="001B7CC9">
        <w:tblPrEx>
          <w:tblCellMar>
            <w:top w:w="0" w:type="dxa"/>
            <w:left w:w="108" w:type="dxa"/>
            <w:bottom w:w="0" w:type="dxa"/>
            <w:right w:w="108" w:type="dxa"/>
          </w:tblCellMar>
        </w:tblPrEx>
        <w:trPr>
          <w:divId w:val="1287590030"/>
        </w:trPr>
        <w:tc>
          <w:tcPr>
            <w:tcW w:w="0" w:type="auto"/>
            <w:hideMark/>
          </w:tcPr>
          <w:p w14:paraId="1B1DAB0E" w14:textId="77777777" w:rsidR="0089127B" w:rsidRDefault="0089127B">
            <w:pPr>
              <w:rPr>
                <w:rFonts w:eastAsia="Times New Roman"/>
                <w:sz w:val="24"/>
                <w:szCs w:val="24"/>
              </w:rPr>
            </w:pPr>
            <w:r>
              <w:rPr>
                <w:rFonts w:eastAsia="Times New Roman"/>
              </w:rPr>
              <w:t>≥ 1 co-existing condition</w:t>
            </w:r>
          </w:p>
        </w:tc>
        <w:tc>
          <w:tcPr>
            <w:tcW w:w="0" w:type="auto"/>
            <w:hideMark/>
          </w:tcPr>
          <w:p w14:paraId="5C37F5FA" w14:textId="77777777" w:rsidR="0089127B" w:rsidRDefault="0089127B">
            <w:pPr>
              <w:rPr>
                <w:rFonts w:eastAsia="Times New Roman"/>
                <w:sz w:val="24"/>
                <w:szCs w:val="24"/>
              </w:rPr>
            </w:pPr>
            <w:r>
              <w:rPr>
                <w:rFonts w:eastAsia="Times New Roman"/>
              </w:rPr>
              <w:t>131 (82.9%)</w:t>
            </w:r>
          </w:p>
        </w:tc>
      </w:tr>
      <w:tr w:rsidR="0089127B" w14:paraId="3D177FA0"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77514FBC" w14:textId="77777777" w:rsidR="0089127B" w:rsidRDefault="0089127B" w:rsidP="006C49D2">
            <w:pPr>
              <w:ind w:left="284"/>
              <w:rPr>
                <w:rFonts w:eastAsia="Times New Roman"/>
                <w:sz w:val="24"/>
                <w:szCs w:val="24"/>
              </w:rPr>
            </w:pPr>
            <w:r>
              <w:rPr>
                <w:rFonts w:eastAsia="Times New Roman"/>
              </w:rPr>
              <w:t>≥ 1 co-existing condition known to supress the immune response or increase the risk of infection</w:t>
            </w:r>
          </w:p>
        </w:tc>
        <w:tc>
          <w:tcPr>
            <w:tcW w:w="0" w:type="auto"/>
            <w:hideMark/>
          </w:tcPr>
          <w:p w14:paraId="056CE19A" w14:textId="77777777" w:rsidR="0089127B" w:rsidRDefault="0089127B">
            <w:pPr>
              <w:rPr>
                <w:rFonts w:eastAsia="Times New Roman"/>
                <w:sz w:val="24"/>
                <w:szCs w:val="24"/>
              </w:rPr>
            </w:pPr>
            <w:r>
              <w:rPr>
                <w:rFonts w:eastAsia="Times New Roman"/>
              </w:rPr>
              <w:t>125 (79.1%)</w:t>
            </w:r>
          </w:p>
        </w:tc>
      </w:tr>
      <w:tr w:rsidR="0089127B" w14:paraId="490724BB" w14:textId="77777777" w:rsidTr="001B7CC9">
        <w:tblPrEx>
          <w:tblCellMar>
            <w:top w:w="0" w:type="dxa"/>
            <w:left w:w="108" w:type="dxa"/>
            <w:bottom w:w="0" w:type="dxa"/>
            <w:right w:w="108" w:type="dxa"/>
          </w:tblCellMar>
        </w:tblPrEx>
        <w:trPr>
          <w:divId w:val="1287590030"/>
        </w:trPr>
        <w:tc>
          <w:tcPr>
            <w:tcW w:w="0" w:type="auto"/>
            <w:hideMark/>
          </w:tcPr>
          <w:p w14:paraId="4987FD2F" w14:textId="77777777" w:rsidR="0089127B" w:rsidRDefault="0089127B" w:rsidP="006C49D2">
            <w:pPr>
              <w:ind w:left="567"/>
              <w:rPr>
                <w:rFonts w:eastAsia="Times New Roman"/>
                <w:sz w:val="24"/>
                <w:szCs w:val="24"/>
              </w:rPr>
            </w:pPr>
            <w:r>
              <w:rPr>
                <w:rFonts w:eastAsia="Times New Roman"/>
              </w:rPr>
              <w:t>Cancer</w:t>
            </w:r>
          </w:p>
        </w:tc>
        <w:tc>
          <w:tcPr>
            <w:tcW w:w="0" w:type="auto"/>
            <w:hideMark/>
          </w:tcPr>
          <w:p w14:paraId="0108C8AC" w14:textId="77777777" w:rsidR="0089127B" w:rsidRDefault="0089127B">
            <w:pPr>
              <w:rPr>
                <w:rFonts w:eastAsia="Times New Roman"/>
                <w:sz w:val="24"/>
                <w:szCs w:val="24"/>
              </w:rPr>
            </w:pPr>
            <w:r>
              <w:rPr>
                <w:rFonts w:eastAsia="Times New Roman"/>
              </w:rPr>
              <w:t>49 (31.0%)</w:t>
            </w:r>
          </w:p>
        </w:tc>
      </w:tr>
      <w:tr w:rsidR="0089127B" w14:paraId="575A791F"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32190742" w14:textId="77777777" w:rsidR="0089127B" w:rsidRDefault="0089127B" w:rsidP="006C49D2">
            <w:pPr>
              <w:ind w:left="567"/>
              <w:rPr>
                <w:rFonts w:eastAsia="Times New Roman"/>
                <w:sz w:val="24"/>
                <w:szCs w:val="24"/>
              </w:rPr>
            </w:pPr>
            <w:r>
              <w:rPr>
                <w:rFonts w:eastAsia="Times New Roman"/>
              </w:rPr>
              <w:t>Heart disease</w:t>
            </w:r>
          </w:p>
        </w:tc>
        <w:tc>
          <w:tcPr>
            <w:tcW w:w="0" w:type="auto"/>
            <w:hideMark/>
          </w:tcPr>
          <w:p w14:paraId="05382E72" w14:textId="77777777" w:rsidR="0089127B" w:rsidRDefault="0089127B">
            <w:pPr>
              <w:rPr>
                <w:rFonts w:eastAsia="Times New Roman"/>
                <w:sz w:val="24"/>
                <w:szCs w:val="24"/>
              </w:rPr>
            </w:pPr>
            <w:r>
              <w:rPr>
                <w:rFonts w:eastAsia="Times New Roman"/>
              </w:rPr>
              <w:t>48 (30.4%)</w:t>
            </w:r>
          </w:p>
        </w:tc>
      </w:tr>
      <w:tr w:rsidR="0089127B" w14:paraId="060BB672" w14:textId="77777777" w:rsidTr="001B7CC9">
        <w:tblPrEx>
          <w:tblCellMar>
            <w:top w:w="0" w:type="dxa"/>
            <w:left w:w="108" w:type="dxa"/>
            <w:bottom w:w="0" w:type="dxa"/>
            <w:right w:w="108" w:type="dxa"/>
          </w:tblCellMar>
        </w:tblPrEx>
        <w:trPr>
          <w:divId w:val="1287590030"/>
        </w:trPr>
        <w:tc>
          <w:tcPr>
            <w:tcW w:w="0" w:type="auto"/>
            <w:hideMark/>
          </w:tcPr>
          <w:p w14:paraId="44E56C75" w14:textId="77777777" w:rsidR="0089127B" w:rsidRDefault="0089127B" w:rsidP="006C49D2">
            <w:pPr>
              <w:ind w:left="567"/>
              <w:rPr>
                <w:rFonts w:eastAsia="Times New Roman"/>
                <w:sz w:val="24"/>
                <w:szCs w:val="24"/>
              </w:rPr>
            </w:pPr>
            <w:r>
              <w:rPr>
                <w:rFonts w:eastAsia="Times New Roman"/>
              </w:rPr>
              <w:t>Rheumatological condition</w:t>
            </w:r>
          </w:p>
        </w:tc>
        <w:tc>
          <w:tcPr>
            <w:tcW w:w="0" w:type="auto"/>
            <w:hideMark/>
          </w:tcPr>
          <w:p w14:paraId="307EA84F" w14:textId="77777777" w:rsidR="0089127B" w:rsidRDefault="0089127B">
            <w:pPr>
              <w:rPr>
                <w:rFonts w:eastAsia="Times New Roman"/>
                <w:sz w:val="24"/>
                <w:szCs w:val="24"/>
              </w:rPr>
            </w:pPr>
            <w:r>
              <w:rPr>
                <w:rFonts w:eastAsia="Times New Roman"/>
              </w:rPr>
              <w:t>30 (19.0%)</w:t>
            </w:r>
          </w:p>
        </w:tc>
      </w:tr>
      <w:tr w:rsidR="0089127B" w14:paraId="51F8E09E"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0A62DB6E" w14:textId="77777777" w:rsidR="0089127B" w:rsidRDefault="0089127B" w:rsidP="006C49D2">
            <w:pPr>
              <w:ind w:left="567"/>
              <w:rPr>
                <w:rFonts w:eastAsia="Times New Roman"/>
                <w:sz w:val="24"/>
                <w:szCs w:val="24"/>
              </w:rPr>
            </w:pPr>
            <w:r>
              <w:rPr>
                <w:rFonts w:eastAsia="Times New Roman"/>
              </w:rPr>
              <w:t>Blood disorder</w:t>
            </w:r>
          </w:p>
        </w:tc>
        <w:tc>
          <w:tcPr>
            <w:tcW w:w="0" w:type="auto"/>
            <w:hideMark/>
          </w:tcPr>
          <w:p w14:paraId="0D88BE4A" w14:textId="77777777" w:rsidR="0089127B" w:rsidRDefault="0089127B">
            <w:pPr>
              <w:rPr>
                <w:rFonts w:eastAsia="Times New Roman"/>
                <w:sz w:val="24"/>
                <w:szCs w:val="24"/>
              </w:rPr>
            </w:pPr>
            <w:r>
              <w:rPr>
                <w:rFonts w:eastAsia="Times New Roman"/>
              </w:rPr>
              <w:t>29 (18.4%)</w:t>
            </w:r>
          </w:p>
        </w:tc>
      </w:tr>
      <w:tr w:rsidR="0089127B" w14:paraId="2A552966" w14:textId="77777777" w:rsidTr="001B7CC9">
        <w:tblPrEx>
          <w:tblCellMar>
            <w:top w:w="0" w:type="dxa"/>
            <w:left w:w="108" w:type="dxa"/>
            <w:bottom w:w="0" w:type="dxa"/>
            <w:right w:w="108" w:type="dxa"/>
          </w:tblCellMar>
        </w:tblPrEx>
        <w:trPr>
          <w:divId w:val="1287590030"/>
        </w:trPr>
        <w:tc>
          <w:tcPr>
            <w:tcW w:w="0" w:type="auto"/>
            <w:hideMark/>
          </w:tcPr>
          <w:p w14:paraId="53CDEF07" w14:textId="77777777" w:rsidR="0089127B" w:rsidRDefault="0089127B" w:rsidP="006C49D2">
            <w:pPr>
              <w:ind w:left="567"/>
              <w:rPr>
                <w:rFonts w:eastAsia="Times New Roman"/>
                <w:sz w:val="24"/>
                <w:szCs w:val="24"/>
              </w:rPr>
            </w:pPr>
            <w:r>
              <w:rPr>
                <w:rFonts w:eastAsia="Times New Roman"/>
              </w:rPr>
              <w:t>Liver disease</w:t>
            </w:r>
          </w:p>
        </w:tc>
        <w:tc>
          <w:tcPr>
            <w:tcW w:w="0" w:type="auto"/>
            <w:hideMark/>
          </w:tcPr>
          <w:p w14:paraId="1E57D362" w14:textId="77777777" w:rsidR="0089127B" w:rsidRDefault="0089127B">
            <w:pPr>
              <w:rPr>
                <w:rFonts w:eastAsia="Times New Roman"/>
                <w:sz w:val="24"/>
                <w:szCs w:val="24"/>
              </w:rPr>
            </w:pPr>
            <w:r>
              <w:rPr>
                <w:rFonts w:eastAsia="Times New Roman"/>
              </w:rPr>
              <w:t>28 (17.7%)</w:t>
            </w:r>
          </w:p>
        </w:tc>
      </w:tr>
      <w:tr w:rsidR="0089127B" w14:paraId="3ACD02BF"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2021FCE2" w14:textId="77777777" w:rsidR="0089127B" w:rsidRDefault="0089127B" w:rsidP="006C49D2">
            <w:pPr>
              <w:ind w:left="567"/>
              <w:rPr>
                <w:rFonts w:eastAsia="Times New Roman"/>
                <w:sz w:val="24"/>
                <w:szCs w:val="24"/>
              </w:rPr>
            </w:pPr>
            <w:r>
              <w:rPr>
                <w:rFonts w:eastAsia="Times New Roman"/>
              </w:rPr>
              <w:t>Diabetes (insulin)</w:t>
            </w:r>
          </w:p>
        </w:tc>
        <w:tc>
          <w:tcPr>
            <w:tcW w:w="0" w:type="auto"/>
            <w:hideMark/>
          </w:tcPr>
          <w:p w14:paraId="52EF20E0" w14:textId="77777777" w:rsidR="0089127B" w:rsidRDefault="0089127B">
            <w:pPr>
              <w:rPr>
                <w:rFonts w:eastAsia="Times New Roman"/>
                <w:sz w:val="24"/>
                <w:szCs w:val="24"/>
              </w:rPr>
            </w:pPr>
            <w:r>
              <w:rPr>
                <w:rFonts w:eastAsia="Times New Roman"/>
              </w:rPr>
              <w:t>25 (15.8%)</w:t>
            </w:r>
          </w:p>
        </w:tc>
      </w:tr>
      <w:tr w:rsidR="0089127B" w14:paraId="0A9704C4" w14:textId="77777777" w:rsidTr="001B7CC9">
        <w:tblPrEx>
          <w:tblCellMar>
            <w:top w:w="0" w:type="dxa"/>
            <w:left w:w="108" w:type="dxa"/>
            <w:bottom w:w="0" w:type="dxa"/>
            <w:right w:w="108" w:type="dxa"/>
          </w:tblCellMar>
        </w:tblPrEx>
        <w:trPr>
          <w:divId w:val="1287590030"/>
        </w:trPr>
        <w:tc>
          <w:tcPr>
            <w:tcW w:w="0" w:type="auto"/>
            <w:hideMark/>
          </w:tcPr>
          <w:p w14:paraId="65EF3D44" w14:textId="77777777" w:rsidR="0089127B" w:rsidRDefault="0089127B" w:rsidP="006C49D2">
            <w:pPr>
              <w:ind w:left="567"/>
              <w:rPr>
                <w:rFonts w:eastAsia="Times New Roman"/>
                <w:sz w:val="24"/>
                <w:szCs w:val="24"/>
              </w:rPr>
            </w:pPr>
            <w:r>
              <w:rPr>
                <w:rFonts w:eastAsia="Times New Roman"/>
              </w:rPr>
              <w:t>Chronic lung disease (excluding asthma)</w:t>
            </w:r>
          </w:p>
        </w:tc>
        <w:tc>
          <w:tcPr>
            <w:tcW w:w="0" w:type="auto"/>
            <w:hideMark/>
          </w:tcPr>
          <w:p w14:paraId="260E386A" w14:textId="77777777" w:rsidR="0089127B" w:rsidRDefault="0089127B">
            <w:pPr>
              <w:rPr>
                <w:rFonts w:eastAsia="Times New Roman"/>
                <w:sz w:val="24"/>
                <w:szCs w:val="24"/>
              </w:rPr>
            </w:pPr>
            <w:r>
              <w:rPr>
                <w:rFonts w:eastAsia="Times New Roman"/>
              </w:rPr>
              <w:t>18 (11.4%)</w:t>
            </w:r>
          </w:p>
        </w:tc>
      </w:tr>
      <w:tr w:rsidR="0089127B" w14:paraId="565FFF29"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5E9E86E7" w14:textId="77777777" w:rsidR="0089127B" w:rsidRDefault="0089127B" w:rsidP="006C49D2">
            <w:pPr>
              <w:ind w:left="567"/>
              <w:rPr>
                <w:rFonts w:eastAsia="Times New Roman"/>
                <w:sz w:val="24"/>
                <w:szCs w:val="24"/>
              </w:rPr>
            </w:pPr>
            <w:r>
              <w:rPr>
                <w:rFonts w:eastAsia="Times New Roman"/>
              </w:rPr>
              <w:t>Renal or kidney disease requiring dialysis</w:t>
            </w:r>
          </w:p>
        </w:tc>
        <w:tc>
          <w:tcPr>
            <w:tcW w:w="0" w:type="auto"/>
            <w:hideMark/>
          </w:tcPr>
          <w:p w14:paraId="02AA3280" w14:textId="77777777" w:rsidR="0089127B" w:rsidRDefault="0089127B">
            <w:pPr>
              <w:rPr>
                <w:rFonts w:eastAsia="Times New Roman"/>
                <w:sz w:val="24"/>
                <w:szCs w:val="24"/>
              </w:rPr>
            </w:pPr>
            <w:r>
              <w:rPr>
                <w:rFonts w:eastAsia="Times New Roman"/>
              </w:rPr>
              <w:t>17 (10.8%)</w:t>
            </w:r>
          </w:p>
        </w:tc>
      </w:tr>
      <w:tr w:rsidR="0089127B" w14:paraId="75EFAD1B" w14:textId="77777777" w:rsidTr="001B7CC9">
        <w:tblPrEx>
          <w:tblCellMar>
            <w:top w:w="0" w:type="dxa"/>
            <w:left w:w="108" w:type="dxa"/>
            <w:bottom w:w="0" w:type="dxa"/>
            <w:right w:w="108" w:type="dxa"/>
          </w:tblCellMar>
        </w:tblPrEx>
        <w:trPr>
          <w:divId w:val="1287590030"/>
        </w:trPr>
        <w:tc>
          <w:tcPr>
            <w:tcW w:w="0" w:type="auto"/>
            <w:hideMark/>
          </w:tcPr>
          <w:p w14:paraId="3BCCBD9C" w14:textId="77777777" w:rsidR="0089127B" w:rsidRDefault="0089127B" w:rsidP="006C49D2">
            <w:pPr>
              <w:ind w:left="567"/>
              <w:rPr>
                <w:rFonts w:eastAsia="Times New Roman"/>
                <w:sz w:val="24"/>
                <w:szCs w:val="24"/>
              </w:rPr>
            </w:pPr>
            <w:r>
              <w:rPr>
                <w:rFonts w:eastAsia="Times New Roman"/>
              </w:rPr>
              <w:t>Other renal disease</w:t>
            </w:r>
          </w:p>
        </w:tc>
        <w:tc>
          <w:tcPr>
            <w:tcW w:w="0" w:type="auto"/>
            <w:hideMark/>
          </w:tcPr>
          <w:p w14:paraId="3892E1DD" w14:textId="77777777" w:rsidR="0089127B" w:rsidRDefault="0089127B">
            <w:pPr>
              <w:rPr>
                <w:rFonts w:eastAsia="Times New Roman"/>
                <w:sz w:val="24"/>
                <w:szCs w:val="24"/>
              </w:rPr>
            </w:pPr>
            <w:r>
              <w:rPr>
                <w:rFonts w:eastAsia="Times New Roman"/>
              </w:rPr>
              <w:t>14 (8.9%)</w:t>
            </w:r>
          </w:p>
        </w:tc>
      </w:tr>
      <w:tr w:rsidR="0089127B" w14:paraId="51DA1F66"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06D0CC23" w14:textId="77777777" w:rsidR="0089127B" w:rsidRDefault="0089127B" w:rsidP="006C49D2">
            <w:pPr>
              <w:ind w:left="567"/>
              <w:rPr>
                <w:rFonts w:eastAsia="Times New Roman"/>
                <w:sz w:val="24"/>
                <w:szCs w:val="24"/>
              </w:rPr>
            </w:pPr>
            <w:r>
              <w:rPr>
                <w:rFonts w:eastAsia="Times New Roman"/>
              </w:rPr>
              <w:t>Diabetes (non-insulin)</w:t>
            </w:r>
          </w:p>
        </w:tc>
        <w:tc>
          <w:tcPr>
            <w:tcW w:w="0" w:type="auto"/>
            <w:hideMark/>
          </w:tcPr>
          <w:p w14:paraId="133420C7" w14:textId="77777777" w:rsidR="0089127B" w:rsidRDefault="0089127B">
            <w:pPr>
              <w:rPr>
                <w:rFonts w:eastAsia="Times New Roman"/>
                <w:sz w:val="24"/>
                <w:szCs w:val="24"/>
              </w:rPr>
            </w:pPr>
            <w:r>
              <w:rPr>
                <w:rFonts w:eastAsia="Times New Roman"/>
              </w:rPr>
              <w:t>9 (5.7%)</w:t>
            </w:r>
          </w:p>
        </w:tc>
      </w:tr>
      <w:tr w:rsidR="0089127B" w14:paraId="21FA3F37" w14:textId="77777777" w:rsidTr="001B7CC9">
        <w:tblPrEx>
          <w:tblCellMar>
            <w:top w:w="0" w:type="dxa"/>
            <w:left w:w="108" w:type="dxa"/>
            <w:bottom w:w="0" w:type="dxa"/>
            <w:right w:w="108" w:type="dxa"/>
          </w:tblCellMar>
        </w:tblPrEx>
        <w:trPr>
          <w:divId w:val="1287590030"/>
        </w:trPr>
        <w:tc>
          <w:tcPr>
            <w:tcW w:w="0" w:type="auto"/>
            <w:hideMark/>
          </w:tcPr>
          <w:p w14:paraId="37F3733B" w14:textId="77777777" w:rsidR="0089127B" w:rsidRDefault="0089127B" w:rsidP="006C49D2">
            <w:pPr>
              <w:ind w:left="567"/>
              <w:rPr>
                <w:rFonts w:eastAsia="Times New Roman"/>
                <w:sz w:val="24"/>
                <w:szCs w:val="24"/>
              </w:rPr>
            </w:pPr>
            <w:r>
              <w:rPr>
                <w:rFonts w:eastAsia="Times New Roman"/>
              </w:rPr>
              <w:t>Organ transplant</w:t>
            </w:r>
          </w:p>
        </w:tc>
        <w:tc>
          <w:tcPr>
            <w:tcW w:w="0" w:type="auto"/>
            <w:hideMark/>
          </w:tcPr>
          <w:p w14:paraId="11987CD9" w14:textId="77777777" w:rsidR="0089127B" w:rsidRDefault="0089127B">
            <w:pPr>
              <w:rPr>
                <w:rFonts w:eastAsia="Times New Roman"/>
                <w:sz w:val="24"/>
                <w:szCs w:val="24"/>
              </w:rPr>
            </w:pPr>
            <w:r>
              <w:rPr>
                <w:rFonts w:eastAsia="Times New Roman"/>
              </w:rPr>
              <w:t>9 (5.7%)</w:t>
            </w:r>
          </w:p>
        </w:tc>
      </w:tr>
      <w:tr w:rsidR="0089127B" w14:paraId="2645FB5B"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1857E52B" w14:textId="77777777" w:rsidR="0089127B" w:rsidRDefault="0089127B">
            <w:pPr>
              <w:rPr>
                <w:rFonts w:eastAsia="Times New Roman"/>
                <w:sz w:val="24"/>
                <w:szCs w:val="24"/>
              </w:rPr>
            </w:pPr>
            <w:r>
              <w:rPr>
                <w:rFonts w:eastAsia="Times New Roman"/>
              </w:rPr>
              <w:t>Other condition</w:t>
            </w:r>
          </w:p>
        </w:tc>
        <w:tc>
          <w:tcPr>
            <w:tcW w:w="0" w:type="auto"/>
            <w:hideMark/>
          </w:tcPr>
          <w:p w14:paraId="7EFF6155" w14:textId="77777777" w:rsidR="0089127B" w:rsidRDefault="0089127B">
            <w:pPr>
              <w:rPr>
                <w:rFonts w:eastAsia="Times New Roman"/>
                <w:sz w:val="24"/>
                <w:szCs w:val="24"/>
              </w:rPr>
            </w:pPr>
            <w:r>
              <w:rPr>
                <w:rFonts w:eastAsia="Times New Roman"/>
              </w:rPr>
              <w:t>56 (35.4%)</w:t>
            </w:r>
          </w:p>
        </w:tc>
      </w:tr>
      <w:tr w:rsidR="005963A7" w:rsidRPr="005963A7" w14:paraId="144BD976" w14:textId="77777777" w:rsidTr="005963A7">
        <w:tblPrEx>
          <w:tblCellMar>
            <w:top w:w="0" w:type="dxa"/>
            <w:left w:w="108" w:type="dxa"/>
            <w:bottom w:w="0" w:type="dxa"/>
            <w:right w:w="108" w:type="dxa"/>
          </w:tblCellMar>
        </w:tblPrEx>
        <w:trPr>
          <w:divId w:val="1287590030"/>
        </w:trPr>
        <w:tc>
          <w:tcPr>
            <w:tcW w:w="0" w:type="auto"/>
            <w:shd w:val="clear" w:color="auto" w:fill="808080" w:themeFill="background1" w:themeFillShade="80"/>
            <w:hideMark/>
          </w:tcPr>
          <w:p w14:paraId="65C8A71A" w14:textId="77777777" w:rsidR="0089127B" w:rsidRPr="005963A7" w:rsidRDefault="0089127B">
            <w:pPr>
              <w:rPr>
                <w:rFonts w:eastAsia="Times New Roman"/>
                <w:b/>
                <w:color w:val="FFFFFF" w:themeColor="background1"/>
                <w:sz w:val="24"/>
                <w:szCs w:val="24"/>
              </w:rPr>
            </w:pPr>
            <w:r w:rsidRPr="005963A7">
              <w:rPr>
                <w:rFonts w:eastAsia="Times New Roman"/>
                <w:b/>
                <w:color w:val="FFFFFF" w:themeColor="background1"/>
              </w:rPr>
              <w:t>Medications or treatments</w:t>
            </w:r>
            <w:r w:rsidRPr="005963A7">
              <w:rPr>
                <w:rFonts w:eastAsia="Times New Roman"/>
                <w:b/>
                <w:color w:val="FFFFFF" w:themeColor="background1"/>
                <w:vertAlign w:val="superscript"/>
              </w:rPr>
              <w:t>*</w:t>
            </w:r>
          </w:p>
        </w:tc>
        <w:tc>
          <w:tcPr>
            <w:tcW w:w="0" w:type="auto"/>
            <w:shd w:val="clear" w:color="auto" w:fill="808080" w:themeFill="background1" w:themeFillShade="80"/>
            <w:hideMark/>
          </w:tcPr>
          <w:p w14:paraId="5DBF7080" w14:textId="77777777" w:rsidR="0089127B" w:rsidRPr="005963A7" w:rsidRDefault="0089127B">
            <w:pPr>
              <w:rPr>
                <w:rFonts w:eastAsia="Times New Roman"/>
                <w:b/>
                <w:color w:val="FFFFFF" w:themeColor="background1"/>
                <w:sz w:val="24"/>
                <w:szCs w:val="24"/>
              </w:rPr>
            </w:pPr>
            <w:r w:rsidRPr="005963A7">
              <w:rPr>
                <w:rFonts w:eastAsia="Times New Roman"/>
                <w:b/>
                <w:color w:val="FFFFFF" w:themeColor="background1"/>
              </w:rPr>
              <w:t> </w:t>
            </w:r>
          </w:p>
        </w:tc>
      </w:tr>
      <w:tr w:rsidR="0089127B" w14:paraId="192346ED"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3CE23A1E" w14:textId="77777777" w:rsidR="0089127B" w:rsidRDefault="0089127B">
            <w:pPr>
              <w:rPr>
                <w:rFonts w:eastAsia="Times New Roman"/>
                <w:sz w:val="24"/>
                <w:szCs w:val="24"/>
              </w:rPr>
            </w:pPr>
            <w:r>
              <w:rPr>
                <w:rFonts w:eastAsia="Times New Roman"/>
              </w:rPr>
              <w:t>≥1 medication or treatment known to suppress the immune response or increase the risk of infection</w:t>
            </w:r>
          </w:p>
        </w:tc>
        <w:tc>
          <w:tcPr>
            <w:tcW w:w="0" w:type="auto"/>
            <w:hideMark/>
          </w:tcPr>
          <w:p w14:paraId="4DDC57DB" w14:textId="77777777" w:rsidR="0089127B" w:rsidRDefault="0089127B">
            <w:pPr>
              <w:rPr>
                <w:rFonts w:eastAsia="Times New Roman"/>
                <w:sz w:val="24"/>
                <w:szCs w:val="24"/>
              </w:rPr>
            </w:pPr>
            <w:r>
              <w:rPr>
                <w:rFonts w:eastAsia="Times New Roman"/>
              </w:rPr>
              <w:t>102 (64.6%)</w:t>
            </w:r>
          </w:p>
        </w:tc>
      </w:tr>
      <w:tr w:rsidR="0089127B" w14:paraId="48057D03" w14:textId="77777777" w:rsidTr="001B7CC9">
        <w:tblPrEx>
          <w:tblCellMar>
            <w:top w:w="0" w:type="dxa"/>
            <w:left w:w="108" w:type="dxa"/>
            <w:bottom w:w="0" w:type="dxa"/>
            <w:right w:w="108" w:type="dxa"/>
          </w:tblCellMar>
        </w:tblPrEx>
        <w:trPr>
          <w:divId w:val="1287590030"/>
        </w:trPr>
        <w:tc>
          <w:tcPr>
            <w:tcW w:w="0" w:type="auto"/>
            <w:hideMark/>
          </w:tcPr>
          <w:p w14:paraId="7964A7D1" w14:textId="77777777" w:rsidR="0089127B" w:rsidRDefault="0089127B" w:rsidP="00450B20">
            <w:pPr>
              <w:ind w:left="284"/>
              <w:rPr>
                <w:rFonts w:eastAsia="Times New Roman"/>
                <w:sz w:val="24"/>
                <w:szCs w:val="24"/>
              </w:rPr>
            </w:pPr>
            <w:r>
              <w:rPr>
                <w:rFonts w:eastAsia="Times New Roman"/>
              </w:rPr>
              <w:t xml:space="preserve">≥1 </w:t>
            </w:r>
            <w:r w:rsidR="00450B20">
              <w:rPr>
                <w:rFonts w:eastAsia="Times New Roman"/>
              </w:rPr>
              <w:t>immunosuppressant</w:t>
            </w:r>
            <w:r>
              <w:rPr>
                <w:rFonts w:eastAsia="Times New Roman"/>
              </w:rPr>
              <w:t xml:space="preserve"> medication</w:t>
            </w:r>
          </w:p>
        </w:tc>
        <w:tc>
          <w:tcPr>
            <w:tcW w:w="0" w:type="auto"/>
            <w:hideMark/>
          </w:tcPr>
          <w:p w14:paraId="25870632" w14:textId="77777777" w:rsidR="0089127B" w:rsidRDefault="0089127B">
            <w:pPr>
              <w:rPr>
                <w:rFonts w:eastAsia="Times New Roman"/>
                <w:sz w:val="24"/>
                <w:szCs w:val="24"/>
              </w:rPr>
            </w:pPr>
            <w:r>
              <w:rPr>
                <w:rFonts w:eastAsia="Times New Roman"/>
              </w:rPr>
              <w:t>62 (39.2%)</w:t>
            </w:r>
          </w:p>
        </w:tc>
      </w:tr>
      <w:tr w:rsidR="0089127B" w14:paraId="0207094B"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1599B58F" w14:textId="77777777" w:rsidR="0089127B" w:rsidRDefault="0089127B" w:rsidP="00450B20">
            <w:pPr>
              <w:ind w:left="567"/>
              <w:rPr>
                <w:rFonts w:eastAsia="Times New Roman"/>
                <w:sz w:val="24"/>
                <w:szCs w:val="24"/>
              </w:rPr>
            </w:pPr>
            <w:r>
              <w:rPr>
                <w:rFonts w:eastAsia="Times New Roman"/>
              </w:rPr>
              <w:t xml:space="preserve">Systematic </w:t>
            </w:r>
            <w:r w:rsidR="00C527B8">
              <w:rPr>
                <w:rFonts w:eastAsia="Times New Roman"/>
              </w:rPr>
              <w:t>steroids</w:t>
            </w:r>
          </w:p>
        </w:tc>
        <w:tc>
          <w:tcPr>
            <w:tcW w:w="0" w:type="auto"/>
            <w:hideMark/>
          </w:tcPr>
          <w:p w14:paraId="44D6DDC8" w14:textId="77777777" w:rsidR="0089127B" w:rsidRDefault="0089127B">
            <w:pPr>
              <w:rPr>
                <w:rFonts w:eastAsia="Times New Roman"/>
                <w:sz w:val="24"/>
                <w:szCs w:val="24"/>
              </w:rPr>
            </w:pPr>
            <w:r>
              <w:rPr>
                <w:rFonts w:eastAsia="Times New Roman"/>
              </w:rPr>
              <w:t>50 (31.6%)</w:t>
            </w:r>
          </w:p>
        </w:tc>
      </w:tr>
      <w:tr w:rsidR="0089127B" w14:paraId="6A08F2CF" w14:textId="77777777" w:rsidTr="001B7CC9">
        <w:tblPrEx>
          <w:tblCellMar>
            <w:top w:w="0" w:type="dxa"/>
            <w:left w:w="108" w:type="dxa"/>
            <w:bottom w:w="0" w:type="dxa"/>
            <w:right w:w="108" w:type="dxa"/>
          </w:tblCellMar>
        </w:tblPrEx>
        <w:trPr>
          <w:divId w:val="1287590030"/>
        </w:trPr>
        <w:tc>
          <w:tcPr>
            <w:tcW w:w="0" w:type="auto"/>
            <w:hideMark/>
          </w:tcPr>
          <w:p w14:paraId="62FC283C" w14:textId="77777777" w:rsidR="0089127B" w:rsidRDefault="0089127B" w:rsidP="00450B20">
            <w:pPr>
              <w:ind w:left="567"/>
              <w:rPr>
                <w:rFonts w:eastAsia="Times New Roman"/>
                <w:sz w:val="24"/>
                <w:szCs w:val="24"/>
              </w:rPr>
            </w:pPr>
            <w:r>
              <w:rPr>
                <w:rFonts w:eastAsia="Times New Roman"/>
              </w:rPr>
              <w:t>Cyclosporine or other drugs affecting the immune system</w:t>
            </w:r>
          </w:p>
        </w:tc>
        <w:tc>
          <w:tcPr>
            <w:tcW w:w="0" w:type="auto"/>
            <w:hideMark/>
          </w:tcPr>
          <w:p w14:paraId="7EA06328" w14:textId="77777777" w:rsidR="0089127B" w:rsidRDefault="0089127B">
            <w:pPr>
              <w:rPr>
                <w:rFonts w:eastAsia="Times New Roman"/>
                <w:sz w:val="24"/>
                <w:szCs w:val="24"/>
              </w:rPr>
            </w:pPr>
            <w:r>
              <w:rPr>
                <w:rFonts w:eastAsia="Times New Roman"/>
              </w:rPr>
              <w:t>21 (13.3%)</w:t>
            </w:r>
          </w:p>
        </w:tc>
      </w:tr>
      <w:tr w:rsidR="0089127B" w14:paraId="41A8B084"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7457E402" w14:textId="77777777" w:rsidR="0089127B" w:rsidRDefault="0089127B" w:rsidP="00450B20">
            <w:pPr>
              <w:ind w:left="567"/>
              <w:rPr>
                <w:rFonts w:eastAsia="Times New Roman"/>
                <w:sz w:val="24"/>
                <w:szCs w:val="24"/>
              </w:rPr>
            </w:pPr>
            <w:r>
              <w:rPr>
                <w:rFonts w:eastAsia="Times New Roman"/>
              </w:rPr>
              <w:lastRenderedPageBreak/>
              <w:t>Cancer drugs (radiotherapy or chemotherapy)</w:t>
            </w:r>
          </w:p>
        </w:tc>
        <w:tc>
          <w:tcPr>
            <w:tcW w:w="0" w:type="auto"/>
            <w:hideMark/>
          </w:tcPr>
          <w:p w14:paraId="6AD327BF" w14:textId="77777777" w:rsidR="0089127B" w:rsidRDefault="0089127B">
            <w:pPr>
              <w:rPr>
                <w:rFonts w:eastAsia="Times New Roman"/>
                <w:sz w:val="24"/>
                <w:szCs w:val="24"/>
              </w:rPr>
            </w:pPr>
            <w:r>
              <w:rPr>
                <w:rFonts w:eastAsia="Times New Roman"/>
              </w:rPr>
              <w:t>22 (13.9%)</w:t>
            </w:r>
          </w:p>
        </w:tc>
      </w:tr>
      <w:tr w:rsidR="0089127B" w14:paraId="7DBD8C06" w14:textId="77777777" w:rsidTr="001B7CC9">
        <w:tblPrEx>
          <w:tblCellMar>
            <w:top w:w="0" w:type="dxa"/>
            <w:left w:w="108" w:type="dxa"/>
            <w:bottom w:w="0" w:type="dxa"/>
            <w:right w:w="108" w:type="dxa"/>
          </w:tblCellMar>
        </w:tblPrEx>
        <w:trPr>
          <w:divId w:val="1287590030"/>
        </w:trPr>
        <w:tc>
          <w:tcPr>
            <w:tcW w:w="0" w:type="auto"/>
            <w:hideMark/>
          </w:tcPr>
          <w:p w14:paraId="7F88819B" w14:textId="77777777" w:rsidR="0089127B" w:rsidRDefault="0089127B" w:rsidP="00450B20">
            <w:pPr>
              <w:ind w:left="567"/>
              <w:rPr>
                <w:rFonts w:eastAsia="Times New Roman"/>
                <w:sz w:val="24"/>
                <w:szCs w:val="24"/>
              </w:rPr>
            </w:pPr>
            <w:r>
              <w:rPr>
                <w:rFonts w:eastAsia="Times New Roman"/>
              </w:rPr>
              <w:t xml:space="preserve">Antibiotics, </w:t>
            </w:r>
            <w:proofErr w:type="spellStart"/>
            <w:r>
              <w:rPr>
                <w:rFonts w:eastAsia="Times New Roman"/>
              </w:rPr>
              <w:t>antidiarrhoeals</w:t>
            </w:r>
            <w:proofErr w:type="spellEnd"/>
            <w:r>
              <w:rPr>
                <w:rFonts w:eastAsia="Times New Roman"/>
              </w:rPr>
              <w:t>, antacids or other medication which reduces stomach acid</w:t>
            </w:r>
          </w:p>
        </w:tc>
        <w:tc>
          <w:tcPr>
            <w:tcW w:w="0" w:type="auto"/>
            <w:hideMark/>
          </w:tcPr>
          <w:p w14:paraId="32E1065A" w14:textId="77777777" w:rsidR="0089127B" w:rsidRDefault="0089127B">
            <w:pPr>
              <w:rPr>
                <w:rFonts w:eastAsia="Times New Roman"/>
                <w:sz w:val="24"/>
                <w:szCs w:val="24"/>
              </w:rPr>
            </w:pPr>
            <w:r>
              <w:rPr>
                <w:rFonts w:eastAsia="Times New Roman"/>
              </w:rPr>
              <w:t>79 (50.0%)</w:t>
            </w:r>
          </w:p>
        </w:tc>
      </w:tr>
      <w:tr w:rsidR="0089127B" w14:paraId="4D2BEE5E"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6BB1C082" w14:textId="77777777" w:rsidR="0089127B" w:rsidRDefault="0089127B" w:rsidP="00450B20">
            <w:pPr>
              <w:rPr>
                <w:rFonts w:eastAsia="Times New Roman"/>
                <w:sz w:val="24"/>
                <w:szCs w:val="24"/>
              </w:rPr>
            </w:pPr>
            <w:proofErr w:type="spellStart"/>
            <w:r>
              <w:rPr>
                <w:rFonts w:eastAsia="Times New Roman"/>
              </w:rPr>
              <w:t>Antidiarrhoeal</w:t>
            </w:r>
            <w:proofErr w:type="spellEnd"/>
            <w:r>
              <w:rPr>
                <w:rFonts w:eastAsia="Times New Roman"/>
              </w:rPr>
              <w:t xml:space="preserve"> medication</w:t>
            </w:r>
          </w:p>
        </w:tc>
        <w:tc>
          <w:tcPr>
            <w:tcW w:w="0" w:type="auto"/>
            <w:hideMark/>
          </w:tcPr>
          <w:p w14:paraId="1D331EA9" w14:textId="77777777" w:rsidR="0089127B" w:rsidRDefault="0089127B">
            <w:pPr>
              <w:rPr>
                <w:rFonts w:eastAsia="Times New Roman"/>
                <w:sz w:val="24"/>
                <w:szCs w:val="24"/>
              </w:rPr>
            </w:pPr>
            <w:r>
              <w:rPr>
                <w:rFonts w:eastAsia="Times New Roman"/>
              </w:rPr>
              <w:t>9 (5.7%)</w:t>
            </w:r>
          </w:p>
        </w:tc>
      </w:tr>
      <w:tr w:rsidR="0089127B" w14:paraId="1ADA5803" w14:textId="77777777" w:rsidTr="001B7CC9">
        <w:tblPrEx>
          <w:tblCellMar>
            <w:top w:w="0" w:type="dxa"/>
            <w:left w:w="108" w:type="dxa"/>
            <w:bottom w:w="0" w:type="dxa"/>
            <w:right w:w="108" w:type="dxa"/>
          </w:tblCellMar>
        </w:tblPrEx>
        <w:trPr>
          <w:divId w:val="1287590030"/>
        </w:trPr>
        <w:tc>
          <w:tcPr>
            <w:tcW w:w="0" w:type="auto"/>
            <w:hideMark/>
          </w:tcPr>
          <w:p w14:paraId="29647619" w14:textId="77777777" w:rsidR="0089127B" w:rsidRDefault="0089127B" w:rsidP="00450B20">
            <w:pPr>
              <w:ind w:left="284"/>
              <w:rPr>
                <w:rFonts w:eastAsia="Times New Roman"/>
                <w:sz w:val="24"/>
                <w:szCs w:val="24"/>
              </w:rPr>
            </w:pPr>
            <w:r>
              <w:rPr>
                <w:rFonts w:eastAsia="Times New Roman"/>
              </w:rPr>
              <w:t>Antacids</w:t>
            </w:r>
          </w:p>
        </w:tc>
        <w:tc>
          <w:tcPr>
            <w:tcW w:w="0" w:type="auto"/>
            <w:hideMark/>
          </w:tcPr>
          <w:p w14:paraId="0E1370C8" w14:textId="77777777" w:rsidR="0089127B" w:rsidRDefault="0089127B">
            <w:pPr>
              <w:rPr>
                <w:rFonts w:eastAsia="Times New Roman"/>
                <w:sz w:val="24"/>
                <w:szCs w:val="24"/>
              </w:rPr>
            </w:pPr>
            <w:r>
              <w:rPr>
                <w:rFonts w:eastAsia="Times New Roman"/>
              </w:rPr>
              <w:t>27 (17.1%)</w:t>
            </w:r>
          </w:p>
        </w:tc>
      </w:tr>
      <w:tr w:rsidR="0089127B" w14:paraId="470C5D1D" w14:textId="77777777" w:rsidTr="001B7C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hideMark/>
          </w:tcPr>
          <w:p w14:paraId="456F3D23" w14:textId="77777777" w:rsidR="0089127B" w:rsidRDefault="0089127B" w:rsidP="00450B20">
            <w:pPr>
              <w:ind w:left="284"/>
              <w:rPr>
                <w:rFonts w:eastAsia="Times New Roman"/>
                <w:sz w:val="24"/>
                <w:szCs w:val="24"/>
              </w:rPr>
            </w:pPr>
            <w:r>
              <w:rPr>
                <w:rFonts w:eastAsia="Times New Roman"/>
              </w:rPr>
              <w:t>Medications that reduce stomach acid</w:t>
            </w:r>
          </w:p>
        </w:tc>
        <w:tc>
          <w:tcPr>
            <w:tcW w:w="0" w:type="auto"/>
            <w:hideMark/>
          </w:tcPr>
          <w:p w14:paraId="57893D95" w14:textId="77777777" w:rsidR="0089127B" w:rsidRDefault="0089127B">
            <w:pPr>
              <w:rPr>
                <w:rFonts w:eastAsia="Times New Roman"/>
                <w:sz w:val="24"/>
                <w:szCs w:val="24"/>
              </w:rPr>
            </w:pPr>
            <w:r>
              <w:rPr>
                <w:rFonts w:eastAsia="Times New Roman"/>
              </w:rPr>
              <w:t>45 (28.5%)</w:t>
            </w:r>
          </w:p>
        </w:tc>
      </w:tr>
      <w:tr w:rsidR="0089127B" w14:paraId="3A365F12" w14:textId="77777777" w:rsidTr="001B7CC9">
        <w:tblPrEx>
          <w:tblCellMar>
            <w:top w:w="0" w:type="dxa"/>
            <w:left w:w="108" w:type="dxa"/>
            <w:bottom w:w="0" w:type="dxa"/>
            <w:right w:w="108" w:type="dxa"/>
          </w:tblCellMar>
        </w:tblPrEx>
        <w:trPr>
          <w:divId w:val="1287590030"/>
        </w:trPr>
        <w:tc>
          <w:tcPr>
            <w:tcW w:w="0" w:type="auto"/>
            <w:hideMark/>
          </w:tcPr>
          <w:p w14:paraId="405CEF29" w14:textId="77777777" w:rsidR="0089127B" w:rsidRDefault="0089127B" w:rsidP="00450B20">
            <w:pPr>
              <w:ind w:left="284"/>
              <w:rPr>
                <w:rFonts w:eastAsia="Times New Roman"/>
                <w:sz w:val="24"/>
                <w:szCs w:val="24"/>
              </w:rPr>
            </w:pPr>
            <w:r>
              <w:rPr>
                <w:rFonts w:eastAsia="Times New Roman"/>
              </w:rPr>
              <w:t>Antibiotics</w:t>
            </w:r>
          </w:p>
        </w:tc>
        <w:tc>
          <w:tcPr>
            <w:tcW w:w="0" w:type="auto"/>
            <w:hideMark/>
          </w:tcPr>
          <w:p w14:paraId="484FD8A0" w14:textId="77777777" w:rsidR="0089127B" w:rsidRDefault="0089127B">
            <w:pPr>
              <w:rPr>
                <w:rFonts w:eastAsia="Times New Roman"/>
                <w:sz w:val="24"/>
                <w:szCs w:val="24"/>
              </w:rPr>
            </w:pPr>
            <w:r>
              <w:rPr>
                <w:rFonts w:eastAsia="Times New Roman"/>
              </w:rPr>
              <w:t>42 (41.2%)</w:t>
            </w:r>
          </w:p>
        </w:tc>
      </w:tr>
      <w:tr w:rsidR="0089127B" w14:paraId="78F806EC" w14:textId="77777777" w:rsidTr="00DF27A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gridSpan w:val="2"/>
            <w:shd w:val="clear" w:color="auto" w:fill="auto"/>
            <w:hideMark/>
          </w:tcPr>
          <w:p w14:paraId="52EA136C" w14:textId="77777777" w:rsidR="0089127B" w:rsidRPr="00DF27A5" w:rsidRDefault="0089127B" w:rsidP="00DF27A5">
            <w:pPr>
              <w:pStyle w:val="CDIfootnotes"/>
            </w:pPr>
            <w:r w:rsidRPr="00DF27A5">
              <w:t xml:space="preserve">* </w:t>
            </w:r>
            <w:proofErr w:type="gramStart"/>
            <w:r w:rsidRPr="00DF27A5">
              <w:t>percentage</w:t>
            </w:r>
            <w:proofErr w:type="gramEnd"/>
            <w:r w:rsidRPr="00DF27A5">
              <w:t xml:space="preserve"> of all notifications </w:t>
            </w:r>
          </w:p>
        </w:tc>
      </w:tr>
    </w:tbl>
    <w:p w14:paraId="5E2E9321" w14:textId="77777777" w:rsidR="00A348DA" w:rsidRPr="0059197E" w:rsidRDefault="0089127B" w:rsidP="0059197E">
      <w:pPr>
        <w:pStyle w:val="NormalWeb"/>
        <w:divId w:val="1287590030"/>
        <w:rPr>
          <w:rStyle w:val="Strong"/>
          <w:b w:val="0"/>
          <w:bCs w:val="0"/>
        </w:rPr>
      </w:pPr>
      <w:r>
        <w:t xml:space="preserve">Underlying conditions known to suppress the immune response or increase the risk of infection included cancer (31.0% of all notifications), heart disease (30.4%), rheumatological conditions (19.0%), blood disorders (18.4%), and liver disease (17.7%) (Table 2). Treatments or medication known to suppress the immune response or increase the risk of listeriosis in the 4 weeks prior to notification included </w:t>
      </w:r>
      <w:proofErr w:type="spellStart"/>
      <w:r>
        <w:t>antidiarrhoeal</w:t>
      </w:r>
      <w:proofErr w:type="spellEnd"/>
      <w:r>
        <w:t xml:space="preserve">, antacids and antibiotics (taken by 50.0% of all notifications) and systemic steroids (31.7%). At lower rates, cancer drugs and immunosuppressants were taken by 13.9% and 13.3% of notifications, respectively (Table 2). </w:t>
      </w:r>
    </w:p>
    <w:p w14:paraId="3BCF3B85" w14:textId="77777777" w:rsidR="0089127B" w:rsidRPr="009937C4" w:rsidRDefault="0089127B" w:rsidP="009937C4">
      <w:pPr>
        <w:pStyle w:val="CDIFigures"/>
        <w:divId w:val="1287590030"/>
      </w:pPr>
      <w:r w:rsidRPr="009937C4">
        <w:rPr>
          <w:rStyle w:val="Strong"/>
          <w:b/>
          <w:bCs w:val="0"/>
        </w:rPr>
        <w:t>Figure. Number of listeriosis notifications in NSW between 1 January 2010 to 31 December 2015, by quarter and year of illness onset</w:t>
      </w:r>
    </w:p>
    <w:p w14:paraId="182B31B0" w14:textId="77777777" w:rsidR="0089127B" w:rsidRDefault="0089127B">
      <w:pPr>
        <w:pStyle w:val="NormalWeb"/>
        <w:divId w:val="1287590030"/>
      </w:pPr>
      <w:r>
        <w:rPr>
          <w:noProof/>
        </w:rPr>
        <w:drawing>
          <wp:inline distT="0" distB="0" distL="0" distR="0" wp14:anchorId="05110619" wp14:editId="6188869D">
            <wp:extent cx="6504167" cy="3828649"/>
            <wp:effectExtent l="0" t="0" r="0" b="635"/>
            <wp:docPr id="1" name="Picture 1" descr="Figure is a bar graph showing the number of listeria notifications by year (2010-2015) and quarter in NSW.&#10;• Listeriosis notifications range between 3 and 16 for each quarter &#10;• Quarter 1 in 2010 and 2013 show the highest number of listeriosis notifications with 16 and 13 notifications, respectively. &#10;• All quarters between 2010 and 2015 report listeriosis notifications expect for quarter 3 in 2010. &#10;• There is no apparent trend in notifications over time. &#10;" title="Figure. Number of listeriosis notifications in NSW between 1 January 2010 to 31 December 2015, by quarter and year of illness o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is a bar graph showing the number of listeria notifications by year (2010-2015) and quarter in NSW.&#10;• Listeriosis notifications range between 3 and 16 for each quarter &#10;• Quarter 1 in 2010 and 2013 show the highest number of listeriosis notifications with 16 and 13 notifications, respectively. &#10;• All quarters between 2010 and 2015 report listeriosis notifications expect for quarter 3 in 2010. &#10;• There is no apparent trend in notifications over time. &#10;"/>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541258" cy="3850483"/>
                    </a:xfrm>
                    <a:prstGeom prst="rect">
                      <a:avLst/>
                    </a:prstGeom>
                    <a:noFill/>
                    <a:ln>
                      <a:noFill/>
                    </a:ln>
                  </pic:spPr>
                </pic:pic>
              </a:graphicData>
            </a:graphic>
          </wp:inline>
        </w:drawing>
      </w:r>
    </w:p>
    <w:p w14:paraId="4C1DF4A5" w14:textId="77777777" w:rsidR="0059197E" w:rsidRDefault="0089127B">
      <w:pPr>
        <w:pStyle w:val="NormalWeb"/>
        <w:divId w:val="1287590030"/>
      </w:pPr>
      <w:r>
        <w:t>Consumption of high risk foods was frequently reported in the 4 weeks prior to infection; consumption of deli meats, cold seafood, and soft cheeses were reported by 69.6%, 60.8% and 47.5% of respondents, respectively (Table 3). Similar levels of exposure were reported when controlling for having at least one co-existing condition (72.0%, 62.4% and 48.8% respectively), and being on at least one treatment (73.3%, 62.7% and 50.0% respectively).</w:t>
      </w:r>
    </w:p>
    <w:p w14:paraId="343F3143" w14:textId="77777777" w:rsidR="0059197E" w:rsidRDefault="0059197E">
      <w:r>
        <w:br w:type="page"/>
      </w:r>
    </w:p>
    <w:p w14:paraId="7751B094" w14:textId="77777777" w:rsidR="0089127B" w:rsidRPr="009937C4" w:rsidRDefault="0089127B" w:rsidP="009937C4">
      <w:pPr>
        <w:pStyle w:val="CDIFigures"/>
        <w:divId w:val="1287590030"/>
      </w:pPr>
      <w:r w:rsidRPr="009937C4">
        <w:rPr>
          <w:rStyle w:val="Strong"/>
          <w:b/>
          <w:bCs w:val="0"/>
        </w:rPr>
        <w:lastRenderedPageBreak/>
        <w:t>Table 3. Consumption of high risk foods among listeriosis notifications in NSW between 1 January 2010 to 31</w:t>
      </w:r>
      <w:r w:rsidR="00DE05C0">
        <w:rPr>
          <w:rStyle w:val="Strong"/>
          <w:b/>
          <w:bCs w:val="0"/>
        </w:rPr>
        <w:t> </w:t>
      </w:r>
      <w:r w:rsidRPr="009937C4">
        <w:rPr>
          <w:rStyle w:val="Strong"/>
          <w:b/>
          <w:bCs w:val="0"/>
        </w:rPr>
        <w:t xml:space="preserve">December 2015 </w:t>
      </w:r>
    </w:p>
    <w:tbl>
      <w:tblPr>
        <w:tblStyle w:val="CDI-StandardTable"/>
        <w:tblW w:w="0" w:type="auto"/>
        <w:tblLook w:val="04A0" w:firstRow="1" w:lastRow="0" w:firstColumn="1" w:lastColumn="0" w:noHBand="0" w:noVBand="1"/>
        <w:tblCaption w:val="Table 3. Consumption of high risk foods among listeriosis notifications in NSW between 1 January 2010 to 31 December 2015 "/>
        <w:tblDescription w:val="Table 3 presents data on the consumption of high risk foods among listeriosis notifications in the four weeks prior to illness between 01 January 2010 to 31 December 2015 in NSW. "/>
      </w:tblPr>
      <w:tblGrid>
        <w:gridCol w:w="4043"/>
        <w:gridCol w:w="551"/>
        <w:gridCol w:w="875"/>
        <w:gridCol w:w="955"/>
        <w:gridCol w:w="1518"/>
        <w:gridCol w:w="1068"/>
        <w:gridCol w:w="1696"/>
      </w:tblGrid>
      <w:tr w:rsidR="0089127B" w14:paraId="13BEDF9F" w14:textId="77777777" w:rsidTr="000F0E46">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vMerge w:val="restart"/>
            <w:tcBorders>
              <w:right w:val="single" w:sz="4" w:space="0" w:color="FFFFFF" w:themeColor="background1"/>
            </w:tcBorders>
            <w:vAlign w:val="center"/>
            <w:hideMark/>
          </w:tcPr>
          <w:p w14:paraId="13F0046C" w14:textId="77777777" w:rsidR="0089127B" w:rsidRPr="00A348DA" w:rsidRDefault="0089127B" w:rsidP="0026761B">
            <w:pPr>
              <w:jc w:val="center"/>
              <w:rPr>
                <w:rFonts w:eastAsia="Times New Roman"/>
                <w:color w:val="FFFFFF" w:themeColor="background1"/>
                <w:sz w:val="24"/>
                <w:szCs w:val="24"/>
              </w:rPr>
            </w:pPr>
            <w:r w:rsidRPr="00A348DA">
              <w:rPr>
                <w:rFonts w:eastAsia="Times New Roman"/>
                <w:color w:val="FFFFFF" w:themeColor="background1"/>
              </w:rPr>
              <w:t>Consumption in the 4 weeks prior to illness</w:t>
            </w:r>
          </w:p>
        </w:tc>
        <w:tc>
          <w:tcPr>
            <w:tcW w:w="0" w:type="auto"/>
            <w:gridSpan w:val="6"/>
            <w:tcBorders>
              <w:left w:val="single" w:sz="4" w:space="0" w:color="FFFFFF" w:themeColor="background1"/>
            </w:tcBorders>
            <w:hideMark/>
          </w:tcPr>
          <w:p w14:paraId="79E65103" w14:textId="77777777" w:rsidR="0089127B" w:rsidRPr="00A348DA" w:rsidRDefault="0089127B" w:rsidP="0026761B">
            <w:pPr>
              <w:jc w:val="center"/>
              <w:rPr>
                <w:rFonts w:eastAsia="Times New Roman"/>
                <w:color w:val="FFFFFF" w:themeColor="background1"/>
                <w:sz w:val="24"/>
                <w:szCs w:val="24"/>
              </w:rPr>
            </w:pPr>
            <w:r w:rsidRPr="00A348DA">
              <w:rPr>
                <w:rFonts w:eastAsia="Times New Roman"/>
                <w:color w:val="FFFFFF" w:themeColor="background1"/>
              </w:rPr>
              <w:t>Notifications</w:t>
            </w:r>
          </w:p>
        </w:tc>
      </w:tr>
      <w:tr w:rsidR="0089127B" w14:paraId="516C0304" w14:textId="77777777" w:rsidTr="000F0E46">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vMerge/>
            <w:tcBorders>
              <w:right w:val="single" w:sz="4" w:space="0" w:color="FFFFFF" w:themeColor="background1"/>
            </w:tcBorders>
            <w:hideMark/>
          </w:tcPr>
          <w:p w14:paraId="1C95903C" w14:textId="77777777" w:rsidR="0089127B" w:rsidRPr="00A348DA" w:rsidRDefault="0089127B">
            <w:pPr>
              <w:rPr>
                <w:rFonts w:eastAsia="Times New Roman"/>
                <w:color w:val="FFFFFF" w:themeColor="background1"/>
                <w:sz w:val="24"/>
                <w:szCs w:val="24"/>
              </w:rPr>
            </w:pPr>
          </w:p>
        </w:tc>
        <w:tc>
          <w:tcPr>
            <w:tcW w:w="0" w:type="auto"/>
            <w:gridSpan w:val="2"/>
            <w:tcBorders>
              <w:left w:val="single" w:sz="4" w:space="0" w:color="FFFFFF" w:themeColor="background1"/>
              <w:right w:val="single" w:sz="4" w:space="0" w:color="FFFFFF" w:themeColor="background1"/>
            </w:tcBorders>
            <w:hideMark/>
          </w:tcPr>
          <w:p w14:paraId="30CB0D7D" w14:textId="77777777" w:rsidR="0089127B" w:rsidRPr="00A348DA" w:rsidRDefault="0089127B" w:rsidP="0026761B">
            <w:pPr>
              <w:jc w:val="center"/>
              <w:rPr>
                <w:rFonts w:eastAsia="Times New Roman"/>
                <w:color w:val="FFFFFF" w:themeColor="background1"/>
                <w:sz w:val="24"/>
                <w:szCs w:val="24"/>
              </w:rPr>
            </w:pPr>
            <w:r w:rsidRPr="00A348DA">
              <w:rPr>
                <w:rFonts w:eastAsia="Times New Roman"/>
                <w:color w:val="FFFFFF" w:themeColor="background1"/>
              </w:rPr>
              <w:t>All</w:t>
            </w:r>
          </w:p>
        </w:tc>
        <w:tc>
          <w:tcPr>
            <w:tcW w:w="0" w:type="auto"/>
            <w:gridSpan w:val="2"/>
            <w:tcBorders>
              <w:left w:val="single" w:sz="4" w:space="0" w:color="FFFFFF" w:themeColor="background1"/>
              <w:right w:val="single" w:sz="4" w:space="0" w:color="FFFFFF" w:themeColor="background1"/>
            </w:tcBorders>
            <w:hideMark/>
          </w:tcPr>
          <w:p w14:paraId="78D13705" w14:textId="77777777" w:rsidR="0089127B" w:rsidRPr="00A348DA" w:rsidRDefault="0089127B">
            <w:pPr>
              <w:rPr>
                <w:rFonts w:eastAsia="Times New Roman"/>
                <w:color w:val="FFFFFF" w:themeColor="background1"/>
                <w:sz w:val="24"/>
                <w:szCs w:val="24"/>
              </w:rPr>
            </w:pPr>
            <w:r w:rsidRPr="00A348DA">
              <w:rPr>
                <w:rFonts w:eastAsia="Times New Roman"/>
                <w:color w:val="FFFFFF" w:themeColor="background1"/>
              </w:rPr>
              <w:t>≥ 1 co-existing condition</w:t>
            </w:r>
            <w:r w:rsidRPr="00A348DA">
              <w:rPr>
                <w:rFonts w:eastAsia="Times New Roman"/>
                <w:color w:val="FFFFFF" w:themeColor="background1"/>
                <w:vertAlign w:val="superscript"/>
              </w:rPr>
              <w:t>*</w:t>
            </w:r>
          </w:p>
        </w:tc>
        <w:tc>
          <w:tcPr>
            <w:tcW w:w="0" w:type="auto"/>
            <w:gridSpan w:val="2"/>
            <w:tcBorders>
              <w:left w:val="single" w:sz="4" w:space="0" w:color="FFFFFF" w:themeColor="background1"/>
            </w:tcBorders>
            <w:hideMark/>
          </w:tcPr>
          <w:p w14:paraId="0D38A704" w14:textId="77777777" w:rsidR="0089127B" w:rsidRPr="00A348DA" w:rsidRDefault="0089127B">
            <w:pPr>
              <w:rPr>
                <w:rFonts w:eastAsia="Times New Roman"/>
                <w:color w:val="FFFFFF" w:themeColor="background1"/>
                <w:sz w:val="24"/>
                <w:szCs w:val="24"/>
              </w:rPr>
            </w:pPr>
            <w:r w:rsidRPr="00A348DA">
              <w:rPr>
                <w:rFonts w:eastAsia="Times New Roman"/>
                <w:color w:val="FFFFFF" w:themeColor="background1"/>
              </w:rPr>
              <w:t>≥1 medication or treatment</w:t>
            </w:r>
            <w:r w:rsidRPr="00A348DA">
              <w:rPr>
                <w:rFonts w:eastAsia="Times New Roman"/>
                <w:color w:val="FFFFFF" w:themeColor="background1"/>
                <w:vertAlign w:val="superscript"/>
              </w:rPr>
              <w:t>*</w:t>
            </w:r>
          </w:p>
        </w:tc>
      </w:tr>
      <w:tr w:rsidR="00A348DA" w14:paraId="55955B2E" w14:textId="77777777" w:rsidTr="000F0E46">
        <w:tblPrEx>
          <w:tblCellMar>
            <w:top w:w="0" w:type="dxa"/>
            <w:left w:w="108" w:type="dxa"/>
            <w:bottom w:w="0" w:type="dxa"/>
            <w:right w:w="108" w:type="dxa"/>
          </w:tblCellMar>
        </w:tblPrEx>
        <w:trPr>
          <w:divId w:val="1287590030"/>
        </w:trPr>
        <w:tc>
          <w:tcPr>
            <w:tcW w:w="0" w:type="auto"/>
            <w:tcBorders>
              <w:right w:val="single" w:sz="4" w:space="0" w:color="auto"/>
            </w:tcBorders>
            <w:hideMark/>
          </w:tcPr>
          <w:p w14:paraId="37BCA3FE" w14:textId="77777777" w:rsidR="0089127B" w:rsidRDefault="0089127B">
            <w:pPr>
              <w:rPr>
                <w:rFonts w:eastAsia="Times New Roman"/>
                <w:sz w:val="24"/>
                <w:szCs w:val="24"/>
              </w:rPr>
            </w:pPr>
            <w:r>
              <w:rPr>
                <w:rFonts w:eastAsia="Times New Roman"/>
              </w:rPr>
              <w:t> </w:t>
            </w:r>
          </w:p>
        </w:tc>
        <w:tc>
          <w:tcPr>
            <w:tcW w:w="0" w:type="auto"/>
            <w:tcBorders>
              <w:left w:val="single" w:sz="4" w:space="0" w:color="auto"/>
              <w:right w:val="single" w:sz="4" w:space="0" w:color="0D0D0D" w:themeColor="text1" w:themeTint="F2"/>
            </w:tcBorders>
            <w:hideMark/>
          </w:tcPr>
          <w:p w14:paraId="5AEC248F" w14:textId="77777777" w:rsidR="0089127B" w:rsidRDefault="0089127B" w:rsidP="0026761B">
            <w:pPr>
              <w:jc w:val="center"/>
              <w:rPr>
                <w:rFonts w:eastAsia="Times New Roman"/>
                <w:sz w:val="24"/>
                <w:szCs w:val="24"/>
              </w:rPr>
            </w:pPr>
            <w:r>
              <w:rPr>
                <w:rFonts w:eastAsia="Times New Roman"/>
              </w:rPr>
              <w:t>n</w:t>
            </w:r>
          </w:p>
        </w:tc>
        <w:tc>
          <w:tcPr>
            <w:tcW w:w="0" w:type="auto"/>
            <w:tcBorders>
              <w:left w:val="single" w:sz="4" w:space="0" w:color="0D0D0D" w:themeColor="text1" w:themeTint="F2"/>
              <w:right w:val="single" w:sz="4" w:space="0" w:color="0D0D0D" w:themeColor="text1" w:themeTint="F2"/>
            </w:tcBorders>
            <w:hideMark/>
          </w:tcPr>
          <w:p w14:paraId="30436142" w14:textId="77777777" w:rsidR="0089127B" w:rsidRDefault="0089127B" w:rsidP="0026761B">
            <w:pPr>
              <w:jc w:val="center"/>
              <w:rPr>
                <w:rFonts w:eastAsia="Times New Roman"/>
                <w:sz w:val="24"/>
                <w:szCs w:val="24"/>
              </w:rPr>
            </w:pPr>
            <w:r>
              <w:rPr>
                <w:rFonts w:eastAsia="Times New Roman"/>
              </w:rPr>
              <w:t>%</w:t>
            </w:r>
          </w:p>
        </w:tc>
        <w:tc>
          <w:tcPr>
            <w:tcW w:w="0" w:type="auto"/>
            <w:tcBorders>
              <w:left w:val="single" w:sz="4" w:space="0" w:color="0D0D0D" w:themeColor="text1" w:themeTint="F2"/>
              <w:right w:val="single" w:sz="4" w:space="0" w:color="0D0D0D" w:themeColor="text1" w:themeTint="F2"/>
            </w:tcBorders>
            <w:hideMark/>
          </w:tcPr>
          <w:p w14:paraId="23F6FC9E" w14:textId="77777777" w:rsidR="0089127B" w:rsidRDefault="0089127B" w:rsidP="0026761B">
            <w:pPr>
              <w:jc w:val="center"/>
              <w:rPr>
                <w:rFonts w:eastAsia="Times New Roman"/>
                <w:sz w:val="24"/>
                <w:szCs w:val="24"/>
              </w:rPr>
            </w:pPr>
            <w:r>
              <w:rPr>
                <w:rFonts w:eastAsia="Times New Roman"/>
              </w:rPr>
              <w:t>n</w:t>
            </w:r>
          </w:p>
        </w:tc>
        <w:tc>
          <w:tcPr>
            <w:tcW w:w="0" w:type="auto"/>
            <w:tcBorders>
              <w:left w:val="single" w:sz="4" w:space="0" w:color="0D0D0D" w:themeColor="text1" w:themeTint="F2"/>
              <w:right w:val="single" w:sz="4" w:space="0" w:color="0D0D0D" w:themeColor="text1" w:themeTint="F2"/>
            </w:tcBorders>
            <w:hideMark/>
          </w:tcPr>
          <w:p w14:paraId="5545F27E" w14:textId="77777777" w:rsidR="0089127B" w:rsidRDefault="0089127B" w:rsidP="0026761B">
            <w:pPr>
              <w:jc w:val="center"/>
              <w:rPr>
                <w:rFonts w:eastAsia="Times New Roman"/>
                <w:sz w:val="24"/>
                <w:szCs w:val="24"/>
              </w:rPr>
            </w:pPr>
            <w:r>
              <w:rPr>
                <w:rFonts w:eastAsia="Times New Roman"/>
              </w:rPr>
              <w:t>%</w:t>
            </w:r>
          </w:p>
        </w:tc>
        <w:tc>
          <w:tcPr>
            <w:tcW w:w="0" w:type="auto"/>
            <w:tcBorders>
              <w:left w:val="single" w:sz="4" w:space="0" w:color="0D0D0D" w:themeColor="text1" w:themeTint="F2"/>
              <w:right w:val="single" w:sz="4" w:space="0" w:color="0D0D0D" w:themeColor="text1" w:themeTint="F2"/>
            </w:tcBorders>
            <w:hideMark/>
          </w:tcPr>
          <w:p w14:paraId="7774B558" w14:textId="77777777" w:rsidR="0089127B" w:rsidRDefault="0089127B" w:rsidP="0026761B">
            <w:pPr>
              <w:jc w:val="center"/>
              <w:rPr>
                <w:rFonts w:eastAsia="Times New Roman"/>
                <w:sz w:val="24"/>
                <w:szCs w:val="24"/>
              </w:rPr>
            </w:pPr>
            <w:r>
              <w:rPr>
                <w:rFonts w:eastAsia="Times New Roman"/>
              </w:rPr>
              <w:t>n</w:t>
            </w:r>
          </w:p>
        </w:tc>
        <w:tc>
          <w:tcPr>
            <w:tcW w:w="0" w:type="auto"/>
            <w:tcBorders>
              <w:left w:val="single" w:sz="4" w:space="0" w:color="0D0D0D" w:themeColor="text1" w:themeTint="F2"/>
              <w:right w:val="single" w:sz="4" w:space="0" w:color="FFFFFF" w:themeColor="background1"/>
            </w:tcBorders>
            <w:hideMark/>
          </w:tcPr>
          <w:p w14:paraId="535DEE8C" w14:textId="77777777" w:rsidR="0089127B" w:rsidRDefault="0089127B" w:rsidP="0026761B">
            <w:pPr>
              <w:jc w:val="center"/>
              <w:rPr>
                <w:rFonts w:eastAsia="Times New Roman"/>
                <w:sz w:val="24"/>
                <w:szCs w:val="24"/>
              </w:rPr>
            </w:pPr>
            <w:r>
              <w:rPr>
                <w:rFonts w:eastAsia="Times New Roman"/>
              </w:rPr>
              <w:t>%</w:t>
            </w:r>
          </w:p>
        </w:tc>
      </w:tr>
      <w:tr w:rsidR="0026761B" w14:paraId="505292B9" w14:textId="77777777" w:rsidTr="000F0E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tcBorders>
              <w:right w:val="single" w:sz="4" w:space="0" w:color="auto"/>
            </w:tcBorders>
            <w:hideMark/>
          </w:tcPr>
          <w:p w14:paraId="5DD7EA3F" w14:textId="77777777" w:rsidR="0089127B" w:rsidRDefault="0089127B">
            <w:pPr>
              <w:rPr>
                <w:rFonts w:eastAsia="Times New Roman"/>
                <w:sz w:val="24"/>
                <w:szCs w:val="24"/>
              </w:rPr>
            </w:pPr>
            <w:r>
              <w:rPr>
                <w:rFonts w:eastAsia="Times New Roman"/>
              </w:rPr>
              <w:t>Deli meats</w:t>
            </w:r>
          </w:p>
        </w:tc>
        <w:tc>
          <w:tcPr>
            <w:tcW w:w="0" w:type="auto"/>
            <w:tcBorders>
              <w:left w:val="single" w:sz="4" w:space="0" w:color="auto"/>
              <w:right w:val="single" w:sz="4" w:space="0" w:color="0D0D0D" w:themeColor="text1" w:themeTint="F2"/>
            </w:tcBorders>
            <w:hideMark/>
          </w:tcPr>
          <w:p w14:paraId="3F425A5D" w14:textId="77777777" w:rsidR="0089127B" w:rsidRDefault="0089127B" w:rsidP="0026761B">
            <w:pPr>
              <w:jc w:val="center"/>
              <w:rPr>
                <w:rFonts w:eastAsia="Times New Roman"/>
                <w:sz w:val="24"/>
                <w:szCs w:val="24"/>
              </w:rPr>
            </w:pPr>
            <w:r>
              <w:rPr>
                <w:rFonts w:eastAsia="Times New Roman"/>
              </w:rPr>
              <w:t>110</w:t>
            </w:r>
          </w:p>
        </w:tc>
        <w:tc>
          <w:tcPr>
            <w:tcW w:w="0" w:type="auto"/>
            <w:tcBorders>
              <w:left w:val="single" w:sz="4" w:space="0" w:color="0D0D0D" w:themeColor="text1" w:themeTint="F2"/>
              <w:right w:val="single" w:sz="4" w:space="0" w:color="0D0D0D" w:themeColor="text1" w:themeTint="F2"/>
            </w:tcBorders>
            <w:hideMark/>
          </w:tcPr>
          <w:p w14:paraId="6F9175B4" w14:textId="77777777" w:rsidR="0089127B" w:rsidRDefault="0089127B" w:rsidP="0026761B">
            <w:pPr>
              <w:jc w:val="center"/>
              <w:rPr>
                <w:rFonts w:eastAsia="Times New Roman"/>
                <w:sz w:val="24"/>
                <w:szCs w:val="24"/>
              </w:rPr>
            </w:pPr>
            <w:r>
              <w:rPr>
                <w:rFonts w:eastAsia="Times New Roman"/>
              </w:rPr>
              <w:t>69.6%</w:t>
            </w:r>
          </w:p>
        </w:tc>
        <w:tc>
          <w:tcPr>
            <w:tcW w:w="0" w:type="auto"/>
            <w:tcBorders>
              <w:left w:val="single" w:sz="4" w:space="0" w:color="0D0D0D" w:themeColor="text1" w:themeTint="F2"/>
              <w:right w:val="single" w:sz="4" w:space="0" w:color="0D0D0D" w:themeColor="text1" w:themeTint="F2"/>
            </w:tcBorders>
            <w:hideMark/>
          </w:tcPr>
          <w:p w14:paraId="3A5D6504" w14:textId="77777777" w:rsidR="0089127B" w:rsidRDefault="0089127B" w:rsidP="0026761B">
            <w:pPr>
              <w:jc w:val="center"/>
              <w:rPr>
                <w:rFonts w:eastAsia="Times New Roman"/>
                <w:sz w:val="24"/>
                <w:szCs w:val="24"/>
              </w:rPr>
            </w:pPr>
            <w:r>
              <w:rPr>
                <w:rFonts w:eastAsia="Times New Roman"/>
              </w:rPr>
              <w:t>90</w:t>
            </w:r>
          </w:p>
        </w:tc>
        <w:tc>
          <w:tcPr>
            <w:tcW w:w="0" w:type="auto"/>
            <w:tcBorders>
              <w:left w:val="single" w:sz="4" w:space="0" w:color="0D0D0D" w:themeColor="text1" w:themeTint="F2"/>
              <w:right w:val="single" w:sz="4" w:space="0" w:color="0D0D0D" w:themeColor="text1" w:themeTint="F2"/>
            </w:tcBorders>
            <w:hideMark/>
          </w:tcPr>
          <w:p w14:paraId="2BF91037" w14:textId="77777777" w:rsidR="0089127B" w:rsidRDefault="0089127B" w:rsidP="0026761B">
            <w:pPr>
              <w:jc w:val="center"/>
              <w:rPr>
                <w:rFonts w:eastAsia="Times New Roman"/>
                <w:sz w:val="24"/>
                <w:szCs w:val="24"/>
              </w:rPr>
            </w:pPr>
            <w:r>
              <w:rPr>
                <w:rFonts w:eastAsia="Times New Roman"/>
              </w:rPr>
              <w:t>72.0%</w:t>
            </w:r>
          </w:p>
        </w:tc>
        <w:tc>
          <w:tcPr>
            <w:tcW w:w="0" w:type="auto"/>
            <w:tcBorders>
              <w:left w:val="single" w:sz="4" w:space="0" w:color="0D0D0D" w:themeColor="text1" w:themeTint="F2"/>
              <w:right w:val="single" w:sz="4" w:space="0" w:color="0D0D0D" w:themeColor="text1" w:themeTint="F2"/>
            </w:tcBorders>
            <w:hideMark/>
          </w:tcPr>
          <w:p w14:paraId="0CEFC595" w14:textId="77777777" w:rsidR="0089127B" w:rsidRDefault="0089127B" w:rsidP="0026761B">
            <w:pPr>
              <w:jc w:val="center"/>
              <w:rPr>
                <w:rFonts w:eastAsia="Times New Roman"/>
                <w:sz w:val="24"/>
                <w:szCs w:val="24"/>
              </w:rPr>
            </w:pPr>
            <w:r>
              <w:rPr>
                <w:rFonts w:eastAsia="Times New Roman"/>
              </w:rPr>
              <w:t>75</w:t>
            </w:r>
          </w:p>
        </w:tc>
        <w:tc>
          <w:tcPr>
            <w:tcW w:w="0" w:type="auto"/>
            <w:tcBorders>
              <w:left w:val="single" w:sz="4" w:space="0" w:color="0D0D0D" w:themeColor="text1" w:themeTint="F2"/>
              <w:right w:val="single" w:sz="4" w:space="0" w:color="FFFFFF" w:themeColor="background1"/>
            </w:tcBorders>
            <w:hideMark/>
          </w:tcPr>
          <w:p w14:paraId="657B9010" w14:textId="77777777" w:rsidR="0089127B" w:rsidRDefault="0089127B" w:rsidP="0026761B">
            <w:pPr>
              <w:jc w:val="center"/>
              <w:rPr>
                <w:rFonts w:eastAsia="Times New Roman"/>
                <w:sz w:val="24"/>
                <w:szCs w:val="24"/>
              </w:rPr>
            </w:pPr>
            <w:r>
              <w:rPr>
                <w:rFonts w:eastAsia="Times New Roman"/>
              </w:rPr>
              <w:t>73.5%</w:t>
            </w:r>
          </w:p>
        </w:tc>
      </w:tr>
      <w:tr w:rsidR="00A348DA" w14:paraId="32BF897A" w14:textId="77777777" w:rsidTr="000F0E46">
        <w:tblPrEx>
          <w:tblCellMar>
            <w:top w:w="0" w:type="dxa"/>
            <w:left w:w="108" w:type="dxa"/>
            <w:bottom w:w="0" w:type="dxa"/>
            <w:right w:w="108" w:type="dxa"/>
          </w:tblCellMar>
        </w:tblPrEx>
        <w:trPr>
          <w:divId w:val="1287590030"/>
        </w:trPr>
        <w:tc>
          <w:tcPr>
            <w:tcW w:w="0" w:type="auto"/>
            <w:tcBorders>
              <w:right w:val="single" w:sz="4" w:space="0" w:color="auto"/>
            </w:tcBorders>
            <w:hideMark/>
          </w:tcPr>
          <w:p w14:paraId="0AD3A60B" w14:textId="77777777" w:rsidR="0089127B" w:rsidRDefault="0089127B">
            <w:pPr>
              <w:rPr>
                <w:rFonts w:eastAsia="Times New Roman"/>
                <w:sz w:val="24"/>
                <w:szCs w:val="24"/>
              </w:rPr>
            </w:pPr>
            <w:r>
              <w:rPr>
                <w:rFonts w:eastAsia="Times New Roman"/>
              </w:rPr>
              <w:t>Cold or uncooked seafood</w:t>
            </w:r>
          </w:p>
        </w:tc>
        <w:tc>
          <w:tcPr>
            <w:tcW w:w="0" w:type="auto"/>
            <w:tcBorders>
              <w:left w:val="single" w:sz="4" w:space="0" w:color="auto"/>
              <w:right w:val="single" w:sz="4" w:space="0" w:color="0D0D0D" w:themeColor="text1" w:themeTint="F2"/>
            </w:tcBorders>
            <w:hideMark/>
          </w:tcPr>
          <w:p w14:paraId="74959782" w14:textId="77777777" w:rsidR="0089127B" w:rsidRDefault="0089127B" w:rsidP="0026761B">
            <w:pPr>
              <w:jc w:val="center"/>
              <w:rPr>
                <w:rFonts w:eastAsia="Times New Roman"/>
                <w:sz w:val="24"/>
                <w:szCs w:val="24"/>
              </w:rPr>
            </w:pPr>
            <w:r>
              <w:rPr>
                <w:rFonts w:eastAsia="Times New Roman"/>
              </w:rPr>
              <w:t>96</w:t>
            </w:r>
          </w:p>
        </w:tc>
        <w:tc>
          <w:tcPr>
            <w:tcW w:w="0" w:type="auto"/>
            <w:tcBorders>
              <w:left w:val="single" w:sz="4" w:space="0" w:color="0D0D0D" w:themeColor="text1" w:themeTint="F2"/>
              <w:right w:val="single" w:sz="4" w:space="0" w:color="0D0D0D" w:themeColor="text1" w:themeTint="F2"/>
            </w:tcBorders>
            <w:hideMark/>
          </w:tcPr>
          <w:p w14:paraId="29E25A2D" w14:textId="77777777" w:rsidR="0089127B" w:rsidRDefault="0089127B" w:rsidP="0026761B">
            <w:pPr>
              <w:jc w:val="center"/>
              <w:rPr>
                <w:rFonts w:eastAsia="Times New Roman"/>
                <w:sz w:val="24"/>
                <w:szCs w:val="24"/>
              </w:rPr>
            </w:pPr>
            <w:r>
              <w:rPr>
                <w:rFonts w:eastAsia="Times New Roman"/>
              </w:rPr>
              <w:t>60.8%</w:t>
            </w:r>
          </w:p>
        </w:tc>
        <w:tc>
          <w:tcPr>
            <w:tcW w:w="0" w:type="auto"/>
            <w:tcBorders>
              <w:left w:val="single" w:sz="4" w:space="0" w:color="0D0D0D" w:themeColor="text1" w:themeTint="F2"/>
              <w:right w:val="single" w:sz="4" w:space="0" w:color="0D0D0D" w:themeColor="text1" w:themeTint="F2"/>
            </w:tcBorders>
            <w:hideMark/>
          </w:tcPr>
          <w:p w14:paraId="6BAA453D" w14:textId="77777777" w:rsidR="0089127B" w:rsidRDefault="0089127B" w:rsidP="0026761B">
            <w:pPr>
              <w:jc w:val="center"/>
              <w:rPr>
                <w:rFonts w:eastAsia="Times New Roman"/>
                <w:sz w:val="24"/>
                <w:szCs w:val="24"/>
              </w:rPr>
            </w:pPr>
            <w:r>
              <w:rPr>
                <w:rFonts w:eastAsia="Times New Roman"/>
              </w:rPr>
              <w:t>78</w:t>
            </w:r>
          </w:p>
        </w:tc>
        <w:tc>
          <w:tcPr>
            <w:tcW w:w="0" w:type="auto"/>
            <w:tcBorders>
              <w:left w:val="single" w:sz="4" w:space="0" w:color="0D0D0D" w:themeColor="text1" w:themeTint="F2"/>
              <w:right w:val="single" w:sz="4" w:space="0" w:color="0D0D0D" w:themeColor="text1" w:themeTint="F2"/>
            </w:tcBorders>
            <w:hideMark/>
          </w:tcPr>
          <w:p w14:paraId="7E2F2DA4" w14:textId="77777777" w:rsidR="0089127B" w:rsidRDefault="0089127B" w:rsidP="0026761B">
            <w:pPr>
              <w:jc w:val="center"/>
              <w:rPr>
                <w:rFonts w:eastAsia="Times New Roman"/>
                <w:sz w:val="24"/>
                <w:szCs w:val="24"/>
              </w:rPr>
            </w:pPr>
            <w:r>
              <w:rPr>
                <w:rFonts w:eastAsia="Times New Roman"/>
              </w:rPr>
              <w:t>62.4%</w:t>
            </w:r>
          </w:p>
        </w:tc>
        <w:tc>
          <w:tcPr>
            <w:tcW w:w="0" w:type="auto"/>
            <w:tcBorders>
              <w:left w:val="single" w:sz="4" w:space="0" w:color="0D0D0D" w:themeColor="text1" w:themeTint="F2"/>
              <w:right w:val="single" w:sz="4" w:space="0" w:color="0D0D0D" w:themeColor="text1" w:themeTint="F2"/>
            </w:tcBorders>
            <w:hideMark/>
          </w:tcPr>
          <w:p w14:paraId="72F6EFC6" w14:textId="77777777" w:rsidR="0089127B" w:rsidRDefault="0089127B" w:rsidP="0026761B">
            <w:pPr>
              <w:jc w:val="center"/>
              <w:rPr>
                <w:rFonts w:eastAsia="Times New Roman"/>
                <w:sz w:val="24"/>
                <w:szCs w:val="24"/>
              </w:rPr>
            </w:pPr>
            <w:r>
              <w:rPr>
                <w:rFonts w:eastAsia="Times New Roman"/>
              </w:rPr>
              <w:t>64</w:t>
            </w:r>
          </w:p>
        </w:tc>
        <w:tc>
          <w:tcPr>
            <w:tcW w:w="0" w:type="auto"/>
            <w:tcBorders>
              <w:left w:val="single" w:sz="4" w:space="0" w:color="0D0D0D" w:themeColor="text1" w:themeTint="F2"/>
              <w:right w:val="single" w:sz="4" w:space="0" w:color="FFFFFF" w:themeColor="background1"/>
            </w:tcBorders>
            <w:hideMark/>
          </w:tcPr>
          <w:p w14:paraId="0659813C" w14:textId="77777777" w:rsidR="0089127B" w:rsidRDefault="0089127B" w:rsidP="0026761B">
            <w:pPr>
              <w:jc w:val="center"/>
              <w:rPr>
                <w:rFonts w:eastAsia="Times New Roman"/>
                <w:sz w:val="24"/>
                <w:szCs w:val="24"/>
              </w:rPr>
            </w:pPr>
            <w:r>
              <w:rPr>
                <w:rFonts w:eastAsia="Times New Roman"/>
              </w:rPr>
              <w:t>62.7%</w:t>
            </w:r>
          </w:p>
        </w:tc>
      </w:tr>
      <w:tr w:rsidR="0026761B" w14:paraId="08578830" w14:textId="77777777" w:rsidTr="000F0E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tcBorders>
              <w:right w:val="single" w:sz="4" w:space="0" w:color="auto"/>
            </w:tcBorders>
            <w:hideMark/>
          </w:tcPr>
          <w:p w14:paraId="7909ED60" w14:textId="77777777" w:rsidR="0089127B" w:rsidRDefault="0089127B">
            <w:pPr>
              <w:rPr>
                <w:rFonts w:eastAsia="Times New Roman"/>
                <w:sz w:val="24"/>
                <w:szCs w:val="24"/>
              </w:rPr>
            </w:pPr>
            <w:r>
              <w:rPr>
                <w:rFonts w:eastAsia="Times New Roman"/>
              </w:rPr>
              <w:t>Soft cheeses</w:t>
            </w:r>
          </w:p>
        </w:tc>
        <w:tc>
          <w:tcPr>
            <w:tcW w:w="0" w:type="auto"/>
            <w:tcBorders>
              <w:left w:val="single" w:sz="4" w:space="0" w:color="auto"/>
              <w:right w:val="single" w:sz="4" w:space="0" w:color="0D0D0D" w:themeColor="text1" w:themeTint="F2"/>
            </w:tcBorders>
            <w:hideMark/>
          </w:tcPr>
          <w:p w14:paraId="0CE476D6" w14:textId="77777777" w:rsidR="0089127B" w:rsidRDefault="0089127B" w:rsidP="0026761B">
            <w:pPr>
              <w:jc w:val="center"/>
              <w:rPr>
                <w:rFonts w:eastAsia="Times New Roman"/>
                <w:sz w:val="24"/>
                <w:szCs w:val="24"/>
              </w:rPr>
            </w:pPr>
            <w:r>
              <w:rPr>
                <w:rFonts w:eastAsia="Times New Roman"/>
              </w:rPr>
              <w:t>75</w:t>
            </w:r>
          </w:p>
        </w:tc>
        <w:tc>
          <w:tcPr>
            <w:tcW w:w="0" w:type="auto"/>
            <w:tcBorders>
              <w:left w:val="single" w:sz="4" w:space="0" w:color="0D0D0D" w:themeColor="text1" w:themeTint="F2"/>
              <w:right w:val="single" w:sz="4" w:space="0" w:color="0D0D0D" w:themeColor="text1" w:themeTint="F2"/>
            </w:tcBorders>
            <w:hideMark/>
          </w:tcPr>
          <w:p w14:paraId="33AFA611" w14:textId="77777777" w:rsidR="0089127B" w:rsidRDefault="0089127B" w:rsidP="0026761B">
            <w:pPr>
              <w:jc w:val="center"/>
              <w:rPr>
                <w:rFonts w:eastAsia="Times New Roman"/>
                <w:sz w:val="24"/>
                <w:szCs w:val="24"/>
              </w:rPr>
            </w:pPr>
            <w:r>
              <w:rPr>
                <w:rFonts w:eastAsia="Times New Roman"/>
              </w:rPr>
              <w:t>47.5%</w:t>
            </w:r>
          </w:p>
        </w:tc>
        <w:tc>
          <w:tcPr>
            <w:tcW w:w="0" w:type="auto"/>
            <w:tcBorders>
              <w:left w:val="single" w:sz="4" w:space="0" w:color="0D0D0D" w:themeColor="text1" w:themeTint="F2"/>
              <w:right w:val="single" w:sz="4" w:space="0" w:color="0D0D0D" w:themeColor="text1" w:themeTint="F2"/>
            </w:tcBorders>
            <w:hideMark/>
          </w:tcPr>
          <w:p w14:paraId="7482A819" w14:textId="77777777" w:rsidR="0089127B" w:rsidRDefault="0089127B" w:rsidP="0026761B">
            <w:pPr>
              <w:jc w:val="center"/>
              <w:rPr>
                <w:rFonts w:eastAsia="Times New Roman"/>
                <w:sz w:val="24"/>
                <w:szCs w:val="24"/>
              </w:rPr>
            </w:pPr>
            <w:r>
              <w:rPr>
                <w:rFonts w:eastAsia="Times New Roman"/>
              </w:rPr>
              <w:t>61</w:t>
            </w:r>
          </w:p>
        </w:tc>
        <w:tc>
          <w:tcPr>
            <w:tcW w:w="0" w:type="auto"/>
            <w:tcBorders>
              <w:left w:val="single" w:sz="4" w:space="0" w:color="0D0D0D" w:themeColor="text1" w:themeTint="F2"/>
              <w:right w:val="single" w:sz="4" w:space="0" w:color="0D0D0D" w:themeColor="text1" w:themeTint="F2"/>
            </w:tcBorders>
            <w:hideMark/>
          </w:tcPr>
          <w:p w14:paraId="5377C3B0" w14:textId="77777777" w:rsidR="0089127B" w:rsidRDefault="0089127B" w:rsidP="0026761B">
            <w:pPr>
              <w:jc w:val="center"/>
              <w:rPr>
                <w:rFonts w:eastAsia="Times New Roman"/>
                <w:sz w:val="24"/>
                <w:szCs w:val="24"/>
              </w:rPr>
            </w:pPr>
            <w:r>
              <w:rPr>
                <w:rFonts w:eastAsia="Times New Roman"/>
              </w:rPr>
              <w:t>48.8%</w:t>
            </w:r>
          </w:p>
        </w:tc>
        <w:tc>
          <w:tcPr>
            <w:tcW w:w="0" w:type="auto"/>
            <w:tcBorders>
              <w:left w:val="single" w:sz="4" w:space="0" w:color="0D0D0D" w:themeColor="text1" w:themeTint="F2"/>
              <w:right w:val="single" w:sz="4" w:space="0" w:color="0D0D0D" w:themeColor="text1" w:themeTint="F2"/>
            </w:tcBorders>
            <w:hideMark/>
          </w:tcPr>
          <w:p w14:paraId="349B137A" w14:textId="77777777" w:rsidR="0089127B" w:rsidRDefault="0089127B" w:rsidP="0026761B">
            <w:pPr>
              <w:jc w:val="center"/>
              <w:rPr>
                <w:rFonts w:eastAsia="Times New Roman"/>
                <w:sz w:val="24"/>
                <w:szCs w:val="24"/>
              </w:rPr>
            </w:pPr>
            <w:r>
              <w:rPr>
                <w:rFonts w:eastAsia="Times New Roman"/>
              </w:rPr>
              <w:t>51</w:t>
            </w:r>
          </w:p>
        </w:tc>
        <w:tc>
          <w:tcPr>
            <w:tcW w:w="0" w:type="auto"/>
            <w:tcBorders>
              <w:left w:val="single" w:sz="4" w:space="0" w:color="0D0D0D" w:themeColor="text1" w:themeTint="F2"/>
              <w:right w:val="single" w:sz="4" w:space="0" w:color="FFFFFF" w:themeColor="background1"/>
            </w:tcBorders>
            <w:hideMark/>
          </w:tcPr>
          <w:p w14:paraId="3C46EF4F" w14:textId="77777777" w:rsidR="0089127B" w:rsidRDefault="0089127B" w:rsidP="0026761B">
            <w:pPr>
              <w:jc w:val="center"/>
              <w:rPr>
                <w:rFonts w:eastAsia="Times New Roman"/>
                <w:sz w:val="24"/>
                <w:szCs w:val="24"/>
              </w:rPr>
            </w:pPr>
            <w:r>
              <w:rPr>
                <w:rFonts w:eastAsia="Times New Roman"/>
              </w:rPr>
              <w:t>50.0%</w:t>
            </w:r>
          </w:p>
        </w:tc>
      </w:tr>
      <w:tr w:rsidR="00A348DA" w14:paraId="5B8A95AD" w14:textId="77777777" w:rsidTr="000F0E46">
        <w:tblPrEx>
          <w:tblCellMar>
            <w:top w:w="0" w:type="dxa"/>
            <w:left w:w="108" w:type="dxa"/>
            <w:bottom w:w="0" w:type="dxa"/>
            <w:right w:w="108" w:type="dxa"/>
          </w:tblCellMar>
        </w:tblPrEx>
        <w:trPr>
          <w:divId w:val="1287590030"/>
        </w:trPr>
        <w:tc>
          <w:tcPr>
            <w:tcW w:w="0" w:type="auto"/>
            <w:tcBorders>
              <w:right w:val="single" w:sz="4" w:space="0" w:color="auto"/>
            </w:tcBorders>
            <w:hideMark/>
          </w:tcPr>
          <w:p w14:paraId="21104ECA" w14:textId="77777777" w:rsidR="0089127B" w:rsidRDefault="00C527B8">
            <w:pPr>
              <w:rPr>
                <w:rFonts w:eastAsia="Times New Roman"/>
                <w:sz w:val="24"/>
                <w:szCs w:val="24"/>
              </w:rPr>
            </w:pPr>
            <w:r>
              <w:rPr>
                <w:rFonts w:eastAsia="Times New Roman"/>
              </w:rPr>
              <w:t>Sandwich</w:t>
            </w:r>
            <w:r w:rsidR="0089127B">
              <w:rPr>
                <w:rFonts w:eastAsia="Times New Roman"/>
              </w:rPr>
              <w:t xml:space="preserve"> filings</w:t>
            </w:r>
          </w:p>
        </w:tc>
        <w:tc>
          <w:tcPr>
            <w:tcW w:w="0" w:type="auto"/>
            <w:tcBorders>
              <w:left w:val="single" w:sz="4" w:space="0" w:color="auto"/>
              <w:right w:val="single" w:sz="4" w:space="0" w:color="0D0D0D" w:themeColor="text1" w:themeTint="F2"/>
            </w:tcBorders>
            <w:hideMark/>
          </w:tcPr>
          <w:p w14:paraId="09AB5B73" w14:textId="77777777" w:rsidR="0089127B" w:rsidRDefault="0089127B" w:rsidP="0026761B">
            <w:pPr>
              <w:jc w:val="center"/>
              <w:rPr>
                <w:rFonts w:eastAsia="Times New Roman"/>
                <w:sz w:val="24"/>
                <w:szCs w:val="24"/>
              </w:rPr>
            </w:pPr>
            <w:r>
              <w:rPr>
                <w:rFonts w:eastAsia="Times New Roman"/>
              </w:rPr>
              <w:t>65</w:t>
            </w:r>
          </w:p>
        </w:tc>
        <w:tc>
          <w:tcPr>
            <w:tcW w:w="0" w:type="auto"/>
            <w:tcBorders>
              <w:left w:val="single" w:sz="4" w:space="0" w:color="0D0D0D" w:themeColor="text1" w:themeTint="F2"/>
              <w:right w:val="single" w:sz="4" w:space="0" w:color="0D0D0D" w:themeColor="text1" w:themeTint="F2"/>
            </w:tcBorders>
            <w:hideMark/>
          </w:tcPr>
          <w:p w14:paraId="0DE009DF" w14:textId="77777777" w:rsidR="0089127B" w:rsidRDefault="0089127B" w:rsidP="0026761B">
            <w:pPr>
              <w:jc w:val="center"/>
              <w:rPr>
                <w:rFonts w:eastAsia="Times New Roman"/>
                <w:sz w:val="24"/>
                <w:szCs w:val="24"/>
              </w:rPr>
            </w:pPr>
            <w:r>
              <w:rPr>
                <w:rFonts w:eastAsia="Times New Roman"/>
              </w:rPr>
              <w:t>41.1%</w:t>
            </w:r>
          </w:p>
        </w:tc>
        <w:tc>
          <w:tcPr>
            <w:tcW w:w="0" w:type="auto"/>
            <w:tcBorders>
              <w:left w:val="single" w:sz="4" w:space="0" w:color="0D0D0D" w:themeColor="text1" w:themeTint="F2"/>
              <w:right w:val="single" w:sz="4" w:space="0" w:color="0D0D0D" w:themeColor="text1" w:themeTint="F2"/>
            </w:tcBorders>
            <w:hideMark/>
          </w:tcPr>
          <w:p w14:paraId="66E7613D" w14:textId="77777777" w:rsidR="0089127B" w:rsidRDefault="0089127B" w:rsidP="0026761B">
            <w:pPr>
              <w:jc w:val="center"/>
              <w:rPr>
                <w:rFonts w:eastAsia="Times New Roman"/>
                <w:sz w:val="24"/>
                <w:szCs w:val="24"/>
              </w:rPr>
            </w:pPr>
            <w:r>
              <w:rPr>
                <w:rFonts w:eastAsia="Times New Roman"/>
              </w:rPr>
              <w:t>53</w:t>
            </w:r>
          </w:p>
        </w:tc>
        <w:tc>
          <w:tcPr>
            <w:tcW w:w="0" w:type="auto"/>
            <w:tcBorders>
              <w:left w:val="single" w:sz="4" w:space="0" w:color="0D0D0D" w:themeColor="text1" w:themeTint="F2"/>
              <w:right w:val="single" w:sz="4" w:space="0" w:color="0D0D0D" w:themeColor="text1" w:themeTint="F2"/>
            </w:tcBorders>
            <w:hideMark/>
          </w:tcPr>
          <w:p w14:paraId="558A47F6" w14:textId="77777777" w:rsidR="0089127B" w:rsidRDefault="0089127B" w:rsidP="0026761B">
            <w:pPr>
              <w:jc w:val="center"/>
              <w:rPr>
                <w:rFonts w:eastAsia="Times New Roman"/>
                <w:sz w:val="24"/>
                <w:szCs w:val="24"/>
              </w:rPr>
            </w:pPr>
            <w:r>
              <w:rPr>
                <w:rFonts w:eastAsia="Times New Roman"/>
              </w:rPr>
              <w:t>42.4%</w:t>
            </w:r>
          </w:p>
        </w:tc>
        <w:tc>
          <w:tcPr>
            <w:tcW w:w="0" w:type="auto"/>
            <w:tcBorders>
              <w:left w:val="single" w:sz="4" w:space="0" w:color="0D0D0D" w:themeColor="text1" w:themeTint="F2"/>
              <w:right w:val="single" w:sz="4" w:space="0" w:color="0D0D0D" w:themeColor="text1" w:themeTint="F2"/>
            </w:tcBorders>
            <w:hideMark/>
          </w:tcPr>
          <w:p w14:paraId="34F78A4D" w14:textId="77777777" w:rsidR="0089127B" w:rsidRDefault="0089127B" w:rsidP="0026761B">
            <w:pPr>
              <w:jc w:val="center"/>
              <w:rPr>
                <w:rFonts w:eastAsia="Times New Roman"/>
                <w:sz w:val="24"/>
                <w:szCs w:val="24"/>
              </w:rPr>
            </w:pPr>
            <w:r>
              <w:rPr>
                <w:rFonts w:eastAsia="Times New Roman"/>
              </w:rPr>
              <w:t>42</w:t>
            </w:r>
          </w:p>
        </w:tc>
        <w:tc>
          <w:tcPr>
            <w:tcW w:w="0" w:type="auto"/>
            <w:tcBorders>
              <w:left w:val="single" w:sz="4" w:space="0" w:color="0D0D0D" w:themeColor="text1" w:themeTint="F2"/>
              <w:right w:val="single" w:sz="4" w:space="0" w:color="FFFFFF" w:themeColor="background1"/>
            </w:tcBorders>
            <w:hideMark/>
          </w:tcPr>
          <w:p w14:paraId="17816EF6" w14:textId="77777777" w:rsidR="0089127B" w:rsidRDefault="0089127B" w:rsidP="0026761B">
            <w:pPr>
              <w:jc w:val="center"/>
              <w:rPr>
                <w:rFonts w:eastAsia="Times New Roman"/>
                <w:sz w:val="24"/>
                <w:szCs w:val="24"/>
              </w:rPr>
            </w:pPr>
            <w:r>
              <w:rPr>
                <w:rFonts w:eastAsia="Times New Roman"/>
              </w:rPr>
              <w:t>41.2%</w:t>
            </w:r>
          </w:p>
        </w:tc>
      </w:tr>
      <w:tr w:rsidR="0026761B" w14:paraId="0B47D126" w14:textId="77777777" w:rsidTr="000F0E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tcBorders>
              <w:right w:val="single" w:sz="4" w:space="0" w:color="auto"/>
            </w:tcBorders>
            <w:hideMark/>
          </w:tcPr>
          <w:p w14:paraId="6E9D0488" w14:textId="77777777" w:rsidR="0089127B" w:rsidRDefault="0089127B">
            <w:pPr>
              <w:rPr>
                <w:rFonts w:eastAsia="Times New Roman"/>
                <w:sz w:val="24"/>
                <w:szCs w:val="24"/>
              </w:rPr>
            </w:pPr>
            <w:r>
              <w:rPr>
                <w:rFonts w:eastAsia="Times New Roman"/>
              </w:rPr>
              <w:t>Cold cooked chicken</w:t>
            </w:r>
          </w:p>
        </w:tc>
        <w:tc>
          <w:tcPr>
            <w:tcW w:w="0" w:type="auto"/>
            <w:tcBorders>
              <w:left w:val="single" w:sz="4" w:space="0" w:color="auto"/>
              <w:right w:val="single" w:sz="4" w:space="0" w:color="0D0D0D" w:themeColor="text1" w:themeTint="F2"/>
            </w:tcBorders>
            <w:hideMark/>
          </w:tcPr>
          <w:p w14:paraId="18C3CAD2" w14:textId="77777777" w:rsidR="0089127B" w:rsidRDefault="0089127B" w:rsidP="0026761B">
            <w:pPr>
              <w:jc w:val="center"/>
              <w:rPr>
                <w:rFonts w:eastAsia="Times New Roman"/>
                <w:sz w:val="24"/>
                <w:szCs w:val="24"/>
              </w:rPr>
            </w:pPr>
            <w:r>
              <w:rPr>
                <w:rFonts w:eastAsia="Times New Roman"/>
              </w:rPr>
              <w:t>35</w:t>
            </w:r>
          </w:p>
        </w:tc>
        <w:tc>
          <w:tcPr>
            <w:tcW w:w="0" w:type="auto"/>
            <w:tcBorders>
              <w:left w:val="single" w:sz="4" w:space="0" w:color="0D0D0D" w:themeColor="text1" w:themeTint="F2"/>
              <w:right w:val="single" w:sz="4" w:space="0" w:color="0D0D0D" w:themeColor="text1" w:themeTint="F2"/>
            </w:tcBorders>
            <w:hideMark/>
          </w:tcPr>
          <w:p w14:paraId="2A48A60B" w14:textId="77777777" w:rsidR="0089127B" w:rsidRDefault="0089127B" w:rsidP="0026761B">
            <w:pPr>
              <w:jc w:val="center"/>
              <w:rPr>
                <w:rFonts w:eastAsia="Times New Roman"/>
                <w:sz w:val="24"/>
                <w:szCs w:val="24"/>
              </w:rPr>
            </w:pPr>
            <w:r>
              <w:rPr>
                <w:rFonts w:eastAsia="Times New Roman"/>
              </w:rPr>
              <w:t>22.2%</w:t>
            </w:r>
          </w:p>
        </w:tc>
        <w:tc>
          <w:tcPr>
            <w:tcW w:w="0" w:type="auto"/>
            <w:tcBorders>
              <w:left w:val="single" w:sz="4" w:space="0" w:color="0D0D0D" w:themeColor="text1" w:themeTint="F2"/>
              <w:right w:val="single" w:sz="4" w:space="0" w:color="0D0D0D" w:themeColor="text1" w:themeTint="F2"/>
            </w:tcBorders>
            <w:hideMark/>
          </w:tcPr>
          <w:p w14:paraId="4016BFF9" w14:textId="77777777" w:rsidR="0089127B" w:rsidRDefault="0089127B" w:rsidP="0026761B">
            <w:pPr>
              <w:jc w:val="center"/>
              <w:rPr>
                <w:rFonts w:eastAsia="Times New Roman"/>
                <w:sz w:val="24"/>
                <w:szCs w:val="24"/>
              </w:rPr>
            </w:pPr>
            <w:r>
              <w:rPr>
                <w:rFonts w:eastAsia="Times New Roman"/>
              </w:rPr>
              <w:t>25</w:t>
            </w:r>
          </w:p>
        </w:tc>
        <w:tc>
          <w:tcPr>
            <w:tcW w:w="0" w:type="auto"/>
            <w:tcBorders>
              <w:left w:val="single" w:sz="4" w:space="0" w:color="0D0D0D" w:themeColor="text1" w:themeTint="F2"/>
              <w:right w:val="single" w:sz="4" w:space="0" w:color="0D0D0D" w:themeColor="text1" w:themeTint="F2"/>
            </w:tcBorders>
            <w:hideMark/>
          </w:tcPr>
          <w:p w14:paraId="43CF9457" w14:textId="77777777" w:rsidR="0089127B" w:rsidRDefault="0089127B" w:rsidP="0026761B">
            <w:pPr>
              <w:jc w:val="center"/>
              <w:rPr>
                <w:rFonts w:eastAsia="Times New Roman"/>
                <w:sz w:val="24"/>
                <w:szCs w:val="24"/>
              </w:rPr>
            </w:pPr>
            <w:r>
              <w:rPr>
                <w:rFonts w:eastAsia="Times New Roman"/>
              </w:rPr>
              <w:t>20.0%</w:t>
            </w:r>
          </w:p>
        </w:tc>
        <w:tc>
          <w:tcPr>
            <w:tcW w:w="0" w:type="auto"/>
            <w:tcBorders>
              <w:left w:val="single" w:sz="4" w:space="0" w:color="0D0D0D" w:themeColor="text1" w:themeTint="F2"/>
              <w:right w:val="single" w:sz="4" w:space="0" w:color="0D0D0D" w:themeColor="text1" w:themeTint="F2"/>
            </w:tcBorders>
            <w:hideMark/>
          </w:tcPr>
          <w:p w14:paraId="0D7AA221" w14:textId="77777777" w:rsidR="0089127B" w:rsidRDefault="0089127B" w:rsidP="0026761B">
            <w:pPr>
              <w:jc w:val="center"/>
              <w:rPr>
                <w:rFonts w:eastAsia="Times New Roman"/>
                <w:sz w:val="24"/>
                <w:szCs w:val="24"/>
              </w:rPr>
            </w:pPr>
            <w:r>
              <w:rPr>
                <w:rFonts w:eastAsia="Times New Roman"/>
              </w:rPr>
              <w:t>18</w:t>
            </w:r>
          </w:p>
        </w:tc>
        <w:tc>
          <w:tcPr>
            <w:tcW w:w="0" w:type="auto"/>
            <w:tcBorders>
              <w:left w:val="single" w:sz="4" w:space="0" w:color="0D0D0D" w:themeColor="text1" w:themeTint="F2"/>
              <w:right w:val="single" w:sz="4" w:space="0" w:color="FFFFFF" w:themeColor="background1"/>
            </w:tcBorders>
            <w:hideMark/>
          </w:tcPr>
          <w:p w14:paraId="34AA7B45" w14:textId="77777777" w:rsidR="0089127B" w:rsidRDefault="0089127B" w:rsidP="0026761B">
            <w:pPr>
              <w:jc w:val="center"/>
              <w:rPr>
                <w:rFonts w:eastAsia="Times New Roman"/>
                <w:sz w:val="24"/>
                <w:szCs w:val="24"/>
              </w:rPr>
            </w:pPr>
            <w:r>
              <w:rPr>
                <w:rFonts w:eastAsia="Times New Roman"/>
              </w:rPr>
              <w:t>17.6%</w:t>
            </w:r>
          </w:p>
        </w:tc>
      </w:tr>
      <w:tr w:rsidR="00A348DA" w14:paraId="61F93665" w14:textId="77777777" w:rsidTr="000F0E46">
        <w:tblPrEx>
          <w:tblCellMar>
            <w:top w:w="0" w:type="dxa"/>
            <w:left w:w="108" w:type="dxa"/>
            <w:bottom w:w="0" w:type="dxa"/>
            <w:right w:w="108" w:type="dxa"/>
          </w:tblCellMar>
        </w:tblPrEx>
        <w:trPr>
          <w:divId w:val="1287590030"/>
        </w:trPr>
        <w:tc>
          <w:tcPr>
            <w:tcW w:w="0" w:type="auto"/>
            <w:tcBorders>
              <w:right w:val="single" w:sz="4" w:space="0" w:color="auto"/>
            </w:tcBorders>
            <w:hideMark/>
          </w:tcPr>
          <w:p w14:paraId="5D2F526E" w14:textId="77777777" w:rsidR="0089127B" w:rsidRDefault="0089127B">
            <w:pPr>
              <w:rPr>
                <w:rFonts w:eastAsia="Times New Roman"/>
                <w:sz w:val="24"/>
                <w:szCs w:val="24"/>
              </w:rPr>
            </w:pPr>
            <w:r>
              <w:rPr>
                <w:rFonts w:eastAsia="Times New Roman"/>
              </w:rPr>
              <w:t>Pre-prepared salad</w:t>
            </w:r>
          </w:p>
        </w:tc>
        <w:tc>
          <w:tcPr>
            <w:tcW w:w="0" w:type="auto"/>
            <w:tcBorders>
              <w:left w:val="single" w:sz="4" w:space="0" w:color="auto"/>
              <w:right w:val="single" w:sz="4" w:space="0" w:color="0D0D0D" w:themeColor="text1" w:themeTint="F2"/>
            </w:tcBorders>
            <w:hideMark/>
          </w:tcPr>
          <w:p w14:paraId="7B7A2591" w14:textId="77777777" w:rsidR="0089127B" w:rsidRDefault="0089127B" w:rsidP="0026761B">
            <w:pPr>
              <w:jc w:val="center"/>
              <w:rPr>
                <w:rFonts w:eastAsia="Times New Roman"/>
                <w:sz w:val="24"/>
                <w:szCs w:val="24"/>
              </w:rPr>
            </w:pPr>
            <w:r>
              <w:rPr>
                <w:rFonts w:eastAsia="Times New Roman"/>
              </w:rPr>
              <w:t>35</w:t>
            </w:r>
          </w:p>
        </w:tc>
        <w:tc>
          <w:tcPr>
            <w:tcW w:w="0" w:type="auto"/>
            <w:tcBorders>
              <w:left w:val="single" w:sz="4" w:space="0" w:color="0D0D0D" w:themeColor="text1" w:themeTint="F2"/>
              <w:right w:val="single" w:sz="4" w:space="0" w:color="0D0D0D" w:themeColor="text1" w:themeTint="F2"/>
            </w:tcBorders>
            <w:hideMark/>
          </w:tcPr>
          <w:p w14:paraId="18002330" w14:textId="77777777" w:rsidR="0089127B" w:rsidRDefault="0089127B" w:rsidP="0026761B">
            <w:pPr>
              <w:jc w:val="center"/>
              <w:rPr>
                <w:rFonts w:eastAsia="Times New Roman"/>
                <w:sz w:val="24"/>
                <w:szCs w:val="24"/>
              </w:rPr>
            </w:pPr>
            <w:r>
              <w:rPr>
                <w:rFonts w:eastAsia="Times New Roman"/>
              </w:rPr>
              <w:t>22.2%</w:t>
            </w:r>
          </w:p>
        </w:tc>
        <w:tc>
          <w:tcPr>
            <w:tcW w:w="0" w:type="auto"/>
            <w:tcBorders>
              <w:left w:val="single" w:sz="4" w:space="0" w:color="0D0D0D" w:themeColor="text1" w:themeTint="F2"/>
              <w:right w:val="single" w:sz="4" w:space="0" w:color="0D0D0D" w:themeColor="text1" w:themeTint="F2"/>
            </w:tcBorders>
            <w:hideMark/>
          </w:tcPr>
          <w:p w14:paraId="5852B77C" w14:textId="77777777" w:rsidR="0089127B" w:rsidRDefault="0089127B" w:rsidP="0026761B">
            <w:pPr>
              <w:jc w:val="center"/>
              <w:rPr>
                <w:rFonts w:eastAsia="Times New Roman"/>
                <w:sz w:val="24"/>
                <w:szCs w:val="24"/>
              </w:rPr>
            </w:pPr>
            <w:r>
              <w:rPr>
                <w:rFonts w:eastAsia="Times New Roman"/>
              </w:rPr>
              <w:t>29</w:t>
            </w:r>
          </w:p>
        </w:tc>
        <w:tc>
          <w:tcPr>
            <w:tcW w:w="0" w:type="auto"/>
            <w:tcBorders>
              <w:left w:val="single" w:sz="4" w:space="0" w:color="0D0D0D" w:themeColor="text1" w:themeTint="F2"/>
              <w:right w:val="single" w:sz="4" w:space="0" w:color="0D0D0D" w:themeColor="text1" w:themeTint="F2"/>
            </w:tcBorders>
            <w:hideMark/>
          </w:tcPr>
          <w:p w14:paraId="78560216" w14:textId="77777777" w:rsidR="0089127B" w:rsidRDefault="0089127B" w:rsidP="0026761B">
            <w:pPr>
              <w:jc w:val="center"/>
              <w:rPr>
                <w:rFonts w:eastAsia="Times New Roman"/>
                <w:sz w:val="24"/>
                <w:szCs w:val="24"/>
              </w:rPr>
            </w:pPr>
            <w:r>
              <w:rPr>
                <w:rFonts w:eastAsia="Times New Roman"/>
              </w:rPr>
              <w:t>23.2%</w:t>
            </w:r>
          </w:p>
        </w:tc>
        <w:tc>
          <w:tcPr>
            <w:tcW w:w="0" w:type="auto"/>
            <w:tcBorders>
              <w:left w:val="single" w:sz="4" w:space="0" w:color="0D0D0D" w:themeColor="text1" w:themeTint="F2"/>
              <w:right w:val="single" w:sz="4" w:space="0" w:color="0D0D0D" w:themeColor="text1" w:themeTint="F2"/>
            </w:tcBorders>
            <w:hideMark/>
          </w:tcPr>
          <w:p w14:paraId="169AF15E" w14:textId="77777777" w:rsidR="0089127B" w:rsidRDefault="0089127B" w:rsidP="0026761B">
            <w:pPr>
              <w:jc w:val="center"/>
              <w:rPr>
                <w:rFonts w:eastAsia="Times New Roman"/>
                <w:sz w:val="24"/>
                <w:szCs w:val="24"/>
              </w:rPr>
            </w:pPr>
            <w:r>
              <w:rPr>
                <w:rFonts w:eastAsia="Times New Roman"/>
              </w:rPr>
              <w:t>24</w:t>
            </w:r>
          </w:p>
        </w:tc>
        <w:tc>
          <w:tcPr>
            <w:tcW w:w="0" w:type="auto"/>
            <w:tcBorders>
              <w:left w:val="single" w:sz="4" w:space="0" w:color="0D0D0D" w:themeColor="text1" w:themeTint="F2"/>
              <w:right w:val="single" w:sz="4" w:space="0" w:color="FFFFFF" w:themeColor="background1"/>
            </w:tcBorders>
            <w:hideMark/>
          </w:tcPr>
          <w:p w14:paraId="512A61DD" w14:textId="77777777" w:rsidR="0089127B" w:rsidRDefault="0089127B" w:rsidP="0026761B">
            <w:pPr>
              <w:jc w:val="center"/>
              <w:rPr>
                <w:rFonts w:eastAsia="Times New Roman"/>
                <w:sz w:val="24"/>
                <w:szCs w:val="24"/>
              </w:rPr>
            </w:pPr>
            <w:r>
              <w:rPr>
                <w:rFonts w:eastAsia="Times New Roman"/>
              </w:rPr>
              <w:t>23.5%</w:t>
            </w:r>
          </w:p>
        </w:tc>
      </w:tr>
      <w:tr w:rsidR="0026761B" w14:paraId="46E37030" w14:textId="77777777" w:rsidTr="000F0E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tcBorders>
              <w:right w:val="single" w:sz="4" w:space="0" w:color="auto"/>
            </w:tcBorders>
            <w:hideMark/>
          </w:tcPr>
          <w:p w14:paraId="30A8BC19" w14:textId="77777777" w:rsidR="0089127B" w:rsidRDefault="0089127B">
            <w:pPr>
              <w:rPr>
                <w:rFonts w:eastAsia="Times New Roman"/>
                <w:sz w:val="24"/>
                <w:szCs w:val="24"/>
              </w:rPr>
            </w:pPr>
            <w:r>
              <w:rPr>
                <w:rFonts w:eastAsia="Times New Roman"/>
              </w:rPr>
              <w:t>Pre-prepared fruit</w:t>
            </w:r>
          </w:p>
        </w:tc>
        <w:tc>
          <w:tcPr>
            <w:tcW w:w="0" w:type="auto"/>
            <w:tcBorders>
              <w:left w:val="single" w:sz="4" w:space="0" w:color="auto"/>
              <w:right w:val="single" w:sz="4" w:space="0" w:color="0D0D0D" w:themeColor="text1" w:themeTint="F2"/>
            </w:tcBorders>
            <w:hideMark/>
          </w:tcPr>
          <w:p w14:paraId="5444EB24" w14:textId="77777777" w:rsidR="0089127B" w:rsidRDefault="0089127B" w:rsidP="0026761B">
            <w:pPr>
              <w:jc w:val="center"/>
              <w:rPr>
                <w:rFonts w:eastAsia="Times New Roman"/>
                <w:sz w:val="24"/>
                <w:szCs w:val="24"/>
              </w:rPr>
            </w:pPr>
            <w:r>
              <w:rPr>
                <w:rFonts w:eastAsia="Times New Roman"/>
              </w:rPr>
              <w:t>17</w:t>
            </w:r>
          </w:p>
        </w:tc>
        <w:tc>
          <w:tcPr>
            <w:tcW w:w="0" w:type="auto"/>
            <w:tcBorders>
              <w:left w:val="single" w:sz="4" w:space="0" w:color="0D0D0D" w:themeColor="text1" w:themeTint="F2"/>
              <w:right w:val="single" w:sz="4" w:space="0" w:color="0D0D0D" w:themeColor="text1" w:themeTint="F2"/>
            </w:tcBorders>
            <w:hideMark/>
          </w:tcPr>
          <w:p w14:paraId="72FD98AB" w14:textId="77777777" w:rsidR="0089127B" w:rsidRDefault="0089127B" w:rsidP="0026761B">
            <w:pPr>
              <w:jc w:val="center"/>
              <w:rPr>
                <w:rFonts w:eastAsia="Times New Roman"/>
                <w:sz w:val="24"/>
                <w:szCs w:val="24"/>
              </w:rPr>
            </w:pPr>
            <w:r>
              <w:rPr>
                <w:rFonts w:eastAsia="Times New Roman"/>
              </w:rPr>
              <w:t>10.8%</w:t>
            </w:r>
          </w:p>
        </w:tc>
        <w:tc>
          <w:tcPr>
            <w:tcW w:w="0" w:type="auto"/>
            <w:tcBorders>
              <w:left w:val="single" w:sz="4" w:space="0" w:color="0D0D0D" w:themeColor="text1" w:themeTint="F2"/>
              <w:right w:val="single" w:sz="4" w:space="0" w:color="0D0D0D" w:themeColor="text1" w:themeTint="F2"/>
            </w:tcBorders>
            <w:hideMark/>
          </w:tcPr>
          <w:p w14:paraId="05D6DB1A" w14:textId="77777777" w:rsidR="0089127B" w:rsidRDefault="0089127B" w:rsidP="0026761B">
            <w:pPr>
              <w:jc w:val="center"/>
              <w:rPr>
                <w:rFonts w:eastAsia="Times New Roman"/>
                <w:sz w:val="24"/>
                <w:szCs w:val="24"/>
              </w:rPr>
            </w:pPr>
            <w:r>
              <w:rPr>
                <w:rFonts w:eastAsia="Times New Roman"/>
              </w:rPr>
              <w:t>15</w:t>
            </w:r>
          </w:p>
        </w:tc>
        <w:tc>
          <w:tcPr>
            <w:tcW w:w="0" w:type="auto"/>
            <w:tcBorders>
              <w:left w:val="single" w:sz="4" w:space="0" w:color="0D0D0D" w:themeColor="text1" w:themeTint="F2"/>
              <w:right w:val="single" w:sz="4" w:space="0" w:color="0D0D0D" w:themeColor="text1" w:themeTint="F2"/>
            </w:tcBorders>
            <w:hideMark/>
          </w:tcPr>
          <w:p w14:paraId="1EA0150B" w14:textId="77777777" w:rsidR="0089127B" w:rsidRDefault="0089127B" w:rsidP="0026761B">
            <w:pPr>
              <w:jc w:val="center"/>
              <w:rPr>
                <w:rFonts w:eastAsia="Times New Roman"/>
                <w:sz w:val="24"/>
                <w:szCs w:val="24"/>
              </w:rPr>
            </w:pPr>
            <w:r>
              <w:rPr>
                <w:rFonts w:eastAsia="Times New Roman"/>
              </w:rPr>
              <w:t>12.0%</w:t>
            </w:r>
          </w:p>
        </w:tc>
        <w:tc>
          <w:tcPr>
            <w:tcW w:w="0" w:type="auto"/>
            <w:tcBorders>
              <w:left w:val="single" w:sz="4" w:space="0" w:color="0D0D0D" w:themeColor="text1" w:themeTint="F2"/>
              <w:right w:val="single" w:sz="4" w:space="0" w:color="0D0D0D" w:themeColor="text1" w:themeTint="F2"/>
            </w:tcBorders>
            <w:hideMark/>
          </w:tcPr>
          <w:p w14:paraId="7E53FAFE" w14:textId="77777777" w:rsidR="0089127B" w:rsidRDefault="0089127B" w:rsidP="0026761B">
            <w:pPr>
              <w:jc w:val="center"/>
              <w:rPr>
                <w:rFonts w:eastAsia="Times New Roman"/>
                <w:sz w:val="24"/>
                <w:szCs w:val="24"/>
              </w:rPr>
            </w:pPr>
            <w:r>
              <w:rPr>
                <w:rFonts w:eastAsia="Times New Roman"/>
              </w:rPr>
              <w:t>14</w:t>
            </w:r>
          </w:p>
        </w:tc>
        <w:tc>
          <w:tcPr>
            <w:tcW w:w="0" w:type="auto"/>
            <w:tcBorders>
              <w:left w:val="single" w:sz="4" w:space="0" w:color="0D0D0D" w:themeColor="text1" w:themeTint="F2"/>
              <w:right w:val="single" w:sz="4" w:space="0" w:color="FFFFFF" w:themeColor="background1"/>
            </w:tcBorders>
            <w:hideMark/>
          </w:tcPr>
          <w:p w14:paraId="76D0E4B8" w14:textId="77777777" w:rsidR="0089127B" w:rsidRDefault="0089127B" w:rsidP="0026761B">
            <w:pPr>
              <w:jc w:val="center"/>
              <w:rPr>
                <w:rFonts w:eastAsia="Times New Roman"/>
                <w:sz w:val="24"/>
                <w:szCs w:val="24"/>
              </w:rPr>
            </w:pPr>
            <w:r>
              <w:rPr>
                <w:rFonts w:eastAsia="Times New Roman"/>
              </w:rPr>
              <w:t>13.7%</w:t>
            </w:r>
          </w:p>
        </w:tc>
      </w:tr>
      <w:tr w:rsidR="00A348DA" w14:paraId="1081E33C" w14:textId="77777777" w:rsidTr="000F0E46">
        <w:tblPrEx>
          <w:tblCellMar>
            <w:top w:w="0" w:type="dxa"/>
            <w:left w:w="108" w:type="dxa"/>
            <w:bottom w:w="0" w:type="dxa"/>
            <w:right w:w="108" w:type="dxa"/>
          </w:tblCellMar>
        </w:tblPrEx>
        <w:trPr>
          <w:divId w:val="1287590030"/>
        </w:trPr>
        <w:tc>
          <w:tcPr>
            <w:tcW w:w="0" w:type="auto"/>
            <w:tcBorders>
              <w:right w:val="single" w:sz="4" w:space="0" w:color="auto"/>
            </w:tcBorders>
            <w:hideMark/>
          </w:tcPr>
          <w:p w14:paraId="1E53B955" w14:textId="77777777" w:rsidR="0089127B" w:rsidRDefault="0089127B">
            <w:pPr>
              <w:rPr>
                <w:rFonts w:eastAsia="Times New Roman"/>
                <w:sz w:val="24"/>
                <w:szCs w:val="24"/>
              </w:rPr>
            </w:pPr>
            <w:r>
              <w:rPr>
                <w:rFonts w:eastAsia="Times New Roman"/>
              </w:rPr>
              <w:t>Pate</w:t>
            </w:r>
          </w:p>
        </w:tc>
        <w:tc>
          <w:tcPr>
            <w:tcW w:w="0" w:type="auto"/>
            <w:tcBorders>
              <w:left w:val="single" w:sz="4" w:space="0" w:color="auto"/>
              <w:right w:val="single" w:sz="4" w:space="0" w:color="0D0D0D" w:themeColor="text1" w:themeTint="F2"/>
            </w:tcBorders>
            <w:hideMark/>
          </w:tcPr>
          <w:p w14:paraId="0CF9A7D5" w14:textId="77777777" w:rsidR="0089127B" w:rsidRDefault="0089127B" w:rsidP="0026761B">
            <w:pPr>
              <w:jc w:val="center"/>
              <w:rPr>
                <w:rFonts w:eastAsia="Times New Roman"/>
                <w:sz w:val="24"/>
                <w:szCs w:val="24"/>
              </w:rPr>
            </w:pPr>
            <w:r>
              <w:rPr>
                <w:rFonts w:eastAsia="Times New Roman"/>
              </w:rPr>
              <w:t>17</w:t>
            </w:r>
          </w:p>
        </w:tc>
        <w:tc>
          <w:tcPr>
            <w:tcW w:w="0" w:type="auto"/>
            <w:tcBorders>
              <w:left w:val="single" w:sz="4" w:space="0" w:color="0D0D0D" w:themeColor="text1" w:themeTint="F2"/>
              <w:right w:val="single" w:sz="4" w:space="0" w:color="0D0D0D" w:themeColor="text1" w:themeTint="F2"/>
            </w:tcBorders>
            <w:hideMark/>
          </w:tcPr>
          <w:p w14:paraId="60A84176" w14:textId="77777777" w:rsidR="0089127B" w:rsidRDefault="0089127B" w:rsidP="0026761B">
            <w:pPr>
              <w:jc w:val="center"/>
              <w:rPr>
                <w:rFonts w:eastAsia="Times New Roman"/>
                <w:sz w:val="24"/>
                <w:szCs w:val="24"/>
              </w:rPr>
            </w:pPr>
            <w:r>
              <w:rPr>
                <w:rFonts w:eastAsia="Times New Roman"/>
              </w:rPr>
              <w:t>10.8%</w:t>
            </w:r>
          </w:p>
        </w:tc>
        <w:tc>
          <w:tcPr>
            <w:tcW w:w="0" w:type="auto"/>
            <w:tcBorders>
              <w:left w:val="single" w:sz="4" w:space="0" w:color="0D0D0D" w:themeColor="text1" w:themeTint="F2"/>
              <w:right w:val="single" w:sz="4" w:space="0" w:color="0D0D0D" w:themeColor="text1" w:themeTint="F2"/>
            </w:tcBorders>
            <w:hideMark/>
          </w:tcPr>
          <w:p w14:paraId="31E436B7" w14:textId="77777777" w:rsidR="0089127B" w:rsidRDefault="0089127B" w:rsidP="0026761B">
            <w:pPr>
              <w:jc w:val="center"/>
              <w:rPr>
                <w:rFonts w:eastAsia="Times New Roman"/>
                <w:sz w:val="24"/>
                <w:szCs w:val="24"/>
              </w:rPr>
            </w:pPr>
            <w:r>
              <w:rPr>
                <w:rFonts w:eastAsia="Times New Roman"/>
              </w:rPr>
              <w:t>13</w:t>
            </w:r>
          </w:p>
        </w:tc>
        <w:tc>
          <w:tcPr>
            <w:tcW w:w="0" w:type="auto"/>
            <w:tcBorders>
              <w:left w:val="single" w:sz="4" w:space="0" w:color="0D0D0D" w:themeColor="text1" w:themeTint="F2"/>
              <w:right w:val="single" w:sz="4" w:space="0" w:color="0D0D0D" w:themeColor="text1" w:themeTint="F2"/>
            </w:tcBorders>
            <w:hideMark/>
          </w:tcPr>
          <w:p w14:paraId="1B13E512" w14:textId="77777777" w:rsidR="0089127B" w:rsidRDefault="0089127B" w:rsidP="0026761B">
            <w:pPr>
              <w:jc w:val="center"/>
              <w:rPr>
                <w:rFonts w:eastAsia="Times New Roman"/>
                <w:sz w:val="24"/>
                <w:szCs w:val="24"/>
              </w:rPr>
            </w:pPr>
            <w:r>
              <w:rPr>
                <w:rFonts w:eastAsia="Times New Roman"/>
              </w:rPr>
              <w:t>10.4%</w:t>
            </w:r>
          </w:p>
        </w:tc>
        <w:tc>
          <w:tcPr>
            <w:tcW w:w="0" w:type="auto"/>
            <w:tcBorders>
              <w:left w:val="single" w:sz="4" w:space="0" w:color="0D0D0D" w:themeColor="text1" w:themeTint="F2"/>
              <w:right w:val="single" w:sz="4" w:space="0" w:color="0D0D0D" w:themeColor="text1" w:themeTint="F2"/>
            </w:tcBorders>
            <w:hideMark/>
          </w:tcPr>
          <w:p w14:paraId="6547AE2A" w14:textId="77777777" w:rsidR="0089127B" w:rsidRDefault="0089127B" w:rsidP="0026761B">
            <w:pPr>
              <w:jc w:val="center"/>
              <w:rPr>
                <w:rFonts w:eastAsia="Times New Roman"/>
                <w:sz w:val="24"/>
                <w:szCs w:val="24"/>
              </w:rPr>
            </w:pPr>
            <w:r>
              <w:rPr>
                <w:rFonts w:eastAsia="Times New Roman"/>
              </w:rPr>
              <w:t>9</w:t>
            </w:r>
          </w:p>
        </w:tc>
        <w:tc>
          <w:tcPr>
            <w:tcW w:w="0" w:type="auto"/>
            <w:tcBorders>
              <w:left w:val="single" w:sz="4" w:space="0" w:color="0D0D0D" w:themeColor="text1" w:themeTint="F2"/>
              <w:right w:val="single" w:sz="4" w:space="0" w:color="FFFFFF" w:themeColor="background1"/>
            </w:tcBorders>
            <w:hideMark/>
          </w:tcPr>
          <w:p w14:paraId="09F17E2B" w14:textId="77777777" w:rsidR="0089127B" w:rsidRDefault="0089127B" w:rsidP="0026761B">
            <w:pPr>
              <w:jc w:val="center"/>
              <w:rPr>
                <w:rFonts w:eastAsia="Times New Roman"/>
                <w:sz w:val="24"/>
                <w:szCs w:val="24"/>
              </w:rPr>
            </w:pPr>
            <w:r>
              <w:rPr>
                <w:rFonts w:eastAsia="Times New Roman"/>
              </w:rPr>
              <w:t>8.8%</w:t>
            </w:r>
          </w:p>
        </w:tc>
      </w:tr>
      <w:tr w:rsidR="0026761B" w14:paraId="20F9EEA7" w14:textId="77777777" w:rsidTr="000F0E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tcBorders>
              <w:right w:val="single" w:sz="4" w:space="0" w:color="auto"/>
            </w:tcBorders>
            <w:hideMark/>
          </w:tcPr>
          <w:p w14:paraId="61F71D55" w14:textId="77777777" w:rsidR="0089127B" w:rsidRDefault="00C527B8">
            <w:pPr>
              <w:rPr>
                <w:rFonts w:eastAsia="Times New Roman"/>
                <w:sz w:val="24"/>
                <w:szCs w:val="24"/>
              </w:rPr>
            </w:pPr>
            <w:r>
              <w:rPr>
                <w:rFonts w:eastAsia="Times New Roman"/>
              </w:rPr>
              <w:t>Unpasteurised</w:t>
            </w:r>
            <w:r w:rsidR="0089127B">
              <w:rPr>
                <w:rFonts w:eastAsia="Times New Roman"/>
              </w:rPr>
              <w:t xml:space="preserve"> cheese or milk</w:t>
            </w:r>
          </w:p>
        </w:tc>
        <w:tc>
          <w:tcPr>
            <w:tcW w:w="0" w:type="auto"/>
            <w:tcBorders>
              <w:left w:val="single" w:sz="4" w:space="0" w:color="auto"/>
              <w:right w:val="single" w:sz="4" w:space="0" w:color="0D0D0D" w:themeColor="text1" w:themeTint="F2"/>
            </w:tcBorders>
            <w:hideMark/>
          </w:tcPr>
          <w:p w14:paraId="602D29FB" w14:textId="77777777" w:rsidR="0089127B" w:rsidRDefault="0089127B" w:rsidP="0026761B">
            <w:pPr>
              <w:jc w:val="center"/>
              <w:rPr>
                <w:rFonts w:eastAsia="Times New Roman"/>
                <w:sz w:val="24"/>
                <w:szCs w:val="24"/>
              </w:rPr>
            </w:pPr>
            <w:r>
              <w:rPr>
                <w:rFonts w:eastAsia="Times New Roman"/>
              </w:rPr>
              <w:t>13</w:t>
            </w:r>
          </w:p>
        </w:tc>
        <w:tc>
          <w:tcPr>
            <w:tcW w:w="0" w:type="auto"/>
            <w:tcBorders>
              <w:left w:val="single" w:sz="4" w:space="0" w:color="0D0D0D" w:themeColor="text1" w:themeTint="F2"/>
              <w:right w:val="single" w:sz="4" w:space="0" w:color="0D0D0D" w:themeColor="text1" w:themeTint="F2"/>
            </w:tcBorders>
            <w:hideMark/>
          </w:tcPr>
          <w:p w14:paraId="3FB075CC" w14:textId="77777777" w:rsidR="0089127B" w:rsidRDefault="0089127B" w:rsidP="0026761B">
            <w:pPr>
              <w:jc w:val="center"/>
              <w:rPr>
                <w:rFonts w:eastAsia="Times New Roman"/>
                <w:sz w:val="24"/>
                <w:szCs w:val="24"/>
              </w:rPr>
            </w:pPr>
            <w:r>
              <w:rPr>
                <w:rFonts w:eastAsia="Times New Roman"/>
              </w:rPr>
              <w:t>8.2%</w:t>
            </w:r>
          </w:p>
        </w:tc>
        <w:tc>
          <w:tcPr>
            <w:tcW w:w="0" w:type="auto"/>
            <w:tcBorders>
              <w:left w:val="single" w:sz="4" w:space="0" w:color="0D0D0D" w:themeColor="text1" w:themeTint="F2"/>
              <w:right w:val="single" w:sz="4" w:space="0" w:color="0D0D0D" w:themeColor="text1" w:themeTint="F2"/>
            </w:tcBorders>
            <w:hideMark/>
          </w:tcPr>
          <w:p w14:paraId="6FA3F75C" w14:textId="77777777" w:rsidR="0089127B" w:rsidRDefault="0089127B" w:rsidP="0026761B">
            <w:pPr>
              <w:jc w:val="center"/>
              <w:rPr>
                <w:rFonts w:eastAsia="Times New Roman"/>
                <w:sz w:val="24"/>
                <w:szCs w:val="24"/>
              </w:rPr>
            </w:pPr>
            <w:r>
              <w:rPr>
                <w:rFonts w:eastAsia="Times New Roman"/>
              </w:rPr>
              <w:t>9</w:t>
            </w:r>
          </w:p>
        </w:tc>
        <w:tc>
          <w:tcPr>
            <w:tcW w:w="0" w:type="auto"/>
            <w:tcBorders>
              <w:left w:val="single" w:sz="4" w:space="0" w:color="0D0D0D" w:themeColor="text1" w:themeTint="F2"/>
              <w:right w:val="single" w:sz="4" w:space="0" w:color="0D0D0D" w:themeColor="text1" w:themeTint="F2"/>
            </w:tcBorders>
            <w:hideMark/>
          </w:tcPr>
          <w:p w14:paraId="005585FA" w14:textId="77777777" w:rsidR="0089127B" w:rsidRDefault="0089127B" w:rsidP="0026761B">
            <w:pPr>
              <w:jc w:val="center"/>
              <w:rPr>
                <w:rFonts w:eastAsia="Times New Roman"/>
                <w:sz w:val="24"/>
                <w:szCs w:val="24"/>
              </w:rPr>
            </w:pPr>
            <w:r>
              <w:rPr>
                <w:rFonts w:eastAsia="Times New Roman"/>
              </w:rPr>
              <w:t>7.2%</w:t>
            </w:r>
          </w:p>
        </w:tc>
        <w:tc>
          <w:tcPr>
            <w:tcW w:w="0" w:type="auto"/>
            <w:tcBorders>
              <w:left w:val="single" w:sz="4" w:space="0" w:color="0D0D0D" w:themeColor="text1" w:themeTint="F2"/>
              <w:right w:val="single" w:sz="4" w:space="0" w:color="0D0D0D" w:themeColor="text1" w:themeTint="F2"/>
            </w:tcBorders>
            <w:hideMark/>
          </w:tcPr>
          <w:p w14:paraId="6C017D8B" w14:textId="77777777" w:rsidR="0089127B" w:rsidRDefault="0089127B" w:rsidP="0026761B">
            <w:pPr>
              <w:jc w:val="center"/>
              <w:rPr>
                <w:rFonts w:eastAsia="Times New Roman"/>
                <w:sz w:val="24"/>
                <w:szCs w:val="24"/>
              </w:rPr>
            </w:pPr>
            <w:r>
              <w:rPr>
                <w:rFonts w:eastAsia="Times New Roman"/>
              </w:rPr>
              <w:t>6</w:t>
            </w:r>
          </w:p>
        </w:tc>
        <w:tc>
          <w:tcPr>
            <w:tcW w:w="0" w:type="auto"/>
            <w:tcBorders>
              <w:left w:val="single" w:sz="4" w:space="0" w:color="0D0D0D" w:themeColor="text1" w:themeTint="F2"/>
              <w:right w:val="single" w:sz="4" w:space="0" w:color="FFFFFF" w:themeColor="background1"/>
            </w:tcBorders>
            <w:hideMark/>
          </w:tcPr>
          <w:p w14:paraId="103A2068" w14:textId="77777777" w:rsidR="0089127B" w:rsidRDefault="0089127B" w:rsidP="0026761B">
            <w:pPr>
              <w:jc w:val="center"/>
              <w:rPr>
                <w:rFonts w:eastAsia="Times New Roman"/>
                <w:sz w:val="24"/>
                <w:szCs w:val="24"/>
              </w:rPr>
            </w:pPr>
            <w:r>
              <w:rPr>
                <w:rFonts w:eastAsia="Times New Roman"/>
              </w:rPr>
              <w:t>5.9%</w:t>
            </w:r>
          </w:p>
        </w:tc>
      </w:tr>
      <w:tr w:rsidR="00A348DA" w14:paraId="2CE83362" w14:textId="77777777" w:rsidTr="00F76332">
        <w:tblPrEx>
          <w:tblCellMar>
            <w:top w:w="0" w:type="dxa"/>
            <w:left w:w="108" w:type="dxa"/>
            <w:bottom w:w="0" w:type="dxa"/>
            <w:right w:w="108" w:type="dxa"/>
          </w:tblCellMar>
        </w:tblPrEx>
        <w:trPr>
          <w:divId w:val="1287590030"/>
        </w:trPr>
        <w:tc>
          <w:tcPr>
            <w:tcW w:w="0" w:type="auto"/>
            <w:tcBorders>
              <w:right w:val="single" w:sz="4" w:space="0" w:color="auto"/>
            </w:tcBorders>
            <w:shd w:val="clear" w:color="auto" w:fill="FFFFCC"/>
            <w:hideMark/>
          </w:tcPr>
          <w:p w14:paraId="2F455157" w14:textId="77777777" w:rsidR="0089127B" w:rsidRDefault="0089127B">
            <w:pPr>
              <w:rPr>
                <w:rFonts w:eastAsia="Times New Roman"/>
                <w:sz w:val="24"/>
                <w:szCs w:val="24"/>
              </w:rPr>
            </w:pPr>
            <w:r>
              <w:rPr>
                <w:rFonts w:eastAsia="Times New Roman"/>
              </w:rPr>
              <w:t xml:space="preserve">Total </w:t>
            </w:r>
            <w:r w:rsidR="00C527B8">
              <w:rPr>
                <w:rFonts w:eastAsia="Times New Roman"/>
              </w:rPr>
              <w:t>respondents</w:t>
            </w:r>
          </w:p>
        </w:tc>
        <w:tc>
          <w:tcPr>
            <w:tcW w:w="0" w:type="auto"/>
            <w:tcBorders>
              <w:left w:val="single" w:sz="4" w:space="0" w:color="auto"/>
              <w:right w:val="single" w:sz="4" w:space="0" w:color="0D0D0D" w:themeColor="text1" w:themeTint="F2"/>
            </w:tcBorders>
            <w:shd w:val="clear" w:color="auto" w:fill="FFFFCC"/>
            <w:hideMark/>
          </w:tcPr>
          <w:p w14:paraId="114E33D3" w14:textId="77777777" w:rsidR="0089127B" w:rsidRDefault="0089127B" w:rsidP="0026761B">
            <w:pPr>
              <w:jc w:val="center"/>
              <w:rPr>
                <w:rFonts w:eastAsia="Times New Roman"/>
                <w:sz w:val="24"/>
                <w:szCs w:val="24"/>
              </w:rPr>
            </w:pPr>
            <w:r>
              <w:rPr>
                <w:rFonts w:eastAsia="Times New Roman"/>
              </w:rPr>
              <w:t>158</w:t>
            </w:r>
          </w:p>
        </w:tc>
        <w:tc>
          <w:tcPr>
            <w:tcW w:w="0" w:type="auto"/>
            <w:tcBorders>
              <w:left w:val="single" w:sz="4" w:space="0" w:color="0D0D0D" w:themeColor="text1" w:themeTint="F2"/>
              <w:right w:val="single" w:sz="4" w:space="0" w:color="0D0D0D" w:themeColor="text1" w:themeTint="F2"/>
            </w:tcBorders>
            <w:shd w:val="clear" w:color="auto" w:fill="FFFFCC"/>
            <w:hideMark/>
          </w:tcPr>
          <w:p w14:paraId="0026E87E" w14:textId="77777777" w:rsidR="0089127B" w:rsidRDefault="0089127B" w:rsidP="0026761B">
            <w:pPr>
              <w:jc w:val="center"/>
              <w:rPr>
                <w:rFonts w:eastAsia="Times New Roman"/>
                <w:sz w:val="24"/>
                <w:szCs w:val="24"/>
              </w:rPr>
            </w:pPr>
            <w:r>
              <w:rPr>
                <w:rFonts w:eastAsia="Times New Roman"/>
              </w:rPr>
              <w:t>100.0%</w:t>
            </w:r>
          </w:p>
        </w:tc>
        <w:tc>
          <w:tcPr>
            <w:tcW w:w="0" w:type="auto"/>
            <w:tcBorders>
              <w:left w:val="single" w:sz="4" w:space="0" w:color="0D0D0D" w:themeColor="text1" w:themeTint="F2"/>
              <w:right w:val="single" w:sz="4" w:space="0" w:color="0D0D0D" w:themeColor="text1" w:themeTint="F2"/>
            </w:tcBorders>
            <w:shd w:val="clear" w:color="auto" w:fill="FFFFCC"/>
            <w:hideMark/>
          </w:tcPr>
          <w:p w14:paraId="6FB1DE25" w14:textId="77777777" w:rsidR="0089127B" w:rsidRDefault="0089127B" w:rsidP="0026761B">
            <w:pPr>
              <w:jc w:val="center"/>
              <w:rPr>
                <w:rFonts w:eastAsia="Times New Roman"/>
                <w:sz w:val="24"/>
                <w:szCs w:val="24"/>
              </w:rPr>
            </w:pPr>
            <w:r>
              <w:rPr>
                <w:rFonts w:eastAsia="Times New Roman"/>
              </w:rPr>
              <w:t>125</w:t>
            </w:r>
          </w:p>
        </w:tc>
        <w:tc>
          <w:tcPr>
            <w:tcW w:w="0" w:type="auto"/>
            <w:tcBorders>
              <w:left w:val="single" w:sz="4" w:space="0" w:color="0D0D0D" w:themeColor="text1" w:themeTint="F2"/>
              <w:right w:val="single" w:sz="4" w:space="0" w:color="0D0D0D" w:themeColor="text1" w:themeTint="F2"/>
            </w:tcBorders>
            <w:shd w:val="clear" w:color="auto" w:fill="FFFFCC"/>
            <w:hideMark/>
          </w:tcPr>
          <w:p w14:paraId="15A43060" w14:textId="77777777" w:rsidR="0089127B" w:rsidRDefault="0089127B" w:rsidP="0026761B">
            <w:pPr>
              <w:jc w:val="center"/>
              <w:rPr>
                <w:rFonts w:eastAsia="Times New Roman"/>
                <w:sz w:val="24"/>
                <w:szCs w:val="24"/>
              </w:rPr>
            </w:pPr>
            <w:r>
              <w:rPr>
                <w:rFonts w:eastAsia="Times New Roman"/>
              </w:rPr>
              <w:t>100.0%</w:t>
            </w:r>
          </w:p>
        </w:tc>
        <w:tc>
          <w:tcPr>
            <w:tcW w:w="0" w:type="auto"/>
            <w:tcBorders>
              <w:left w:val="single" w:sz="4" w:space="0" w:color="0D0D0D" w:themeColor="text1" w:themeTint="F2"/>
              <w:right w:val="single" w:sz="4" w:space="0" w:color="0D0D0D" w:themeColor="text1" w:themeTint="F2"/>
            </w:tcBorders>
            <w:shd w:val="clear" w:color="auto" w:fill="FFFFCC"/>
            <w:hideMark/>
          </w:tcPr>
          <w:p w14:paraId="56E08932" w14:textId="77777777" w:rsidR="0089127B" w:rsidRDefault="0089127B" w:rsidP="0026761B">
            <w:pPr>
              <w:jc w:val="center"/>
              <w:rPr>
                <w:rFonts w:eastAsia="Times New Roman"/>
                <w:sz w:val="24"/>
                <w:szCs w:val="24"/>
              </w:rPr>
            </w:pPr>
            <w:r>
              <w:rPr>
                <w:rFonts w:eastAsia="Times New Roman"/>
              </w:rPr>
              <w:t>102</w:t>
            </w:r>
          </w:p>
        </w:tc>
        <w:tc>
          <w:tcPr>
            <w:tcW w:w="0" w:type="auto"/>
            <w:tcBorders>
              <w:left w:val="single" w:sz="4" w:space="0" w:color="0D0D0D" w:themeColor="text1" w:themeTint="F2"/>
              <w:right w:val="single" w:sz="4" w:space="0" w:color="FFFFFF" w:themeColor="background1"/>
            </w:tcBorders>
            <w:shd w:val="clear" w:color="auto" w:fill="FFFFCC"/>
            <w:hideMark/>
          </w:tcPr>
          <w:p w14:paraId="7EFC3773" w14:textId="77777777" w:rsidR="0089127B" w:rsidRDefault="0089127B" w:rsidP="0026761B">
            <w:pPr>
              <w:jc w:val="center"/>
              <w:rPr>
                <w:rFonts w:eastAsia="Times New Roman"/>
                <w:sz w:val="24"/>
                <w:szCs w:val="24"/>
              </w:rPr>
            </w:pPr>
            <w:r>
              <w:rPr>
                <w:rFonts w:eastAsia="Times New Roman"/>
              </w:rPr>
              <w:t>100.0%</w:t>
            </w:r>
          </w:p>
        </w:tc>
      </w:tr>
      <w:tr w:rsidR="0089127B" w14:paraId="47D30C11" w14:textId="77777777" w:rsidTr="00F76332">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287590030"/>
        </w:trPr>
        <w:tc>
          <w:tcPr>
            <w:tcW w:w="0" w:type="auto"/>
            <w:gridSpan w:val="7"/>
            <w:shd w:val="clear" w:color="auto" w:fill="auto"/>
            <w:hideMark/>
          </w:tcPr>
          <w:p w14:paraId="63081323" w14:textId="77777777" w:rsidR="0089127B" w:rsidRDefault="0089127B" w:rsidP="0064482F">
            <w:pPr>
              <w:pStyle w:val="CDIfootnotes"/>
              <w:rPr>
                <w:rFonts w:eastAsia="Times New Roman"/>
                <w:sz w:val="24"/>
                <w:szCs w:val="24"/>
              </w:rPr>
            </w:pPr>
            <w:r>
              <w:rPr>
                <w:rFonts w:eastAsia="Times New Roman"/>
                <w:vertAlign w:val="superscript"/>
              </w:rPr>
              <w:t>*</w:t>
            </w:r>
            <w:r>
              <w:rPr>
                <w:rFonts w:eastAsia="Times New Roman"/>
              </w:rPr>
              <w:t xml:space="preserve"> </w:t>
            </w:r>
            <w:proofErr w:type="gramStart"/>
            <w:r>
              <w:rPr>
                <w:rFonts w:eastAsia="Times New Roman"/>
              </w:rPr>
              <w:t>known</w:t>
            </w:r>
            <w:proofErr w:type="gramEnd"/>
            <w:r>
              <w:rPr>
                <w:rFonts w:eastAsia="Times New Roman"/>
              </w:rPr>
              <w:t xml:space="preserve"> to suppress the immune response or increase risk of infection</w:t>
            </w:r>
          </w:p>
        </w:tc>
      </w:tr>
    </w:tbl>
    <w:p w14:paraId="0682C6AA" w14:textId="77777777" w:rsidR="0089127B" w:rsidRDefault="0089127B">
      <w:pPr>
        <w:pStyle w:val="NormalWeb"/>
        <w:divId w:val="1287590030"/>
      </w:pPr>
      <w:r>
        <w:t>Contact with a healthcare professional prior to notification was relatively high among all notifications; 38.6% of all notifications visited a hospital (day visit) in the 4 weeks prior to onset of symptoms, and 28.5% were admitted to hospital during the same period. This was observed at slightly higher rates for notifications with a co-existing condition known to suppress the immune response or increase the risk of infection; 41.6% and 31.2% of notifications had visited and were admitted to a hospital prior to illness, respectively. Persons on at least one treatment known to suppress the immune response or increase the risk of infection also showed similar results; 46.1% and 35.3% had visited and were admitted to a hospital prior to illness, respectively (Table 4).</w:t>
      </w:r>
    </w:p>
    <w:p w14:paraId="620C1D1B" w14:textId="77777777" w:rsidR="0059197E" w:rsidRDefault="0089127B">
      <w:pPr>
        <w:pStyle w:val="NormalWeb"/>
        <w:divId w:val="1287590030"/>
      </w:pPr>
      <w:r>
        <w:t xml:space="preserve">Receiving information from a healthcare worker about foods to avoid prior to illness was relatively low among all notifications; only 7.0% (n=11) of all notifications </w:t>
      </w:r>
      <w:r w:rsidR="0010408F">
        <w:t>reported</w:t>
      </w:r>
      <w:r>
        <w:t xml:space="preserve"> receiving information on foods to avoid from a healthcare worker. Among notifications with at least one condition or on medications known to suppress the immune response or increase the risk of infection, 7.2% and 5.9%, respectively, had received such information (Table 4).</w:t>
      </w:r>
    </w:p>
    <w:p w14:paraId="05C57B3D" w14:textId="77777777" w:rsidR="00CB6B6F" w:rsidRDefault="00CB6B6F">
      <w:pPr>
        <w:rPr>
          <w:rStyle w:val="Strong"/>
          <w:bCs w:val="0"/>
        </w:rPr>
      </w:pPr>
      <w:r>
        <w:rPr>
          <w:rStyle w:val="Strong"/>
          <w:b w:val="0"/>
          <w:bCs w:val="0"/>
        </w:rPr>
        <w:br w:type="page"/>
      </w:r>
    </w:p>
    <w:p w14:paraId="04159241" w14:textId="77777777" w:rsidR="0089127B" w:rsidRPr="00280605" w:rsidRDefault="0089127B" w:rsidP="00280605">
      <w:pPr>
        <w:pStyle w:val="CDIFigures"/>
        <w:divId w:val="1287590030"/>
      </w:pPr>
      <w:r w:rsidRPr="00280605">
        <w:rPr>
          <w:rStyle w:val="Strong"/>
          <w:b/>
          <w:bCs w:val="0"/>
        </w:rPr>
        <w:lastRenderedPageBreak/>
        <w:t>Table 4. Contact with a healthcare professional prior to illness among listeriosis notifications in NSW between 1</w:t>
      </w:r>
      <w:r w:rsidR="00BE3A60" w:rsidRPr="00280605">
        <w:t> </w:t>
      </w:r>
      <w:r w:rsidRPr="00280605">
        <w:rPr>
          <w:rStyle w:val="Strong"/>
          <w:b/>
          <w:bCs w:val="0"/>
        </w:rPr>
        <w:t>January 2010 to 31 December 2015</w:t>
      </w:r>
      <w:r w:rsidRPr="00280605">
        <w:t xml:space="preserve">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4. Contact with a healthcare professional prior to illness among listeriosis notifications in NSW between 1 January 2010 to 31 December 2015 "/>
        <w:tblDescription w:val="Table 4 presents data on notifications for listeriosis identified in the period between 01 January 2010 to 31 December 2015 in NSW and the number and percentage of notifications that reported any contact with a healthcare professional in the four weeks prior to illness (either by a day visit to hospital or admitted to hospital) and the number and percentage that reported receiving prior information from a health care professional on foods to avoid to prevent listeria infection. Data are presented for all notifications, notifications who had at least one pre-existing condition known to suppress the immune response or increase risk of infection and notifications on more than one medication or treatment known to suppress the immune response or increase risk of infection. "/>
      </w:tblPr>
      <w:tblGrid>
        <w:gridCol w:w="4781"/>
        <w:gridCol w:w="994"/>
        <w:gridCol w:w="995"/>
        <w:gridCol w:w="995"/>
        <w:gridCol w:w="995"/>
        <w:gridCol w:w="995"/>
        <w:gridCol w:w="995"/>
      </w:tblGrid>
      <w:tr w:rsidR="00BE3A60" w14:paraId="5755C436" w14:textId="77777777" w:rsidTr="002118C1">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vMerge w:val="restart"/>
            <w:tcBorders>
              <w:right w:val="nil"/>
            </w:tcBorders>
            <w:shd w:val="clear" w:color="auto" w:fill="FFFFFF" w:themeFill="background1"/>
            <w:hideMark/>
          </w:tcPr>
          <w:p w14:paraId="4A9878D7" w14:textId="77777777" w:rsidR="00BE3A60" w:rsidRDefault="00BE3A60">
            <w:pPr>
              <w:rPr>
                <w:rFonts w:eastAsia="Times New Roman"/>
                <w:sz w:val="24"/>
                <w:szCs w:val="24"/>
              </w:rPr>
            </w:pPr>
            <w:r>
              <w:rPr>
                <w:rFonts w:eastAsia="Times New Roman"/>
              </w:rPr>
              <w:t> </w:t>
            </w:r>
          </w:p>
        </w:tc>
        <w:tc>
          <w:tcPr>
            <w:tcW w:w="0" w:type="auto"/>
            <w:gridSpan w:val="6"/>
            <w:tcBorders>
              <w:top w:val="nil"/>
              <w:left w:val="nil"/>
              <w:bottom w:val="single" w:sz="4" w:space="0" w:color="FFFFFF" w:themeColor="background1"/>
              <w:right w:val="nil"/>
            </w:tcBorders>
            <w:vAlign w:val="center"/>
            <w:hideMark/>
          </w:tcPr>
          <w:p w14:paraId="5660B6E8"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Notifications</w:t>
            </w:r>
          </w:p>
        </w:tc>
      </w:tr>
      <w:tr w:rsidR="00BE3A60" w14:paraId="75181BAC" w14:textId="77777777" w:rsidTr="002118C1">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vMerge/>
            <w:tcBorders>
              <w:right w:val="nil"/>
            </w:tcBorders>
            <w:shd w:val="clear" w:color="auto" w:fill="FFFFFF" w:themeFill="background1"/>
            <w:hideMark/>
          </w:tcPr>
          <w:p w14:paraId="105534F8" w14:textId="77777777" w:rsidR="00BE3A60" w:rsidRDefault="00BE3A60">
            <w:pPr>
              <w:rPr>
                <w:rFonts w:eastAsia="Times New Roman"/>
                <w:sz w:val="24"/>
                <w:szCs w:val="24"/>
              </w:rPr>
            </w:pPr>
          </w:p>
        </w:tc>
        <w:tc>
          <w:tcPr>
            <w:tcW w:w="1989" w:type="dxa"/>
            <w:gridSpan w:val="2"/>
            <w:tcBorders>
              <w:top w:val="single" w:sz="4" w:space="0" w:color="FFFFFF" w:themeColor="background1"/>
              <w:left w:val="nil"/>
              <w:bottom w:val="single" w:sz="4" w:space="0" w:color="FFFFFF" w:themeColor="background1"/>
              <w:right w:val="single" w:sz="4" w:space="0" w:color="FFFFFF" w:themeColor="background1"/>
            </w:tcBorders>
            <w:vAlign w:val="center"/>
            <w:hideMark/>
          </w:tcPr>
          <w:p w14:paraId="2FDDD068"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All (158)</w:t>
            </w:r>
          </w:p>
        </w:tc>
        <w:tc>
          <w:tcPr>
            <w:tcW w:w="19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B90F61A"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 1 co-existing condition</w:t>
            </w:r>
            <w:r w:rsidRPr="00BE3A60">
              <w:rPr>
                <w:rFonts w:eastAsia="Times New Roman"/>
                <w:color w:val="FFFFFF" w:themeColor="background1"/>
                <w:vertAlign w:val="superscript"/>
              </w:rPr>
              <w:t>*</w:t>
            </w:r>
            <w:r w:rsidRPr="00BE3A60">
              <w:rPr>
                <w:rFonts w:eastAsia="Times New Roman"/>
                <w:color w:val="FFFFFF" w:themeColor="background1"/>
              </w:rPr>
              <w:t xml:space="preserve"> (125)</w:t>
            </w:r>
          </w:p>
        </w:tc>
        <w:tc>
          <w:tcPr>
            <w:tcW w:w="1990" w:type="dxa"/>
            <w:gridSpan w:val="2"/>
            <w:tcBorders>
              <w:top w:val="single" w:sz="4" w:space="0" w:color="FFFFFF" w:themeColor="background1"/>
              <w:left w:val="single" w:sz="4" w:space="0" w:color="FFFFFF" w:themeColor="background1"/>
              <w:bottom w:val="single" w:sz="4" w:space="0" w:color="FFFFFF" w:themeColor="background1"/>
              <w:right w:val="nil"/>
            </w:tcBorders>
            <w:vAlign w:val="center"/>
            <w:hideMark/>
          </w:tcPr>
          <w:p w14:paraId="333E38DC"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≥1 medication or treatment</w:t>
            </w:r>
            <w:r w:rsidRPr="00BE3A60">
              <w:rPr>
                <w:rFonts w:eastAsia="Times New Roman"/>
                <w:color w:val="FFFFFF" w:themeColor="background1"/>
                <w:vertAlign w:val="superscript"/>
              </w:rPr>
              <w:t>*</w:t>
            </w:r>
            <w:r w:rsidRPr="00BE3A60">
              <w:rPr>
                <w:rFonts w:eastAsia="Times New Roman"/>
                <w:color w:val="FFFFFF" w:themeColor="background1"/>
              </w:rPr>
              <w:t xml:space="preserve"> (102)</w:t>
            </w:r>
          </w:p>
        </w:tc>
      </w:tr>
      <w:tr w:rsidR="00BE3A60" w14:paraId="29354E88" w14:textId="77777777" w:rsidTr="002118C1">
        <w:trPr>
          <w:cnfStyle w:val="100000000000" w:firstRow="1" w:lastRow="0" w:firstColumn="0" w:lastColumn="0" w:oddVBand="0" w:evenVBand="0" w:oddHBand="0" w:evenHBand="0" w:firstRowFirstColumn="0" w:firstRowLastColumn="0" w:lastRowFirstColumn="0" w:lastRowLastColumn="0"/>
          <w:divId w:val="1287590030"/>
          <w:tblHeader/>
        </w:trPr>
        <w:tc>
          <w:tcPr>
            <w:tcW w:w="0" w:type="auto"/>
            <w:vMerge/>
            <w:tcBorders>
              <w:right w:val="nil"/>
            </w:tcBorders>
            <w:shd w:val="clear" w:color="auto" w:fill="FFFFFF" w:themeFill="background1"/>
            <w:hideMark/>
          </w:tcPr>
          <w:p w14:paraId="38EA87D3" w14:textId="77777777" w:rsidR="00BE3A60" w:rsidRDefault="00BE3A60">
            <w:pPr>
              <w:rPr>
                <w:rFonts w:eastAsia="Times New Roman"/>
                <w:sz w:val="24"/>
                <w:szCs w:val="24"/>
              </w:rPr>
            </w:pPr>
          </w:p>
        </w:tc>
        <w:tc>
          <w:tcPr>
            <w:tcW w:w="994" w:type="dxa"/>
            <w:tcBorders>
              <w:top w:val="single" w:sz="4" w:space="0" w:color="FFFFFF" w:themeColor="background1"/>
              <w:left w:val="nil"/>
              <w:bottom w:val="nil"/>
              <w:right w:val="single" w:sz="4" w:space="0" w:color="FFFFFF" w:themeColor="background1"/>
            </w:tcBorders>
            <w:vAlign w:val="center"/>
            <w:hideMark/>
          </w:tcPr>
          <w:p w14:paraId="18698AB0"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n</w:t>
            </w:r>
          </w:p>
        </w:tc>
        <w:tc>
          <w:tcPr>
            <w:tcW w:w="995" w:type="dxa"/>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23FA3E08"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w:t>
            </w:r>
          </w:p>
        </w:tc>
        <w:tc>
          <w:tcPr>
            <w:tcW w:w="995" w:type="dxa"/>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522A864E"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n</w:t>
            </w:r>
          </w:p>
        </w:tc>
        <w:tc>
          <w:tcPr>
            <w:tcW w:w="995" w:type="dxa"/>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446F5087"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w:t>
            </w:r>
          </w:p>
        </w:tc>
        <w:tc>
          <w:tcPr>
            <w:tcW w:w="995" w:type="dxa"/>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7D711DFC"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n</w:t>
            </w:r>
          </w:p>
        </w:tc>
        <w:tc>
          <w:tcPr>
            <w:tcW w:w="995" w:type="dxa"/>
            <w:tcBorders>
              <w:top w:val="single" w:sz="4" w:space="0" w:color="FFFFFF" w:themeColor="background1"/>
              <w:left w:val="single" w:sz="4" w:space="0" w:color="FFFFFF" w:themeColor="background1"/>
              <w:bottom w:val="nil"/>
              <w:right w:val="nil"/>
            </w:tcBorders>
            <w:vAlign w:val="center"/>
            <w:hideMark/>
          </w:tcPr>
          <w:p w14:paraId="77984FAB" w14:textId="77777777" w:rsidR="00BE3A60" w:rsidRPr="00BE3A60" w:rsidRDefault="00BE3A60" w:rsidP="00BE3A60">
            <w:pPr>
              <w:jc w:val="center"/>
              <w:rPr>
                <w:rFonts w:eastAsia="Times New Roman"/>
                <w:color w:val="FFFFFF" w:themeColor="background1"/>
                <w:sz w:val="24"/>
                <w:szCs w:val="24"/>
              </w:rPr>
            </w:pPr>
            <w:r w:rsidRPr="00BE3A60">
              <w:rPr>
                <w:rFonts w:eastAsia="Times New Roman"/>
                <w:color w:val="FFFFFF" w:themeColor="background1"/>
              </w:rPr>
              <w:t>%</w:t>
            </w:r>
          </w:p>
        </w:tc>
      </w:tr>
      <w:tr w:rsidR="00BE3A60" w14:paraId="478CA6E9" w14:textId="77777777" w:rsidTr="00BE3A60">
        <w:trPr>
          <w:divId w:val="1287590030"/>
        </w:trPr>
        <w:tc>
          <w:tcPr>
            <w:tcW w:w="0" w:type="auto"/>
            <w:gridSpan w:val="7"/>
            <w:shd w:val="clear" w:color="auto" w:fill="FFFFFF" w:themeFill="background1"/>
            <w:hideMark/>
          </w:tcPr>
          <w:p w14:paraId="7D12712C" w14:textId="77777777" w:rsidR="00BE3A60" w:rsidRDefault="00BE3A60">
            <w:pPr>
              <w:rPr>
                <w:rFonts w:eastAsia="Times New Roman"/>
                <w:sz w:val="24"/>
                <w:szCs w:val="24"/>
              </w:rPr>
            </w:pPr>
            <w:r>
              <w:rPr>
                <w:rFonts w:eastAsia="Times New Roman"/>
              </w:rPr>
              <w:t>Contact with a health care professional in the 4 weeks prior to illness</w:t>
            </w:r>
          </w:p>
        </w:tc>
      </w:tr>
      <w:tr w:rsidR="00BE3A60" w14:paraId="110157C6" w14:textId="77777777" w:rsidTr="00BE3A60">
        <w:trPr>
          <w:cnfStyle w:val="000000010000" w:firstRow="0" w:lastRow="0" w:firstColumn="0" w:lastColumn="0" w:oddVBand="0" w:evenVBand="0" w:oddHBand="0" w:evenHBand="1" w:firstRowFirstColumn="0" w:firstRowLastColumn="0" w:lastRowFirstColumn="0" w:lastRowLastColumn="0"/>
          <w:divId w:val="1287590030"/>
        </w:trPr>
        <w:tc>
          <w:tcPr>
            <w:tcW w:w="0" w:type="auto"/>
            <w:shd w:val="clear" w:color="auto" w:fill="FFFFFF" w:themeFill="background1"/>
            <w:hideMark/>
          </w:tcPr>
          <w:p w14:paraId="79EC1148" w14:textId="77777777" w:rsidR="00BE3A60" w:rsidRDefault="00BE3A60">
            <w:pPr>
              <w:rPr>
                <w:rFonts w:eastAsia="Times New Roman"/>
                <w:sz w:val="24"/>
                <w:szCs w:val="24"/>
              </w:rPr>
            </w:pPr>
            <w:r>
              <w:rPr>
                <w:rFonts w:eastAsia="Times New Roman"/>
              </w:rPr>
              <w:t>Day visit to hospital</w:t>
            </w:r>
          </w:p>
        </w:tc>
        <w:tc>
          <w:tcPr>
            <w:tcW w:w="994" w:type="dxa"/>
            <w:shd w:val="clear" w:color="auto" w:fill="FFFFFF" w:themeFill="background1"/>
            <w:hideMark/>
          </w:tcPr>
          <w:p w14:paraId="705FF2C9" w14:textId="77777777" w:rsidR="00BE3A60" w:rsidRDefault="00BE3A60">
            <w:pPr>
              <w:rPr>
                <w:rFonts w:eastAsia="Times New Roman"/>
                <w:sz w:val="24"/>
                <w:szCs w:val="24"/>
              </w:rPr>
            </w:pPr>
            <w:r>
              <w:rPr>
                <w:rFonts w:eastAsia="Times New Roman"/>
              </w:rPr>
              <w:t>61</w:t>
            </w:r>
          </w:p>
        </w:tc>
        <w:tc>
          <w:tcPr>
            <w:tcW w:w="995" w:type="dxa"/>
            <w:shd w:val="clear" w:color="auto" w:fill="FFFFFF" w:themeFill="background1"/>
            <w:hideMark/>
          </w:tcPr>
          <w:p w14:paraId="2BF1FE22" w14:textId="77777777" w:rsidR="00BE3A60" w:rsidRDefault="00BE3A60">
            <w:pPr>
              <w:rPr>
                <w:rFonts w:eastAsia="Times New Roman"/>
                <w:sz w:val="24"/>
                <w:szCs w:val="24"/>
              </w:rPr>
            </w:pPr>
            <w:r>
              <w:rPr>
                <w:rFonts w:eastAsia="Times New Roman"/>
              </w:rPr>
              <w:t>38.6%</w:t>
            </w:r>
          </w:p>
        </w:tc>
        <w:tc>
          <w:tcPr>
            <w:tcW w:w="995" w:type="dxa"/>
            <w:shd w:val="clear" w:color="auto" w:fill="FFFFFF" w:themeFill="background1"/>
            <w:hideMark/>
          </w:tcPr>
          <w:p w14:paraId="7DAF3497" w14:textId="77777777" w:rsidR="00BE3A60" w:rsidRDefault="00BE3A60">
            <w:pPr>
              <w:rPr>
                <w:rFonts w:eastAsia="Times New Roman"/>
                <w:sz w:val="24"/>
                <w:szCs w:val="24"/>
              </w:rPr>
            </w:pPr>
            <w:r>
              <w:rPr>
                <w:rFonts w:eastAsia="Times New Roman"/>
              </w:rPr>
              <w:t>52</w:t>
            </w:r>
          </w:p>
        </w:tc>
        <w:tc>
          <w:tcPr>
            <w:tcW w:w="995" w:type="dxa"/>
            <w:shd w:val="clear" w:color="auto" w:fill="FFFFFF" w:themeFill="background1"/>
            <w:hideMark/>
          </w:tcPr>
          <w:p w14:paraId="458187AE" w14:textId="77777777" w:rsidR="00BE3A60" w:rsidRDefault="00BE3A60">
            <w:pPr>
              <w:rPr>
                <w:rFonts w:eastAsia="Times New Roman"/>
                <w:sz w:val="24"/>
                <w:szCs w:val="24"/>
              </w:rPr>
            </w:pPr>
            <w:r>
              <w:rPr>
                <w:rFonts w:eastAsia="Times New Roman"/>
              </w:rPr>
              <w:t>41.6%</w:t>
            </w:r>
          </w:p>
        </w:tc>
        <w:tc>
          <w:tcPr>
            <w:tcW w:w="995" w:type="dxa"/>
            <w:shd w:val="clear" w:color="auto" w:fill="FFFFFF" w:themeFill="background1"/>
            <w:hideMark/>
          </w:tcPr>
          <w:p w14:paraId="153EFDBF" w14:textId="77777777" w:rsidR="00BE3A60" w:rsidRDefault="00BE3A60">
            <w:pPr>
              <w:rPr>
                <w:rFonts w:eastAsia="Times New Roman"/>
                <w:sz w:val="24"/>
                <w:szCs w:val="24"/>
              </w:rPr>
            </w:pPr>
            <w:r>
              <w:rPr>
                <w:rFonts w:eastAsia="Times New Roman"/>
              </w:rPr>
              <w:t>47</w:t>
            </w:r>
          </w:p>
        </w:tc>
        <w:tc>
          <w:tcPr>
            <w:tcW w:w="995" w:type="dxa"/>
            <w:shd w:val="clear" w:color="auto" w:fill="FFFFFF" w:themeFill="background1"/>
            <w:hideMark/>
          </w:tcPr>
          <w:p w14:paraId="2C995291" w14:textId="77777777" w:rsidR="00BE3A60" w:rsidRDefault="00BE3A60">
            <w:pPr>
              <w:rPr>
                <w:rFonts w:eastAsia="Times New Roman"/>
                <w:sz w:val="24"/>
                <w:szCs w:val="24"/>
              </w:rPr>
            </w:pPr>
            <w:r>
              <w:rPr>
                <w:rFonts w:eastAsia="Times New Roman"/>
              </w:rPr>
              <w:t>46.1%</w:t>
            </w:r>
          </w:p>
        </w:tc>
      </w:tr>
      <w:tr w:rsidR="00BE3A60" w14:paraId="57480E9E" w14:textId="77777777" w:rsidTr="00BE3A60">
        <w:trPr>
          <w:divId w:val="1287590030"/>
        </w:trPr>
        <w:tc>
          <w:tcPr>
            <w:tcW w:w="0" w:type="auto"/>
            <w:shd w:val="clear" w:color="auto" w:fill="FFFFFF" w:themeFill="background1"/>
            <w:hideMark/>
          </w:tcPr>
          <w:p w14:paraId="7B910B43" w14:textId="77777777" w:rsidR="00BE3A60" w:rsidRDefault="00BE3A60">
            <w:pPr>
              <w:rPr>
                <w:rFonts w:eastAsia="Times New Roman"/>
                <w:sz w:val="24"/>
                <w:szCs w:val="24"/>
              </w:rPr>
            </w:pPr>
            <w:r>
              <w:rPr>
                <w:rFonts w:eastAsia="Times New Roman"/>
              </w:rPr>
              <w:t>Admitted to hospital</w:t>
            </w:r>
          </w:p>
        </w:tc>
        <w:tc>
          <w:tcPr>
            <w:tcW w:w="994" w:type="dxa"/>
            <w:shd w:val="clear" w:color="auto" w:fill="FFFFFF" w:themeFill="background1"/>
            <w:hideMark/>
          </w:tcPr>
          <w:p w14:paraId="0669FC5C" w14:textId="77777777" w:rsidR="00BE3A60" w:rsidRDefault="00BE3A60">
            <w:pPr>
              <w:rPr>
                <w:rFonts w:eastAsia="Times New Roman"/>
                <w:sz w:val="24"/>
                <w:szCs w:val="24"/>
              </w:rPr>
            </w:pPr>
            <w:r>
              <w:rPr>
                <w:rFonts w:eastAsia="Times New Roman"/>
              </w:rPr>
              <w:t>45</w:t>
            </w:r>
          </w:p>
        </w:tc>
        <w:tc>
          <w:tcPr>
            <w:tcW w:w="995" w:type="dxa"/>
            <w:shd w:val="clear" w:color="auto" w:fill="FFFFFF" w:themeFill="background1"/>
            <w:hideMark/>
          </w:tcPr>
          <w:p w14:paraId="2B030201" w14:textId="77777777" w:rsidR="00BE3A60" w:rsidRDefault="00BE3A60">
            <w:pPr>
              <w:rPr>
                <w:rFonts w:eastAsia="Times New Roman"/>
                <w:sz w:val="24"/>
                <w:szCs w:val="24"/>
              </w:rPr>
            </w:pPr>
            <w:r>
              <w:rPr>
                <w:rFonts w:eastAsia="Times New Roman"/>
              </w:rPr>
              <w:t>28.5%</w:t>
            </w:r>
          </w:p>
        </w:tc>
        <w:tc>
          <w:tcPr>
            <w:tcW w:w="995" w:type="dxa"/>
            <w:shd w:val="clear" w:color="auto" w:fill="FFFFFF" w:themeFill="background1"/>
            <w:hideMark/>
          </w:tcPr>
          <w:p w14:paraId="2D70BD20" w14:textId="77777777" w:rsidR="00BE3A60" w:rsidRDefault="00BE3A60">
            <w:pPr>
              <w:rPr>
                <w:rFonts w:eastAsia="Times New Roman"/>
                <w:sz w:val="24"/>
                <w:szCs w:val="24"/>
              </w:rPr>
            </w:pPr>
            <w:r>
              <w:rPr>
                <w:rFonts w:eastAsia="Times New Roman"/>
              </w:rPr>
              <w:t>39</w:t>
            </w:r>
          </w:p>
        </w:tc>
        <w:tc>
          <w:tcPr>
            <w:tcW w:w="995" w:type="dxa"/>
            <w:shd w:val="clear" w:color="auto" w:fill="FFFFFF" w:themeFill="background1"/>
            <w:hideMark/>
          </w:tcPr>
          <w:p w14:paraId="59144984" w14:textId="77777777" w:rsidR="00BE3A60" w:rsidRDefault="00BE3A60">
            <w:pPr>
              <w:rPr>
                <w:rFonts w:eastAsia="Times New Roman"/>
                <w:sz w:val="24"/>
                <w:szCs w:val="24"/>
              </w:rPr>
            </w:pPr>
            <w:r>
              <w:rPr>
                <w:rFonts w:eastAsia="Times New Roman"/>
              </w:rPr>
              <w:t>31.2%</w:t>
            </w:r>
          </w:p>
        </w:tc>
        <w:tc>
          <w:tcPr>
            <w:tcW w:w="995" w:type="dxa"/>
            <w:shd w:val="clear" w:color="auto" w:fill="FFFFFF" w:themeFill="background1"/>
            <w:hideMark/>
          </w:tcPr>
          <w:p w14:paraId="7A55456F" w14:textId="77777777" w:rsidR="00BE3A60" w:rsidRDefault="00BE3A60">
            <w:pPr>
              <w:rPr>
                <w:rFonts w:eastAsia="Times New Roman"/>
                <w:sz w:val="24"/>
                <w:szCs w:val="24"/>
              </w:rPr>
            </w:pPr>
            <w:r>
              <w:rPr>
                <w:rFonts w:eastAsia="Times New Roman"/>
              </w:rPr>
              <w:t>36</w:t>
            </w:r>
          </w:p>
        </w:tc>
        <w:tc>
          <w:tcPr>
            <w:tcW w:w="995" w:type="dxa"/>
            <w:shd w:val="clear" w:color="auto" w:fill="FFFFFF" w:themeFill="background1"/>
            <w:hideMark/>
          </w:tcPr>
          <w:p w14:paraId="3455B686" w14:textId="77777777" w:rsidR="00BE3A60" w:rsidRDefault="00BE3A60">
            <w:pPr>
              <w:rPr>
                <w:rFonts w:eastAsia="Times New Roman"/>
                <w:sz w:val="24"/>
                <w:szCs w:val="24"/>
              </w:rPr>
            </w:pPr>
            <w:r>
              <w:rPr>
                <w:rFonts w:eastAsia="Times New Roman"/>
              </w:rPr>
              <w:t>35.3%</w:t>
            </w:r>
          </w:p>
        </w:tc>
      </w:tr>
      <w:tr w:rsidR="00BE3A60" w14:paraId="2F3344C4" w14:textId="77777777" w:rsidTr="00BE075A">
        <w:trPr>
          <w:cnfStyle w:val="000000010000" w:firstRow="0" w:lastRow="0" w:firstColumn="0" w:lastColumn="0" w:oddVBand="0" w:evenVBand="0" w:oddHBand="0" w:evenHBand="1" w:firstRowFirstColumn="0" w:firstRowLastColumn="0" w:lastRowFirstColumn="0" w:lastRowLastColumn="0"/>
          <w:divId w:val="1287590030"/>
        </w:trPr>
        <w:tc>
          <w:tcPr>
            <w:tcW w:w="0" w:type="auto"/>
            <w:tcBorders>
              <w:bottom w:val="single" w:sz="4" w:space="0" w:color="auto"/>
            </w:tcBorders>
            <w:shd w:val="clear" w:color="auto" w:fill="FFFFFF" w:themeFill="background1"/>
            <w:hideMark/>
          </w:tcPr>
          <w:p w14:paraId="0265985F" w14:textId="77777777" w:rsidR="00BE3A60" w:rsidRDefault="00BE3A60">
            <w:pPr>
              <w:rPr>
                <w:rFonts w:eastAsia="Times New Roman"/>
                <w:sz w:val="24"/>
                <w:szCs w:val="24"/>
              </w:rPr>
            </w:pPr>
            <w:r>
              <w:rPr>
                <w:rFonts w:eastAsia="Times New Roman"/>
              </w:rPr>
              <w:t xml:space="preserve">Information received from healthcare professional on foods to avoid </w:t>
            </w:r>
            <w:proofErr w:type="gramStart"/>
            <w:r>
              <w:rPr>
                <w:rFonts w:eastAsia="Times New Roman"/>
              </w:rPr>
              <w:t>to prevent</w:t>
            </w:r>
            <w:proofErr w:type="gramEnd"/>
            <w:r>
              <w:rPr>
                <w:rFonts w:eastAsia="Times New Roman"/>
              </w:rPr>
              <w:t xml:space="preserve"> listeria</w:t>
            </w:r>
          </w:p>
        </w:tc>
        <w:tc>
          <w:tcPr>
            <w:tcW w:w="994" w:type="dxa"/>
            <w:tcBorders>
              <w:bottom w:val="single" w:sz="4" w:space="0" w:color="auto"/>
            </w:tcBorders>
            <w:shd w:val="clear" w:color="auto" w:fill="FFFFFF" w:themeFill="background1"/>
            <w:hideMark/>
          </w:tcPr>
          <w:p w14:paraId="0E93273E" w14:textId="77777777" w:rsidR="00BE3A60" w:rsidRDefault="00BE3A60">
            <w:pPr>
              <w:rPr>
                <w:rFonts w:eastAsia="Times New Roman"/>
                <w:sz w:val="24"/>
                <w:szCs w:val="24"/>
              </w:rPr>
            </w:pPr>
            <w:r>
              <w:rPr>
                <w:rFonts w:eastAsia="Times New Roman"/>
              </w:rPr>
              <w:t>11</w:t>
            </w:r>
          </w:p>
        </w:tc>
        <w:tc>
          <w:tcPr>
            <w:tcW w:w="995" w:type="dxa"/>
            <w:tcBorders>
              <w:bottom w:val="single" w:sz="4" w:space="0" w:color="auto"/>
            </w:tcBorders>
            <w:shd w:val="clear" w:color="auto" w:fill="FFFFFF" w:themeFill="background1"/>
            <w:hideMark/>
          </w:tcPr>
          <w:p w14:paraId="3E5527E1" w14:textId="77777777" w:rsidR="00BE3A60" w:rsidRDefault="00BE3A60">
            <w:pPr>
              <w:rPr>
                <w:rFonts w:eastAsia="Times New Roman"/>
                <w:sz w:val="24"/>
                <w:szCs w:val="24"/>
              </w:rPr>
            </w:pPr>
            <w:r>
              <w:rPr>
                <w:rFonts w:eastAsia="Times New Roman"/>
              </w:rPr>
              <w:t>7.0%</w:t>
            </w:r>
          </w:p>
        </w:tc>
        <w:tc>
          <w:tcPr>
            <w:tcW w:w="995" w:type="dxa"/>
            <w:tcBorders>
              <w:bottom w:val="single" w:sz="4" w:space="0" w:color="auto"/>
            </w:tcBorders>
            <w:shd w:val="clear" w:color="auto" w:fill="FFFFFF" w:themeFill="background1"/>
            <w:hideMark/>
          </w:tcPr>
          <w:p w14:paraId="63E7AF9D" w14:textId="77777777" w:rsidR="00BE3A60" w:rsidRDefault="00BE3A60">
            <w:pPr>
              <w:rPr>
                <w:rFonts w:eastAsia="Times New Roman"/>
                <w:sz w:val="24"/>
                <w:szCs w:val="24"/>
              </w:rPr>
            </w:pPr>
            <w:r>
              <w:rPr>
                <w:rFonts w:eastAsia="Times New Roman"/>
              </w:rPr>
              <w:t>9</w:t>
            </w:r>
          </w:p>
        </w:tc>
        <w:tc>
          <w:tcPr>
            <w:tcW w:w="995" w:type="dxa"/>
            <w:tcBorders>
              <w:bottom w:val="single" w:sz="4" w:space="0" w:color="auto"/>
            </w:tcBorders>
            <w:shd w:val="clear" w:color="auto" w:fill="FFFFFF" w:themeFill="background1"/>
            <w:hideMark/>
          </w:tcPr>
          <w:p w14:paraId="4A4901CF" w14:textId="77777777" w:rsidR="00BE3A60" w:rsidRDefault="00BE3A60">
            <w:pPr>
              <w:rPr>
                <w:rFonts w:eastAsia="Times New Roman"/>
                <w:sz w:val="24"/>
                <w:szCs w:val="24"/>
              </w:rPr>
            </w:pPr>
            <w:r>
              <w:rPr>
                <w:rFonts w:eastAsia="Times New Roman"/>
              </w:rPr>
              <w:t>7.2%</w:t>
            </w:r>
          </w:p>
        </w:tc>
        <w:tc>
          <w:tcPr>
            <w:tcW w:w="995" w:type="dxa"/>
            <w:tcBorders>
              <w:bottom w:val="single" w:sz="4" w:space="0" w:color="auto"/>
            </w:tcBorders>
            <w:shd w:val="clear" w:color="auto" w:fill="FFFFFF" w:themeFill="background1"/>
            <w:hideMark/>
          </w:tcPr>
          <w:p w14:paraId="6DD751FD" w14:textId="77777777" w:rsidR="00BE3A60" w:rsidRDefault="00BE3A60">
            <w:pPr>
              <w:rPr>
                <w:rFonts w:eastAsia="Times New Roman"/>
                <w:sz w:val="24"/>
                <w:szCs w:val="24"/>
              </w:rPr>
            </w:pPr>
            <w:r>
              <w:rPr>
                <w:rFonts w:eastAsia="Times New Roman"/>
              </w:rPr>
              <w:t>6</w:t>
            </w:r>
          </w:p>
        </w:tc>
        <w:tc>
          <w:tcPr>
            <w:tcW w:w="995" w:type="dxa"/>
            <w:tcBorders>
              <w:bottom w:val="single" w:sz="4" w:space="0" w:color="auto"/>
            </w:tcBorders>
            <w:shd w:val="clear" w:color="auto" w:fill="FFFFFF" w:themeFill="background1"/>
            <w:hideMark/>
          </w:tcPr>
          <w:p w14:paraId="78715769" w14:textId="77777777" w:rsidR="00BE3A60" w:rsidRDefault="00BE3A60">
            <w:pPr>
              <w:rPr>
                <w:rFonts w:eastAsia="Times New Roman"/>
                <w:sz w:val="24"/>
                <w:szCs w:val="24"/>
              </w:rPr>
            </w:pPr>
            <w:r>
              <w:rPr>
                <w:rFonts w:eastAsia="Times New Roman"/>
              </w:rPr>
              <w:t>5.9%</w:t>
            </w:r>
          </w:p>
        </w:tc>
      </w:tr>
      <w:tr w:rsidR="00BE3A60" w14:paraId="60D421BD" w14:textId="77777777" w:rsidTr="00BE075A">
        <w:trPr>
          <w:divId w:val="1287590030"/>
        </w:trPr>
        <w:tc>
          <w:tcPr>
            <w:tcW w:w="0" w:type="auto"/>
            <w:gridSpan w:val="7"/>
            <w:tcBorders>
              <w:top w:val="single" w:sz="4" w:space="0" w:color="auto"/>
              <w:left w:val="nil"/>
              <w:bottom w:val="nil"/>
              <w:right w:val="nil"/>
            </w:tcBorders>
            <w:shd w:val="clear" w:color="auto" w:fill="auto"/>
            <w:hideMark/>
          </w:tcPr>
          <w:p w14:paraId="5CE1E326" w14:textId="77777777" w:rsidR="00BE3A60" w:rsidRPr="00F830CB" w:rsidRDefault="00BE3A60" w:rsidP="00F830CB">
            <w:pPr>
              <w:pStyle w:val="CDIfootnotes"/>
            </w:pPr>
            <w:r w:rsidRPr="00F830CB">
              <w:t>*</w:t>
            </w:r>
            <w:proofErr w:type="gramStart"/>
            <w:r w:rsidRPr="00F830CB">
              <w:t>known</w:t>
            </w:r>
            <w:proofErr w:type="gramEnd"/>
            <w:r w:rsidRPr="00F830CB">
              <w:t xml:space="preserve"> to suppress the immune response or increase risk of infection</w:t>
            </w:r>
          </w:p>
        </w:tc>
      </w:tr>
    </w:tbl>
    <w:p w14:paraId="451F2FF1" w14:textId="77777777" w:rsidR="0089127B" w:rsidRPr="00CB6B6F" w:rsidRDefault="0089127B" w:rsidP="00CB6B6F">
      <w:pPr>
        <w:pStyle w:val="Heading1"/>
        <w:divId w:val="1287590030"/>
      </w:pPr>
      <w:r w:rsidRPr="00CB6B6F">
        <w:t>Discussion</w:t>
      </w:r>
    </w:p>
    <w:p w14:paraId="587F1A0C" w14:textId="77777777" w:rsidR="0089127B" w:rsidRDefault="0089127B">
      <w:pPr>
        <w:pStyle w:val="NormalWeb"/>
        <w:divId w:val="1287590030"/>
      </w:pPr>
      <w:r>
        <w:t xml:space="preserve">This paper provides recent data on the prevalence of conditions and treatments known to increase risk of listeria infection among residents of NSW, indicating potential areas for improved clinical management and risk reduction strategies. Between 2010 and 2015, persons with a co-existing condition or on treatment known to suppress the immune response or increase the risk of infection, represented a considerable proportion of listeriosis notifications; 79.1% (125) and 64.6% (102) of all notifications, respectively. Malignancies, heart disease, rheumatological conditions and blood diseases, and </w:t>
      </w:r>
      <w:proofErr w:type="spellStart"/>
      <w:r>
        <w:t>antidiarrhoeal</w:t>
      </w:r>
      <w:proofErr w:type="spellEnd"/>
      <w:r>
        <w:t xml:space="preserve">, antacids and antibiotics drugs, systemic </w:t>
      </w:r>
      <w:proofErr w:type="gramStart"/>
      <w:r>
        <w:t>steroids</w:t>
      </w:r>
      <w:proofErr w:type="gramEnd"/>
      <w:r>
        <w:t xml:space="preserve"> and cancer drugs specifically, were all frequently reported in persons with </w:t>
      </w:r>
      <w:r w:rsidRPr="00143AA8">
        <w:rPr>
          <w:rStyle w:val="Emphasis"/>
          <w:b w:val="0"/>
        </w:rPr>
        <w:t>Listeria</w:t>
      </w:r>
      <w:r>
        <w:t xml:space="preserve"> infection. Cancer patients accounted for a third of all listeriosis notifications in the reporting period. This is compared to other known risk factors including aged over 65 years (71.5%) and pregnancy (4.3%). Information on foods to avoid </w:t>
      </w:r>
      <w:proofErr w:type="gramStart"/>
      <w:r>
        <w:t>to prevent</w:t>
      </w:r>
      <w:proofErr w:type="gramEnd"/>
      <w:r>
        <w:t xml:space="preserve"> listeriosis provided by a healthcare worker prior to illness was received by relatively few notifications with a known risk factor: 7.2% of notifications with a known risk condition and 5.9% of notifications on medication reported receiving information reporting receiving such information. This was found despite relatively high levels of contact with health professionals prior to infection: 56.8% and 63.7% respectively had visited or been admitted to a hospital in the four weeks prior to illness. </w:t>
      </w:r>
    </w:p>
    <w:p w14:paraId="1F1734F9" w14:textId="77777777" w:rsidR="0089127B" w:rsidRDefault="0089127B">
      <w:pPr>
        <w:pStyle w:val="NormalWeb"/>
        <w:divId w:val="1287590030"/>
      </w:pPr>
      <w:r>
        <w:t>This study is one of few studies to look at the distribution of immunocompromised persons among listeriosis notifications in Australia</w:t>
      </w:r>
      <w:r>
        <w:rPr>
          <w:vertAlign w:val="superscript"/>
        </w:rPr>
        <w:t>17</w:t>
      </w:r>
      <w:r>
        <w:t>, and the first to look at distribution in NSW over a 5-year period. Data extracted from notification records and a standardised questionnaire (</w:t>
      </w:r>
      <w:proofErr w:type="spellStart"/>
      <w:r>
        <w:t>OzFoodNet</w:t>
      </w:r>
      <w:proofErr w:type="spellEnd"/>
      <w:r>
        <w:t xml:space="preserve"> Listeria Case Questionnaire) was utilised throughout the study period, making it an appropriate data source for presenting long term trends. The limitations of this study include the use of self-reported data provided in the questionnaire on exposures and treatment regimens from patients and their caregivers prior to illness, potentially leading to recall bias, and the use of pre-fixed categories for treatments and conditions in the standardised questionnaire, which may have led to measurement bias depending on the person collecting the data. Further the questionnaire does not include separate disease categories for autoimmune diseases and HIV, which are associated with increased risk of infection, leading to </w:t>
      </w:r>
      <w:r>
        <w:lastRenderedPageBreak/>
        <w:t xml:space="preserve">potential underreporting of trends in these specific vulnerable populations. Incomplete recording of data by surveillance officers due to time constraints or data entry errors may have also occurred, leading to underreporting of certain conditions or exposures. Where possible this study compared both patient and treating clinician responses to the standardised questionnaire and reviewed conditions and treatment responses to ensure they had not been incorrectly categorised during data collection, adjusting where possible for measurement bias. It is also likely that perinatal cases are underreported, due to under recognition and subsequent testing of early stage miscarriages due to listeriosis not being suspected in the event of an adverse maternal outcome. Fatality outcomes were not used in this study due to incomplete data collection, </w:t>
      </w:r>
      <w:proofErr w:type="gramStart"/>
      <w:r>
        <w:t>however</w:t>
      </w:r>
      <w:proofErr w:type="gramEnd"/>
      <w:r>
        <w:t xml:space="preserve"> might be a useful variable in future analysis. Outbreak data during the study period were not examined and variation between variables in sporadic versus outbreak cases may also be considered in future research in cases among this population group.</w:t>
      </w:r>
    </w:p>
    <w:p w14:paraId="5857FC89" w14:textId="77777777" w:rsidR="0089127B" w:rsidRDefault="0089127B">
      <w:pPr>
        <w:pStyle w:val="NormalWeb"/>
        <w:divId w:val="1287590030"/>
      </w:pPr>
      <w:r>
        <w:t xml:space="preserve">Our findings suggest </w:t>
      </w:r>
      <w:proofErr w:type="gramStart"/>
      <w:r>
        <w:t>that,</w:t>
      </w:r>
      <w:proofErr w:type="gramEnd"/>
      <w:r>
        <w:t xml:space="preserve"> similar to studies in other industrialised countries </w:t>
      </w:r>
      <w:r w:rsidRPr="00B9000A">
        <w:rPr>
          <w:vertAlign w:val="superscript"/>
        </w:rPr>
        <w:t>5, 18-19</w:t>
      </w:r>
      <w:r w:rsidR="00917997">
        <w:rPr>
          <w:vertAlign w:val="superscript"/>
        </w:rPr>
        <w:t xml:space="preserve"> </w:t>
      </w:r>
      <w:r>
        <w:t>; immunocompromised persons, either with a primary immunodeficiency (a chronic condition suppressing the immune response) or receiving treatment or therapy that temporarily suppresses the immune system (chemotherapy, radiotherapy, systematic steroids), represents a significant proportion of listeriosis notifications. Findings are also consistent with those in a national case-control study, where cancer and use of antibiotics, systematic steroids and antibiotics were associated with risk of infection and were also found in significant proportion of cases.</w:t>
      </w:r>
      <w:r>
        <w:rPr>
          <w:vertAlign w:val="superscript"/>
        </w:rPr>
        <w:t>17</w:t>
      </w:r>
      <w:r>
        <w:t xml:space="preserve"> These results identify specific patient groups in NSW who could benefit from targeted food safety messages to reduce further infections.</w:t>
      </w:r>
    </w:p>
    <w:p w14:paraId="428009EE" w14:textId="77777777" w:rsidR="0089127B" w:rsidRDefault="0089127B">
      <w:pPr>
        <w:pStyle w:val="NormalWeb"/>
        <w:divId w:val="1287590030"/>
      </w:pPr>
      <w:r>
        <w:t xml:space="preserve">Reducing the risk and subsequent burden in susceptible populations has long been the focus of listeriosis control measures in Australia as well as a number of industrialised countries. With the decline of listeriosis notifications among pregnant women over the years, there is encouraging evidence to suggest that targeted strategies in food safety in the food industry, enhanced </w:t>
      </w:r>
      <w:proofErr w:type="gramStart"/>
      <w:r>
        <w:t>surveillance</w:t>
      </w:r>
      <w:proofErr w:type="gramEnd"/>
      <w:r>
        <w:t xml:space="preserve"> and the adoption of protective behaviours by consumers have worked to reduce the incidence of listeriosis in this specific group. Understanding trends of listeriosis among persons with identifiable risk factors can provide useful information to further reduce the disease burden in the population. The significant burden of cancer among Australians </w:t>
      </w:r>
      <w:r>
        <w:rPr>
          <w:vertAlign w:val="superscript"/>
        </w:rPr>
        <w:t>21</w:t>
      </w:r>
      <w:r>
        <w:t xml:space="preserve"> and the associated risk of listeriosis with cancer and commonly used cancer treatments and therapies</w:t>
      </w:r>
      <w:r>
        <w:rPr>
          <w:vertAlign w:val="superscript"/>
        </w:rPr>
        <w:t>17</w:t>
      </w:r>
      <w:r>
        <w:t xml:space="preserve">, raises a concern regarding current risk reduction measures targeted at cancer patients. Currently in Australia, food safety information is generally incorporated into consultations by dieticians and nurses on admission to hospital. The extent to which such advice is routinely provided by general practitioners and other primary healthcare providers who may provide long term care for cancer patients and other immunocompromised persons, is not well understood. Currently there are limited standardised information and resources available on food-borne diseases, immunocompromised </w:t>
      </w:r>
      <w:proofErr w:type="gramStart"/>
      <w:r>
        <w:t>persons</w:t>
      </w:r>
      <w:proofErr w:type="gramEnd"/>
      <w:r>
        <w:t xml:space="preserve"> and relevant food safety advice in Australia, leaving clinicians and health facilities to compile their own resources. This study shows that few immunocompromised persons who developed listeriosis, could recall receiving any information, suggesting room for improvement.</w:t>
      </w:r>
    </w:p>
    <w:p w14:paraId="4509DA75" w14:textId="77777777" w:rsidR="0089127B" w:rsidRDefault="0089127B">
      <w:pPr>
        <w:pStyle w:val="NormalWeb"/>
        <w:divId w:val="1287590030"/>
      </w:pPr>
      <w:r>
        <w:t>Communication of the significant proportion of immunocompromised persons among listeriosis notifications and development of key risk reduction messages for use by clinicians would be one step towards reducing the burden of the disease. Healthcare professionals, including those working in primary healthcare and key facilities frequented by immunocompromised patients including departments of oncology, haematology, aged-</w:t>
      </w:r>
      <w:proofErr w:type="gramStart"/>
      <w:r>
        <w:t>care</w:t>
      </w:r>
      <w:proofErr w:type="gramEnd"/>
      <w:r>
        <w:t xml:space="preserve"> and in-patient wards should be prioritised for targeted information and resources based on their frequent contact with the group at risk. Risk communication materials for clinicians of immunocompromised patients, including cancer patients, have been developed in other countries including the US.</w:t>
      </w:r>
    </w:p>
    <w:p w14:paraId="260EA308" w14:textId="77777777" w:rsidR="0089127B" w:rsidRDefault="0089127B">
      <w:pPr>
        <w:pStyle w:val="NormalWeb"/>
        <w:divId w:val="1287590030"/>
      </w:pPr>
      <w:r>
        <w:t xml:space="preserve">There are a number of challenges in delivering food safety information to immunocompromised groups that should not be overlooked, such as the personal choice to prioritise food safety among persons with a terminal illness and </w:t>
      </w:r>
      <w:r>
        <w:lastRenderedPageBreak/>
        <w:t>the positioning of such information at a time when persons undergoing treatment or have been newly diagnosed are provided with large volumes of information.</w:t>
      </w:r>
    </w:p>
    <w:p w14:paraId="1A912C4C" w14:textId="77777777" w:rsidR="0089127B" w:rsidRDefault="0089127B">
      <w:pPr>
        <w:pStyle w:val="NormalWeb"/>
        <w:divId w:val="1287590030"/>
      </w:pPr>
      <w:r>
        <w:t>Further research into clinicians’ understanding of associated risk factors, current trends in risk, relevant communication channels and barriers to adopting preventative behaviours by patients and their caregivers should be explored to better understand which risk communication strategies would be best suited for immunocompromised persons.</w:t>
      </w:r>
    </w:p>
    <w:p w14:paraId="4E5D1089" w14:textId="77777777" w:rsidR="0089127B" w:rsidRDefault="0089127B" w:rsidP="00CB6B6F">
      <w:pPr>
        <w:pStyle w:val="Heading1"/>
        <w:divId w:val="1287590030"/>
        <w:rPr>
          <w:rFonts w:eastAsia="Times New Roman"/>
        </w:rPr>
      </w:pPr>
      <w:r>
        <w:rPr>
          <w:rStyle w:val="Strong"/>
          <w:rFonts w:eastAsia="Times New Roman"/>
          <w:b/>
          <w:bCs/>
        </w:rPr>
        <w:t xml:space="preserve">Conclusion </w:t>
      </w:r>
    </w:p>
    <w:p w14:paraId="6350490F" w14:textId="77777777" w:rsidR="0089127B" w:rsidRDefault="0089127B">
      <w:pPr>
        <w:pStyle w:val="NormalWeb"/>
        <w:divId w:val="1287590030"/>
      </w:pPr>
      <w:r>
        <w:t>The prevalence of known risk factors for listeriosis among notified cases remains significant in NSW. Improved risk communication for this population, starting with information from healthcare professionals, may be beneficial in reducing the burden of listeriosis in known vulnerable groups who have regular contact with the health system.</w:t>
      </w:r>
    </w:p>
    <w:p w14:paraId="1A0FB6DE" w14:textId="77777777" w:rsidR="0089127B" w:rsidRDefault="0089127B">
      <w:pPr>
        <w:pStyle w:val="Heading2"/>
        <w:divId w:val="1287590030"/>
        <w:rPr>
          <w:rFonts w:eastAsia="Times New Roman"/>
        </w:rPr>
      </w:pPr>
      <w:r>
        <w:rPr>
          <w:rStyle w:val="Strong"/>
          <w:rFonts w:eastAsia="Times New Roman"/>
          <w:b/>
          <w:bCs/>
        </w:rPr>
        <w:t xml:space="preserve">Ethics considerations </w:t>
      </w:r>
    </w:p>
    <w:p w14:paraId="67E72422" w14:textId="77777777" w:rsidR="0089127B" w:rsidRDefault="0089127B">
      <w:pPr>
        <w:pStyle w:val="NormalWeb"/>
        <w:divId w:val="1287590030"/>
      </w:pPr>
      <w:r>
        <w:t>Data has been de-identified for the use of this report. Data was collected under the NSW Public Health Act 2010.</w:t>
      </w:r>
    </w:p>
    <w:p w14:paraId="2962231D" w14:textId="77777777" w:rsidR="0089127B" w:rsidRPr="00B30F89" w:rsidRDefault="0089127B" w:rsidP="00B30F89">
      <w:pPr>
        <w:pStyle w:val="Heading1"/>
        <w:divId w:val="1287590030"/>
      </w:pPr>
      <w:r w:rsidRPr="00B30F89">
        <w:rPr>
          <w:rStyle w:val="Strong"/>
          <w:b/>
          <w:bCs/>
        </w:rPr>
        <w:t xml:space="preserve">Acknowledgements </w:t>
      </w:r>
    </w:p>
    <w:p w14:paraId="34E9E58E" w14:textId="77777777" w:rsidR="0089127B" w:rsidRDefault="0089127B">
      <w:pPr>
        <w:pStyle w:val="NormalWeb"/>
        <w:divId w:val="1287590030"/>
      </w:pPr>
      <w:r>
        <w:t>Dr Katherine Todd, Brett Archer</w:t>
      </w:r>
    </w:p>
    <w:p w14:paraId="0C184025" w14:textId="77777777" w:rsidR="0089127B" w:rsidRPr="00CB6B6F" w:rsidRDefault="0089127B" w:rsidP="00CB6B6F">
      <w:pPr>
        <w:pStyle w:val="Heading1"/>
        <w:divId w:val="1287590030"/>
      </w:pPr>
      <w:r w:rsidRPr="00CB6B6F">
        <w:rPr>
          <w:rStyle w:val="Strong"/>
          <w:b/>
          <w:bCs/>
        </w:rPr>
        <w:t>Author details</w:t>
      </w:r>
    </w:p>
    <w:p w14:paraId="196190D4" w14:textId="77777777" w:rsidR="0089127B" w:rsidRDefault="0089127B">
      <w:pPr>
        <w:pStyle w:val="NormalWeb"/>
        <w:divId w:val="1287590030"/>
      </w:pPr>
      <w:r>
        <w:t>Ms Kit M. Leung</w:t>
      </w:r>
      <w:r>
        <w:rPr>
          <w:vertAlign w:val="superscript"/>
        </w:rPr>
        <w:t>1</w:t>
      </w:r>
      <w:r>
        <w:t>, Public Health Officer</w:t>
      </w:r>
    </w:p>
    <w:p w14:paraId="4EFDD022" w14:textId="77777777" w:rsidR="0089127B" w:rsidRDefault="0089127B">
      <w:pPr>
        <w:pStyle w:val="NormalWeb"/>
        <w:divId w:val="1287590030"/>
      </w:pPr>
      <w:r>
        <w:t>Dr Kirsty G. Hope</w:t>
      </w:r>
      <w:r>
        <w:rPr>
          <w:vertAlign w:val="superscript"/>
        </w:rPr>
        <w:t>2</w:t>
      </w:r>
      <w:r>
        <w:t>, Manager, Enteric and Zoonotic Diseases</w:t>
      </w:r>
    </w:p>
    <w:p w14:paraId="7A268E40" w14:textId="77777777" w:rsidR="0089127B" w:rsidRDefault="0089127B">
      <w:pPr>
        <w:pStyle w:val="NormalWeb"/>
        <w:divId w:val="1287590030"/>
      </w:pPr>
      <w:r>
        <w:t>Dr Vicky Sheppeard</w:t>
      </w:r>
      <w:r>
        <w:rPr>
          <w:vertAlign w:val="superscript"/>
        </w:rPr>
        <w:t>2</w:t>
      </w:r>
      <w:r>
        <w:t xml:space="preserve"> Director, Communicable Diseases Branch</w:t>
      </w:r>
    </w:p>
    <w:p w14:paraId="342C2EA7" w14:textId="77777777" w:rsidR="0089127B" w:rsidRDefault="0089127B">
      <w:pPr>
        <w:pStyle w:val="NormalWeb"/>
        <w:divId w:val="1287590030"/>
      </w:pPr>
      <w:r>
        <w:rPr>
          <w:vertAlign w:val="superscript"/>
        </w:rPr>
        <w:t xml:space="preserve">1 </w:t>
      </w:r>
      <w:r>
        <w:t>New South Wales Ministry of Health, Sydney, New South Wales, Australia</w:t>
      </w:r>
    </w:p>
    <w:p w14:paraId="1E068AD2" w14:textId="77777777" w:rsidR="0089127B" w:rsidRDefault="0089127B">
      <w:pPr>
        <w:pStyle w:val="NormalWeb"/>
        <w:divId w:val="1287590030"/>
      </w:pPr>
      <w:r>
        <w:rPr>
          <w:vertAlign w:val="superscript"/>
        </w:rPr>
        <w:t>2</w:t>
      </w:r>
      <w:r>
        <w:t xml:space="preserve"> Health Protection New South Wales, Sydney, New South Wales, Australia</w:t>
      </w:r>
    </w:p>
    <w:p w14:paraId="7C085F12" w14:textId="32093F04" w:rsidR="0059197E" w:rsidRDefault="0089127B">
      <w:pPr>
        <w:pStyle w:val="NormalWeb"/>
        <w:divId w:val="1287590030"/>
      </w:pPr>
      <w:r>
        <w:t xml:space="preserve">Corresponding author: Kit Leung. Current postal address: 1A Tusculum Street, NSW 2011, Australia. Telephone: +61 481371586. Email: </w:t>
      </w:r>
      <w:hyperlink r:id="rId10" w:history="1">
        <w:r w:rsidR="0059197E" w:rsidRPr="00427A54">
          <w:rPr>
            <w:rStyle w:val="Hyperlink"/>
          </w:rPr>
          <w:t>kitminghk@gmail.com</w:t>
        </w:r>
      </w:hyperlink>
    </w:p>
    <w:p w14:paraId="68342C00" w14:textId="77777777" w:rsidR="0089127B" w:rsidRPr="00B30F89" w:rsidRDefault="0089127B" w:rsidP="00B30F89">
      <w:pPr>
        <w:pStyle w:val="Heading1"/>
        <w:divId w:val="1287590030"/>
      </w:pPr>
      <w:r w:rsidRPr="00B30F89">
        <w:rPr>
          <w:rStyle w:val="Strong"/>
          <w:b/>
          <w:bCs/>
        </w:rPr>
        <w:t xml:space="preserve">References </w:t>
      </w:r>
    </w:p>
    <w:p w14:paraId="3488DC95"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World Health Organization (WHO). Risk assessment of Listeria monocytogenes in ready-to-eat foods: technical report. Food &amp; Agriculture Org. 2004. </w:t>
      </w:r>
    </w:p>
    <w:p w14:paraId="01831F24"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Swaminathan B, </w:t>
      </w:r>
      <w:proofErr w:type="spellStart"/>
      <w:r w:rsidRPr="00CB6B6F">
        <w:rPr>
          <w:rFonts w:eastAsia="Times New Roman"/>
        </w:rPr>
        <w:t>Gerner</w:t>
      </w:r>
      <w:proofErr w:type="spellEnd"/>
      <w:r w:rsidRPr="00CB6B6F">
        <w:rPr>
          <w:rFonts w:eastAsia="Times New Roman"/>
        </w:rPr>
        <w:t xml:space="preserve">-Smidt P. The epidemiology of human listeriosis. Microbes and Infection. 2007 Aug 31;9(10):1236-43. </w:t>
      </w:r>
    </w:p>
    <w:p w14:paraId="1E4E67D8"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lastRenderedPageBreak/>
        <w:t xml:space="preserve">Vázquez-Boland JA, Kuhn M, </w:t>
      </w:r>
      <w:proofErr w:type="spellStart"/>
      <w:r w:rsidRPr="00CB6B6F">
        <w:rPr>
          <w:rFonts w:eastAsia="Times New Roman"/>
        </w:rPr>
        <w:t>Berche</w:t>
      </w:r>
      <w:proofErr w:type="spellEnd"/>
      <w:r w:rsidRPr="00CB6B6F">
        <w:rPr>
          <w:rFonts w:eastAsia="Times New Roman"/>
        </w:rPr>
        <w:t xml:space="preserve"> P, Chakraborty T, Domínguez-Bernal G, Goebel W, González-Zorn B, </w:t>
      </w:r>
      <w:proofErr w:type="spellStart"/>
      <w:r w:rsidRPr="00CB6B6F">
        <w:rPr>
          <w:rFonts w:eastAsia="Times New Roman"/>
        </w:rPr>
        <w:t>Wehland</w:t>
      </w:r>
      <w:proofErr w:type="spellEnd"/>
      <w:r w:rsidRPr="00CB6B6F">
        <w:rPr>
          <w:rFonts w:eastAsia="Times New Roman"/>
        </w:rPr>
        <w:t xml:space="preserve"> J, </w:t>
      </w:r>
      <w:proofErr w:type="spellStart"/>
      <w:r w:rsidRPr="00CB6B6F">
        <w:rPr>
          <w:rFonts w:eastAsia="Times New Roman"/>
        </w:rPr>
        <w:t>Kreft</w:t>
      </w:r>
      <w:proofErr w:type="spellEnd"/>
      <w:r w:rsidRPr="00CB6B6F">
        <w:rPr>
          <w:rFonts w:eastAsia="Times New Roman"/>
        </w:rPr>
        <w:t xml:space="preserve"> J. Listeria pathogenesis and molecular virulence determinants. Clinical microbiology reviews. 2001 Jul 1;14(3):584-640. </w:t>
      </w:r>
    </w:p>
    <w:p w14:paraId="40F2930D"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Goulet, </w:t>
      </w:r>
      <w:proofErr w:type="spellStart"/>
      <w:r w:rsidRPr="00CB6B6F">
        <w:rPr>
          <w:rFonts w:eastAsia="Times New Roman"/>
        </w:rPr>
        <w:t>Véronique</w:t>
      </w:r>
      <w:proofErr w:type="spellEnd"/>
      <w:r w:rsidRPr="00CB6B6F">
        <w:rPr>
          <w:rFonts w:eastAsia="Times New Roman"/>
        </w:rPr>
        <w:t>, et al. “Incidence listeriosis and related mortality among groups at risk of acquiring listeriosis.” </w:t>
      </w:r>
      <w:r w:rsidRPr="00CB6B6F">
        <w:rPr>
          <w:rStyle w:val="Emphasis"/>
          <w:rFonts w:eastAsia="Times New Roman"/>
          <w:b w:val="0"/>
        </w:rPr>
        <w:t>Clinical infectious diseases</w:t>
      </w:r>
      <w:r w:rsidRPr="00CB6B6F">
        <w:rPr>
          <w:rFonts w:eastAsia="Times New Roman"/>
        </w:rPr>
        <w:t xml:space="preserve"> (2011): cir902. </w:t>
      </w:r>
    </w:p>
    <w:p w14:paraId="350026F0"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proofErr w:type="spellStart"/>
      <w:r w:rsidRPr="00CB6B6F">
        <w:rPr>
          <w:rFonts w:eastAsia="Times New Roman"/>
        </w:rPr>
        <w:t>Skogberg</w:t>
      </w:r>
      <w:proofErr w:type="spellEnd"/>
      <w:r w:rsidRPr="00CB6B6F">
        <w:rPr>
          <w:rFonts w:eastAsia="Times New Roman"/>
        </w:rPr>
        <w:t xml:space="preserve"> K, </w:t>
      </w:r>
      <w:proofErr w:type="spellStart"/>
      <w:r w:rsidRPr="00CB6B6F">
        <w:rPr>
          <w:rFonts w:eastAsia="Times New Roman"/>
        </w:rPr>
        <w:t>Syrjänen</w:t>
      </w:r>
      <w:proofErr w:type="spellEnd"/>
      <w:r w:rsidRPr="00CB6B6F">
        <w:rPr>
          <w:rFonts w:eastAsia="Times New Roman"/>
        </w:rPr>
        <w:t xml:space="preserve"> J, </w:t>
      </w:r>
      <w:proofErr w:type="spellStart"/>
      <w:r w:rsidRPr="00CB6B6F">
        <w:rPr>
          <w:rFonts w:eastAsia="Times New Roman"/>
        </w:rPr>
        <w:t>Jahkola</w:t>
      </w:r>
      <w:proofErr w:type="spellEnd"/>
      <w:r w:rsidRPr="00CB6B6F">
        <w:rPr>
          <w:rFonts w:eastAsia="Times New Roman"/>
        </w:rPr>
        <w:t xml:space="preserve"> M, </w:t>
      </w:r>
      <w:proofErr w:type="spellStart"/>
      <w:r w:rsidRPr="00CB6B6F">
        <w:rPr>
          <w:rFonts w:eastAsia="Times New Roman"/>
        </w:rPr>
        <w:t>Renkonen</w:t>
      </w:r>
      <w:proofErr w:type="spellEnd"/>
      <w:r w:rsidRPr="00CB6B6F">
        <w:rPr>
          <w:rFonts w:eastAsia="Times New Roman"/>
        </w:rPr>
        <w:t xml:space="preserve"> OV, </w:t>
      </w:r>
      <w:proofErr w:type="spellStart"/>
      <w:r w:rsidRPr="00CB6B6F">
        <w:rPr>
          <w:rFonts w:eastAsia="Times New Roman"/>
        </w:rPr>
        <w:t>Paavonen</w:t>
      </w:r>
      <w:proofErr w:type="spellEnd"/>
      <w:r w:rsidRPr="00CB6B6F">
        <w:rPr>
          <w:rFonts w:eastAsia="Times New Roman"/>
        </w:rPr>
        <w:t xml:space="preserve"> J, </w:t>
      </w:r>
      <w:proofErr w:type="spellStart"/>
      <w:r w:rsidRPr="00CB6B6F">
        <w:rPr>
          <w:rFonts w:eastAsia="Times New Roman"/>
        </w:rPr>
        <w:t>Ahonen</w:t>
      </w:r>
      <w:proofErr w:type="spellEnd"/>
      <w:r w:rsidRPr="00CB6B6F">
        <w:rPr>
          <w:rFonts w:eastAsia="Times New Roman"/>
        </w:rPr>
        <w:t xml:space="preserve"> J, </w:t>
      </w:r>
      <w:proofErr w:type="spellStart"/>
      <w:r w:rsidRPr="00CB6B6F">
        <w:rPr>
          <w:rFonts w:eastAsia="Times New Roman"/>
        </w:rPr>
        <w:t>Kontiainen</w:t>
      </w:r>
      <w:proofErr w:type="spellEnd"/>
      <w:r w:rsidRPr="00CB6B6F">
        <w:rPr>
          <w:rFonts w:eastAsia="Times New Roman"/>
        </w:rPr>
        <w:t xml:space="preserve"> S, </w:t>
      </w:r>
      <w:proofErr w:type="spellStart"/>
      <w:r w:rsidRPr="00CB6B6F">
        <w:rPr>
          <w:rFonts w:eastAsia="Times New Roman"/>
        </w:rPr>
        <w:t>Ruutu</w:t>
      </w:r>
      <w:proofErr w:type="spellEnd"/>
      <w:r w:rsidRPr="00CB6B6F">
        <w:rPr>
          <w:rFonts w:eastAsia="Times New Roman"/>
        </w:rPr>
        <w:t xml:space="preserve"> P, </w:t>
      </w:r>
      <w:proofErr w:type="spellStart"/>
      <w:r w:rsidRPr="00CB6B6F">
        <w:rPr>
          <w:rFonts w:eastAsia="Times New Roman"/>
        </w:rPr>
        <w:t>Valtonen</w:t>
      </w:r>
      <w:proofErr w:type="spellEnd"/>
      <w:r w:rsidRPr="00CB6B6F">
        <w:rPr>
          <w:rFonts w:eastAsia="Times New Roman"/>
        </w:rPr>
        <w:t xml:space="preserve"> V. Clinical </w:t>
      </w:r>
      <w:proofErr w:type="gramStart"/>
      <w:r w:rsidRPr="00CB6B6F">
        <w:rPr>
          <w:rFonts w:eastAsia="Times New Roman"/>
        </w:rPr>
        <w:t>presentation</w:t>
      </w:r>
      <w:proofErr w:type="gramEnd"/>
      <w:r w:rsidRPr="00CB6B6F">
        <w:rPr>
          <w:rFonts w:eastAsia="Times New Roman"/>
        </w:rPr>
        <w:t xml:space="preserve"> and outcome of listeriosis in patients with and without immunosuppressive therapy. Clinical Infectious Diseases. 1992 Apr 1;14(4):815-21. </w:t>
      </w:r>
    </w:p>
    <w:p w14:paraId="61E292D0"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De </w:t>
      </w:r>
      <w:proofErr w:type="spellStart"/>
      <w:r w:rsidRPr="00CB6B6F">
        <w:rPr>
          <w:rFonts w:eastAsia="Times New Roman"/>
        </w:rPr>
        <w:t>Valk</w:t>
      </w:r>
      <w:proofErr w:type="spellEnd"/>
      <w:r w:rsidRPr="00CB6B6F">
        <w:rPr>
          <w:rFonts w:eastAsia="Times New Roman"/>
        </w:rPr>
        <w:t>, H., et al. “Surveillance of listeria infections in Europe.” </w:t>
      </w:r>
      <w:r w:rsidRPr="00CB6B6F">
        <w:rPr>
          <w:rStyle w:val="Emphasis"/>
          <w:rFonts w:eastAsia="Times New Roman"/>
          <w:b w:val="0"/>
        </w:rPr>
        <w:t xml:space="preserve">Euro surveillance: bulletin </w:t>
      </w:r>
      <w:proofErr w:type="spellStart"/>
      <w:r w:rsidRPr="00CB6B6F">
        <w:rPr>
          <w:rStyle w:val="Emphasis"/>
          <w:rFonts w:eastAsia="Times New Roman"/>
          <w:b w:val="0"/>
        </w:rPr>
        <w:t>Europeen</w:t>
      </w:r>
      <w:proofErr w:type="spellEnd"/>
      <w:r w:rsidRPr="00CB6B6F">
        <w:rPr>
          <w:rStyle w:val="Emphasis"/>
          <w:rFonts w:eastAsia="Times New Roman"/>
          <w:b w:val="0"/>
        </w:rPr>
        <w:t xml:space="preserve"> sur les maladies </w:t>
      </w:r>
      <w:proofErr w:type="spellStart"/>
      <w:r w:rsidRPr="00CB6B6F">
        <w:rPr>
          <w:rStyle w:val="Emphasis"/>
          <w:rFonts w:eastAsia="Times New Roman"/>
          <w:b w:val="0"/>
        </w:rPr>
        <w:t>transmissibles</w:t>
      </w:r>
      <w:proofErr w:type="spellEnd"/>
      <w:r w:rsidRPr="00CB6B6F">
        <w:rPr>
          <w:rStyle w:val="Emphasis"/>
          <w:rFonts w:eastAsia="Times New Roman"/>
          <w:b w:val="0"/>
        </w:rPr>
        <w:t>, European communicable disease bulletin</w:t>
      </w:r>
      <w:r w:rsidRPr="00CB6B6F">
        <w:rPr>
          <w:rFonts w:eastAsia="Times New Roman"/>
        </w:rPr>
        <w:t xml:space="preserve"> 10.10 (2005): 251-255. </w:t>
      </w:r>
    </w:p>
    <w:p w14:paraId="4C27164B"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Farber JM, Peterkin PI. Listeria monocytogenes, a food-borne pathogen. Microbiological reviews. 1991 Sep 1;55(3):476-511. </w:t>
      </w:r>
    </w:p>
    <w:p w14:paraId="128F2832"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proofErr w:type="spellStart"/>
      <w:r w:rsidRPr="00CB6B6F">
        <w:rPr>
          <w:rFonts w:eastAsia="Times New Roman"/>
        </w:rPr>
        <w:t>Heymann</w:t>
      </w:r>
      <w:proofErr w:type="spellEnd"/>
      <w:r w:rsidRPr="00CB6B6F">
        <w:rPr>
          <w:rFonts w:eastAsia="Times New Roman"/>
        </w:rPr>
        <w:t xml:space="preserve"> DL, editor. Control of Communicable Diseases Manual. 20th ed. Washington: American Public Health Association; 2015 </w:t>
      </w:r>
    </w:p>
    <w:p w14:paraId="1905BDB0"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Goulet V, King LA, Vaillant V, de </w:t>
      </w:r>
      <w:proofErr w:type="spellStart"/>
      <w:r w:rsidRPr="00CB6B6F">
        <w:rPr>
          <w:rFonts w:eastAsia="Times New Roman"/>
        </w:rPr>
        <w:t>Valk</w:t>
      </w:r>
      <w:proofErr w:type="spellEnd"/>
      <w:r w:rsidRPr="00CB6B6F">
        <w:rPr>
          <w:rFonts w:eastAsia="Times New Roman"/>
        </w:rPr>
        <w:t xml:space="preserve"> H. What is the incubation period for </w:t>
      </w:r>
      <w:proofErr w:type="gramStart"/>
      <w:r w:rsidRPr="00CB6B6F">
        <w:rPr>
          <w:rFonts w:eastAsia="Times New Roman"/>
        </w:rPr>
        <w:t>listeriosis?.</w:t>
      </w:r>
      <w:proofErr w:type="gramEnd"/>
      <w:r w:rsidRPr="00CB6B6F">
        <w:rPr>
          <w:rFonts w:eastAsia="Times New Roman"/>
        </w:rPr>
        <w:t xml:space="preserve"> BMC Infectious Diseases. 2013 Jan 10;13(1):11. </w:t>
      </w:r>
    </w:p>
    <w:p w14:paraId="0C4AD345"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US Food and Drug Administration (FDA). Bad bug book: Foodborne pathogenic microorganisms and natural toxins handbook, 2nd ed. p.100–104. [cited 2017 Nov 17]. Available from: http://www.fda.gov/Food/FoodborneIllnessContaminants/CausesOfIllnessBadBugBook/ucm2006773.htm. Accessed on 19 November 2017 . </w:t>
      </w:r>
    </w:p>
    <w:p w14:paraId="2D97B8BD"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Ramaswamy V, </w:t>
      </w:r>
      <w:proofErr w:type="spellStart"/>
      <w:r w:rsidRPr="00CB6B6F">
        <w:rPr>
          <w:rFonts w:eastAsia="Times New Roman"/>
        </w:rPr>
        <w:t>Cresence</w:t>
      </w:r>
      <w:proofErr w:type="spellEnd"/>
      <w:r w:rsidRPr="00CB6B6F">
        <w:rPr>
          <w:rFonts w:eastAsia="Times New Roman"/>
        </w:rPr>
        <w:t xml:space="preserve"> VM, </w:t>
      </w:r>
      <w:proofErr w:type="spellStart"/>
      <w:r w:rsidRPr="00CB6B6F">
        <w:rPr>
          <w:rFonts w:eastAsia="Times New Roman"/>
        </w:rPr>
        <w:t>Rejitha</w:t>
      </w:r>
      <w:proofErr w:type="spellEnd"/>
      <w:r w:rsidRPr="00CB6B6F">
        <w:rPr>
          <w:rFonts w:eastAsia="Times New Roman"/>
        </w:rPr>
        <w:t xml:space="preserve"> JS, </w:t>
      </w:r>
      <w:proofErr w:type="spellStart"/>
      <w:r w:rsidRPr="00CB6B6F">
        <w:rPr>
          <w:rFonts w:eastAsia="Times New Roman"/>
        </w:rPr>
        <w:t>Lekshmi</w:t>
      </w:r>
      <w:proofErr w:type="spellEnd"/>
      <w:r w:rsidRPr="00CB6B6F">
        <w:rPr>
          <w:rFonts w:eastAsia="Times New Roman"/>
        </w:rPr>
        <w:t xml:space="preserve"> MU, </w:t>
      </w:r>
      <w:proofErr w:type="spellStart"/>
      <w:r w:rsidRPr="00CB6B6F">
        <w:rPr>
          <w:rFonts w:eastAsia="Times New Roman"/>
        </w:rPr>
        <w:t>Dharsana</w:t>
      </w:r>
      <w:proofErr w:type="spellEnd"/>
      <w:r w:rsidRPr="00CB6B6F">
        <w:rPr>
          <w:rFonts w:eastAsia="Times New Roman"/>
        </w:rPr>
        <w:t xml:space="preserve"> KS, Prasad SP, </w:t>
      </w:r>
      <w:proofErr w:type="spellStart"/>
      <w:r w:rsidRPr="00CB6B6F">
        <w:rPr>
          <w:rFonts w:eastAsia="Times New Roman"/>
        </w:rPr>
        <w:t>Vijila</w:t>
      </w:r>
      <w:proofErr w:type="spellEnd"/>
      <w:r w:rsidRPr="00CB6B6F">
        <w:rPr>
          <w:rFonts w:eastAsia="Times New Roman"/>
        </w:rPr>
        <w:t xml:space="preserve"> HM. Listeria-review of epidemiology and pathogenesis. Journal of Microbiology Immunology and Infection. 2007 Feb;40(1):4. </w:t>
      </w:r>
    </w:p>
    <w:p w14:paraId="3096E6C1"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proofErr w:type="spellStart"/>
      <w:r w:rsidRPr="00CB6B6F">
        <w:rPr>
          <w:rFonts w:eastAsia="Times New Roman"/>
        </w:rPr>
        <w:t>Schuchat</w:t>
      </w:r>
      <w:proofErr w:type="spellEnd"/>
      <w:r w:rsidRPr="00CB6B6F">
        <w:rPr>
          <w:rFonts w:eastAsia="Times New Roman"/>
        </w:rPr>
        <w:t xml:space="preserve"> A, Swaminathan B, Broome CV. Epidemiology of human listeriosis. Clinical microbiology reviews. 1991 Apr 1;4(2):169-83. </w:t>
      </w:r>
    </w:p>
    <w:p w14:paraId="281F4784"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Jurado RL, Farley MM, Pereira E, Harvey RC, </w:t>
      </w:r>
      <w:proofErr w:type="spellStart"/>
      <w:r w:rsidRPr="00CB6B6F">
        <w:rPr>
          <w:rFonts w:eastAsia="Times New Roman"/>
        </w:rPr>
        <w:t>Schuchat</w:t>
      </w:r>
      <w:proofErr w:type="spellEnd"/>
      <w:r w:rsidRPr="00CB6B6F">
        <w:rPr>
          <w:rFonts w:eastAsia="Times New Roman"/>
        </w:rPr>
        <w:t xml:space="preserve"> A, Wenger JD, Stephens DS. Increased risk of meningitis and </w:t>
      </w:r>
      <w:proofErr w:type="spellStart"/>
      <w:r w:rsidRPr="00CB6B6F">
        <w:rPr>
          <w:rFonts w:eastAsia="Times New Roman"/>
        </w:rPr>
        <w:t>bacteremia</w:t>
      </w:r>
      <w:proofErr w:type="spellEnd"/>
      <w:r w:rsidRPr="00CB6B6F">
        <w:rPr>
          <w:rFonts w:eastAsia="Times New Roman"/>
        </w:rPr>
        <w:t xml:space="preserve"> due to Listeria monocytogenes in patients with human immunodeficiency virus infection. Clinical Infectious Diseases. 1993 Aug 1;17(2):224-7. </w:t>
      </w:r>
    </w:p>
    <w:p w14:paraId="53075EC8"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Gillespie IA, McLauchlin J, Grant KA, Little CL, </w:t>
      </w:r>
      <w:proofErr w:type="spellStart"/>
      <w:r w:rsidRPr="00CB6B6F">
        <w:rPr>
          <w:rFonts w:eastAsia="Times New Roman"/>
        </w:rPr>
        <w:t>Mithani</w:t>
      </w:r>
      <w:proofErr w:type="spellEnd"/>
      <w:r w:rsidRPr="00CB6B6F">
        <w:rPr>
          <w:rFonts w:eastAsia="Times New Roman"/>
        </w:rPr>
        <w:t xml:space="preserve"> V, Penman C, Lane C, Regan M. Changing pattern of human listeriosis, England and Wales, 2001–2004. Emerging infectious diseases. 2006 Sep;12(9):1361. </w:t>
      </w:r>
    </w:p>
    <w:p w14:paraId="5CCBF19A"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NNDSS Annual Report Writing Group. Australia’s notifiable disease status, 2014: Annual report of the National Notifiable Diseases Surveillance System. Commun Dis Intell 2016;40(1):E48–E145. </w:t>
      </w:r>
    </w:p>
    <w:p w14:paraId="17007DB6"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Popovic, Igor, Brett Heron, and Catherine </w:t>
      </w:r>
      <w:proofErr w:type="spellStart"/>
      <w:r w:rsidRPr="00CB6B6F">
        <w:rPr>
          <w:rFonts w:eastAsia="Times New Roman"/>
        </w:rPr>
        <w:t>Covacin</w:t>
      </w:r>
      <w:proofErr w:type="spellEnd"/>
      <w:r w:rsidRPr="00CB6B6F">
        <w:rPr>
          <w:rFonts w:eastAsia="Times New Roman"/>
        </w:rPr>
        <w:t xml:space="preserve">. “Listeria: </w:t>
      </w:r>
      <w:proofErr w:type="gramStart"/>
      <w:r w:rsidRPr="00CB6B6F">
        <w:rPr>
          <w:rFonts w:eastAsia="Times New Roman"/>
        </w:rPr>
        <w:t>an</w:t>
      </w:r>
      <w:proofErr w:type="gramEnd"/>
      <w:r w:rsidRPr="00CB6B6F">
        <w:rPr>
          <w:rFonts w:eastAsia="Times New Roman"/>
        </w:rPr>
        <w:t xml:space="preserve"> Australian perspective (2001–2010).” </w:t>
      </w:r>
      <w:r w:rsidRPr="00CB6B6F">
        <w:rPr>
          <w:rStyle w:val="Emphasis"/>
          <w:rFonts w:eastAsia="Times New Roman"/>
          <w:b w:val="0"/>
        </w:rPr>
        <w:t>Foodborne pathogens and disease</w:t>
      </w:r>
      <w:r w:rsidRPr="00CB6B6F">
        <w:rPr>
          <w:rFonts w:eastAsia="Times New Roman"/>
        </w:rPr>
        <w:t xml:space="preserve"> 11.6 (2014): 425-432. </w:t>
      </w:r>
    </w:p>
    <w:p w14:paraId="08E35DA7"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Dalton, C. B., et al. “A national case-control study of risk factors for listeriosis in Australia.” </w:t>
      </w:r>
      <w:r w:rsidRPr="00CB6B6F">
        <w:rPr>
          <w:rStyle w:val="Emphasis"/>
          <w:rFonts w:eastAsia="Times New Roman"/>
          <w:b w:val="0"/>
        </w:rPr>
        <w:t>Epidemiology and infection</w:t>
      </w:r>
      <w:r w:rsidRPr="00CB6B6F">
        <w:rPr>
          <w:rFonts w:eastAsia="Times New Roman"/>
        </w:rPr>
        <w:t xml:space="preserve"> 139.03 (2011): 437-445. </w:t>
      </w:r>
    </w:p>
    <w:p w14:paraId="158C7B6E"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 xml:space="preserve">Mook P, O’Brien SJ, Gillespie IA. Concurrent conditions and human listeriosis, England, 1999–2009. Emerging infectious diseases. 2011 Jan;17(1):38. </w:t>
      </w:r>
    </w:p>
    <w:p w14:paraId="4967E16F"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proofErr w:type="spellStart"/>
      <w:r w:rsidRPr="00CB6B6F">
        <w:rPr>
          <w:rFonts w:eastAsia="Times New Roman"/>
        </w:rPr>
        <w:t>Siegman-Igra</w:t>
      </w:r>
      <w:proofErr w:type="spellEnd"/>
      <w:r w:rsidRPr="00CB6B6F">
        <w:rPr>
          <w:rFonts w:eastAsia="Times New Roman"/>
        </w:rPr>
        <w:t xml:space="preserve"> Y, et al. Listeria monocytogenes Infection in Israel and Review of Cases Worldwide-Volume 8, Number 3—March 2002-Emerging Infectious Disease journal-CDC. </w:t>
      </w:r>
    </w:p>
    <w:p w14:paraId="31403B30"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proofErr w:type="spellStart"/>
      <w:r w:rsidRPr="00CB6B6F">
        <w:rPr>
          <w:rFonts w:eastAsia="Times New Roman"/>
        </w:rPr>
        <w:t>Torvaldsen</w:t>
      </w:r>
      <w:proofErr w:type="spellEnd"/>
      <w:r w:rsidRPr="00CB6B6F">
        <w:rPr>
          <w:rFonts w:eastAsia="Times New Roman"/>
        </w:rPr>
        <w:t xml:space="preserve">, </w:t>
      </w:r>
      <w:proofErr w:type="spellStart"/>
      <w:r w:rsidRPr="00CB6B6F">
        <w:rPr>
          <w:rFonts w:eastAsia="Times New Roman"/>
        </w:rPr>
        <w:t>Siranda</w:t>
      </w:r>
      <w:proofErr w:type="spellEnd"/>
      <w:r w:rsidRPr="00CB6B6F">
        <w:rPr>
          <w:rFonts w:eastAsia="Times New Roman"/>
        </w:rPr>
        <w:t>, et al. “Listeria awareness among new mothers in Western Australia.” </w:t>
      </w:r>
      <w:r w:rsidRPr="00CB6B6F">
        <w:rPr>
          <w:rStyle w:val="Emphasis"/>
          <w:rFonts w:eastAsia="Times New Roman"/>
          <w:b w:val="0"/>
        </w:rPr>
        <w:t>Australian and New Zealand journal of public health</w:t>
      </w:r>
      <w:r w:rsidRPr="00CB6B6F">
        <w:rPr>
          <w:rFonts w:eastAsia="Times New Roman"/>
        </w:rPr>
        <w:t xml:space="preserve"> 23.4 (1999): 362-367. </w:t>
      </w:r>
    </w:p>
    <w:p w14:paraId="082B6E71" w14:textId="77777777" w:rsidR="0089127B" w:rsidRPr="00CB6B6F" w:rsidRDefault="0089127B" w:rsidP="0059197E">
      <w:pPr>
        <w:numPr>
          <w:ilvl w:val="0"/>
          <w:numId w:val="6"/>
        </w:numPr>
        <w:spacing w:before="100" w:beforeAutospacing="1" w:after="100" w:afterAutospacing="1" w:line="240" w:lineRule="auto"/>
        <w:divId w:val="1287590030"/>
        <w:rPr>
          <w:rFonts w:eastAsia="Times New Roman"/>
        </w:rPr>
      </w:pPr>
      <w:r w:rsidRPr="00CB6B6F">
        <w:rPr>
          <w:rFonts w:eastAsia="Times New Roman"/>
        </w:rPr>
        <w:t>Australian Institute of Health and Welfare. Cancer in Australia 2017. Cancer series no.101. Cat. no. CAN 100. Canberra: AIHW. 2017.</w:t>
      </w:r>
    </w:p>
    <w:p w14:paraId="05389BE7"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79239B03" wp14:editId="36881BC3">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67C19EE5" w14:textId="77777777" w:rsidR="00441D6D"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1011E4">
        <w:rPr>
          <w:rStyle w:val="A10"/>
          <w:sz w:val="20"/>
          <w:szCs w:val="20"/>
        </w:rPr>
        <w:t>2018</w:t>
      </w:r>
      <w:r w:rsidR="00731BC3">
        <w:rPr>
          <w:rStyle w:val="A10"/>
          <w:sz w:val="20"/>
          <w:szCs w:val="20"/>
        </w:rPr>
        <w:fldChar w:fldCharType="end"/>
      </w:r>
      <w:r w:rsidR="007C56A1" w:rsidRPr="0006264A">
        <w:rPr>
          <w:sz w:val="20"/>
          <w:szCs w:val="20"/>
        </w:rPr>
        <w:t xml:space="preserve"> </w:t>
      </w:r>
      <w:r w:rsidR="00441D6D">
        <w:rPr>
          <w:sz w:val="20"/>
          <w:szCs w:val="20"/>
        </w:rPr>
        <w:t xml:space="preserve">- </w:t>
      </w:r>
      <w:r w:rsidR="00441D6D">
        <w:rPr>
          <w:rStyle w:val="A10"/>
          <w:sz w:val="20"/>
          <w:szCs w:val="20"/>
        </w:rPr>
        <w:t>ISSN: 2209-6051 (Online)</w:t>
      </w:r>
    </w:p>
    <w:p w14:paraId="09F996F4"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4720C75C"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4F8D0184" w14:textId="77777777" w:rsidR="007C56A1" w:rsidRPr="0006264A" w:rsidRDefault="007C56A1" w:rsidP="007C56A1">
      <w:pPr>
        <w:rPr>
          <w:sz w:val="20"/>
          <w:szCs w:val="20"/>
        </w:rPr>
      </w:pPr>
      <w:r w:rsidRPr="0006264A">
        <w:rPr>
          <w:rStyle w:val="A10"/>
          <w:sz w:val="20"/>
          <w:szCs w:val="20"/>
        </w:rPr>
        <w:t>Communicable Diseases Intelligence contributes to the work of the Communic</w:t>
      </w:r>
      <w:r w:rsidR="00A003FD">
        <w:rPr>
          <w:rStyle w:val="A10"/>
          <w:sz w:val="20"/>
          <w:szCs w:val="20"/>
        </w:rPr>
        <w:t>able Diseases Network Australia.</w:t>
      </w:r>
    </w:p>
    <w:p w14:paraId="6F8010C6"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1F106462" w14:textId="77777777" w:rsidR="007C56A1" w:rsidRPr="00786329" w:rsidRDefault="007C56A1" w:rsidP="007C56A1">
      <w:pPr>
        <w:pBdr>
          <w:bottom w:val="single" w:sz="6" w:space="1" w:color="auto"/>
        </w:pBdr>
        <w:rPr>
          <w:rStyle w:val="A11"/>
          <w:sz w:val="20"/>
          <w:szCs w:val="20"/>
          <w:u w:val="none"/>
        </w:rPr>
      </w:pPr>
    </w:p>
    <w:p w14:paraId="52E7BF2B"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r w:rsidR="00CB00B0">
        <w:rPr>
          <w:sz w:val="20"/>
          <w:szCs w:val="20"/>
        </w:rPr>
        <w:t>.</w:t>
      </w:r>
    </w:p>
    <w:p w14:paraId="1F9DBDF9"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018DBBC6" w14:textId="77777777" w:rsidR="007C56A1" w:rsidRPr="0006264A" w:rsidRDefault="007C56A1" w:rsidP="007C56A1">
      <w:pPr>
        <w:pBdr>
          <w:bottom w:val="single" w:sz="6" w:space="1" w:color="auto"/>
        </w:pBdr>
        <w:rPr>
          <w:sz w:val="20"/>
          <w:szCs w:val="20"/>
        </w:rPr>
      </w:pPr>
    </w:p>
    <w:p w14:paraId="356944E4" w14:textId="77777777" w:rsidR="007C56A1" w:rsidRPr="00786329" w:rsidRDefault="002F4BF7" w:rsidP="007C56A1">
      <w:pPr>
        <w:rPr>
          <w:rFonts w:cs="Myriad Pro"/>
          <w:color w:val="211D1E"/>
          <w:sz w:val="20"/>
          <w:szCs w:val="20"/>
        </w:rPr>
      </w:pPr>
      <w:r>
        <w:rPr>
          <w:b/>
          <w:bCs/>
          <w:sz w:val="20"/>
          <w:szCs w:val="20"/>
        </w:rPr>
        <w:t>Editor</w:t>
      </w:r>
      <w:r w:rsidR="007C56A1" w:rsidRPr="00786329">
        <w:rPr>
          <w:b/>
          <w:bCs/>
          <w:sz w:val="20"/>
          <w:szCs w:val="20"/>
        </w:rPr>
        <w:t xml:space="preserve">: </w:t>
      </w:r>
      <w:r w:rsidR="007C56A1" w:rsidRPr="00786329">
        <w:rPr>
          <w:sz w:val="20"/>
          <w:szCs w:val="20"/>
        </w:rPr>
        <w:t>Cindy Toms</w:t>
      </w:r>
      <w:r w:rsidR="007C56A1" w:rsidRPr="00786329">
        <w:rPr>
          <w:sz w:val="20"/>
          <w:szCs w:val="20"/>
        </w:rPr>
        <w:br/>
      </w:r>
      <w:r w:rsidR="007C56A1" w:rsidRPr="00786329">
        <w:rPr>
          <w:b/>
          <w:bCs/>
          <w:sz w:val="20"/>
          <w:szCs w:val="20"/>
        </w:rPr>
        <w:t xml:space="preserve">Deputy Editor: </w:t>
      </w:r>
      <w:r w:rsidR="007C56A1" w:rsidRPr="00786329">
        <w:rPr>
          <w:sz w:val="20"/>
          <w:szCs w:val="20"/>
        </w:rPr>
        <w:t>Phil Wright</w:t>
      </w:r>
      <w:r w:rsidR="007C56A1" w:rsidRPr="00786329">
        <w:rPr>
          <w:sz w:val="20"/>
          <w:szCs w:val="20"/>
        </w:rPr>
        <w:br/>
      </w:r>
      <w:r w:rsidR="007C56A1" w:rsidRPr="00786329">
        <w:rPr>
          <w:b/>
          <w:bCs/>
          <w:sz w:val="20"/>
          <w:szCs w:val="20"/>
        </w:rPr>
        <w:t xml:space="preserve">Editorial and Production Staff: </w:t>
      </w:r>
      <w:r w:rsidR="007C56A1" w:rsidRPr="00786329">
        <w:rPr>
          <w:sz w:val="20"/>
          <w:szCs w:val="20"/>
        </w:rPr>
        <w:t>Leroy Trapani, Kasra Yousefi</w:t>
      </w:r>
      <w:r w:rsidR="007C56A1" w:rsidRPr="00786329">
        <w:rPr>
          <w:sz w:val="20"/>
          <w:szCs w:val="20"/>
        </w:rPr>
        <w:br/>
      </w:r>
      <w:r w:rsidR="007C56A1" w:rsidRPr="00786329">
        <w:rPr>
          <w:b/>
          <w:bCs/>
          <w:sz w:val="20"/>
          <w:szCs w:val="20"/>
        </w:rPr>
        <w:t xml:space="preserve">Editorial Advisory Board: </w:t>
      </w:r>
      <w:r w:rsidR="007C56A1" w:rsidRPr="00786329">
        <w:rPr>
          <w:sz w:val="20"/>
          <w:szCs w:val="20"/>
        </w:rPr>
        <w:t>Peter McIntyre (Chair), David Durrheim, Mark Ferson, John Kaldor, Martyn Kirk</w:t>
      </w:r>
      <w:r w:rsidR="007C56A1" w:rsidRPr="00786329">
        <w:rPr>
          <w:sz w:val="20"/>
          <w:szCs w:val="20"/>
        </w:rPr>
        <w:br/>
      </w:r>
      <w:r w:rsidR="007C56A1" w:rsidRPr="00786329">
        <w:rPr>
          <w:b/>
          <w:bCs/>
          <w:sz w:val="20"/>
          <w:szCs w:val="20"/>
        </w:rPr>
        <w:t xml:space="preserve">Website: </w:t>
      </w:r>
      <w:r w:rsidR="007C56A1" w:rsidRPr="00786329">
        <w:rPr>
          <w:rStyle w:val="A12"/>
          <w:sz w:val="20"/>
          <w:szCs w:val="20"/>
          <w:u w:val="none"/>
        </w:rPr>
        <w:t>http://www.health.gov.au/cdi</w:t>
      </w:r>
    </w:p>
    <w:p w14:paraId="2284ADE1"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570F67E1"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CB6B6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0D22" w14:textId="77777777" w:rsidR="001011E4" w:rsidRDefault="001011E4" w:rsidP="00E54DBA">
      <w:r>
        <w:separator/>
      </w:r>
    </w:p>
    <w:p w14:paraId="0CE1A859" w14:textId="77777777" w:rsidR="001011E4" w:rsidRDefault="001011E4"/>
    <w:p w14:paraId="48040D63" w14:textId="77777777" w:rsidR="001011E4" w:rsidRDefault="001011E4" w:rsidP="008714B0"/>
  </w:endnote>
  <w:endnote w:type="continuationSeparator" w:id="0">
    <w:p w14:paraId="4C62F3DA" w14:textId="77777777" w:rsidR="001011E4" w:rsidRDefault="001011E4" w:rsidP="00E54DBA">
      <w:r>
        <w:continuationSeparator/>
      </w:r>
    </w:p>
    <w:p w14:paraId="0B31D0AF" w14:textId="77777777" w:rsidR="001011E4" w:rsidRDefault="001011E4"/>
    <w:p w14:paraId="111F7EED" w14:textId="77777777" w:rsidR="001011E4" w:rsidRDefault="001011E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DA6B" w14:textId="77777777" w:rsidR="001F228B" w:rsidRDefault="001F2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B7EC" w14:textId="77777777" w:rsidR="00DE38B4" w:rsidRDefault="00DE38B4" w:rsidP="009C49F8">
    <w:pPr>
      <w:pStyle w:val="Footer"/>
      <w:pBdr>
        <w:bottom w:val="single" w:sz="6" w:space="1" w:color="auto"/>
      </w:pBdr>
      <w:rPr>
        <w:sz w:val="18"/>
      </w:rPr>
    </w:pPr>
  </w:p>
  <w:p w14:paraId="3752B5DF" w14:textId="5E76F37E" w:rsidR="00401ED1" w:rsidRPr="0042435E" w:rsidRDefault="0042435E" w:rsidP="009C49F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6411E">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16411E">
      <w:rPr>
        <w:noProof/>
        <w:sz w:val="18"/>
      </w:rPr>
      <w:t>12</w:t>
    </w:r>
    <w:r w:rsidR="007C6454">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231046">
      <w:rPr>
        <w:noProof/>
        <w:sz w:val="18"/>
      </w:rPr>
      <w:ptab w:relativeTo="margin" w:alignment="center" w:leader="none"/>
    </w:r>
    <w:r w:rsidR="001F228B" w:rsidRPr="001F228B">
      <w:rPr>
        <w:sz w:val="18"/>
      </w:rPr>
      <w:t>Commun Dis Intell (2018) 2018;42 https://doi.org/10.33321/cdi.2018.42.1</w:t>
    </w:r>
    <w:r w:rsidR="001F228B">
      <w:rPr>
        <w:sz w:val="18"/>
      </w:rPr>
      <w:t>7</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7C7B" w14:textId="77777777" w:rsidR="00BB5378" w:rsidRDefault="00BB5378" w:rsidP="003907FC">
    <w:pPr>
      <w:pStyle w:val="Footer"/>
      <w:pBdr>
        <w:bottom w:val="single" w:sz="2" w:space="1" w:color="auto"/>
      </w:pBdr>
      <w:rPr>
        <w:sz w:val="18"/>
      </w:rPr>
    </w:pPr>
  </w:p>
  <w:p w14:paraId="2A945978" w14:textId="15CFBE18" w:rsidR="00257484" w:rsidRPr="00F11494" w:rsidRDefault="00BB5378" w:rsidP="00F11494">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6411E">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16411E">
      <w:rPr>
        <w:noProof/>
        <w:sz w:val="18"/>
      </w:rPr>
      <w:t>12</w:t>
    </w:r>
    <w:r w:rsidR="00B132DB">
      <w:rPr>
        <w:noProof/>
        <w:sz w:val="18"/>
      </w:rPr>
      <w:fldChar w:fldCharType="end"/>
    </w:r>
    <w:r>
      <w:rPr>
        <w:noProof/>
        <w:sz w:val="18"/>
      </w:rPr>
      <w:t xml:space="preserve"> </w:t>
    </w:r>
    <w:r>
      <w:rPr>
        <w:noProof/>
        <w:sz w:val="18"/>
      </w:rPr>
      <w:ptab w:relativeTo="margin" w:alignment="center" w:leader="none"/>
    </w:r>
    <w:r w:rsidR="001F228B" w:rsidRPr="001F228B">
      <w:rPr>
        <w:sz w:val="18"/>
      </w:rPr>
      <w:t>Commun Dis Intell (2018) 2018;42 https://doi.org/10.33321/cdi.2018.42.1</w:t>
    </w:r>
    <w:r w:rsidR="001F228B">
      <w:rPr>
        <w:sz w:val="18"/>
      </w:rPr>
      <w:t>7</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A930" w14:textId="77777777" w:rsidR="001011E4" w:rsidRDefault="001011E4" w:rsidP="00E54DBA">
      <w:r>
        <w:separator/>
      </w:r>
    </w:p>
    <w:p w14:paraId="75AD943D" w14:textId="77777777" w:rsidR="001011E4" w:rsidRDefault="001011E4"/>
    <w:p w14:paraId="1F1CE764" w14:textId="77777777" w:rsidR="001011E4" w:rsidRDefault="001011E4" w:rsidP="008714B0"/>
  </w:footnote>
  <w:footnote w:type="continuationSeparator" w:id="0">
    <w:p w14:paraId="2FE9060F" w14:textId="77777777" w:rsidR="001011E4" w:rsidRDefault="001011E4" w:rsidP="00E54DBA">
      <w:r>
        <w:continuationSeparator/>
      </w:r>
    </w:p>
    <w:p w14:paraId="199A2E91" w14:textId="77777777" w:rsidR="001011E4" w:rsidRDefault="001011E4"/>
    <w:p w14:paraId="4AF91E3B" w14:textId="77777777" w:rsidR="001011E4" w:rsidRDefault="001011E4"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5E01" w14:textId="77777777" w:rsidR="001F228B" w:rsidRDefault="001F2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AC59" w14:textId="77777777" w:rsidR="00257484" w:rsidRDefault="001F228B" w:rsidP="003907FC">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F2F34">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AF97" w14:textId="77777777" w:rsidR="001F228B" w:rsidRDefault="001F2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3807"/>
    <w:multiLevelType w:val="multilevel"/>
    <w:tmpl w:val="2132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569521">
    <w:abstractNumId w:val="2"/>
  </w:num>
  <w:num w:numId="2" w16cid:durableId="1330328218">
    <w:abstractNumId w:val="3"/>
  </w:num>
  <w:num w:numId="3" w16cid:durableId="1065958661">
    <w:abstractNumId w:val="4"/>
  </w:num>
  <w:num w:numId="4" w16cid:durableId="794561299">
    <w:abstractNumId w:val="1"/>
  </w:num>
  <w:num w:numId="5" w16cid:durableId="1077216617">
    <w:abstractNumId w:val="5"/>
  </w:num>
  <w:num w:numId="6" w16cid:durableId="114905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26625"/>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1011E4"/>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64E0"/>
    <w:rsid w:val="000969B3"/>
    <w:rsid w:val="00097EE9"/>
    <w:rsid w:val="000D4B4D"/>
    <w:rsid w:val="000F0E46"/>
    <w:rsid w:val="000F5BB6"/>
    <w:rsid w:val="001011E4"/>
    <w:rsid w:val="0010408F"/>
    <w:rsid w:val="00113D58"/>
    <w:rsid w:val="00117FEC"/>
    <w:rsid w:val="00143AA8"/>
    <w:rsid w:val="00155582"/>
    <w:rsid w:val="00161590"/>
    <w:rsid w:val="0016411E"/>
    <w:rsid w:val="00171CC0"/>
    <w:rsid w:val="00175494"/>
    <w:rsid w:val="00175629"/>
    <w:rsid w:val="001830EC"/>
    <w:rsid w:val="00183534"/>
    <w:rsid w:val="001A4A96"/>
    <w:rsid w:val="001A5D05"/>
    <w:rsid w:val="001A796C"/>
    <w:rsid w:val="001B2614"/>
    <w:rsid w:val="001B37B8"/>
    <w:rsid w:val="001B552F"/>
    <w:rsid w:val="001B5625"/>
    <w:rsid w:val="001B7CC9"/>
    <w:rsid w:val="001C0893"/>
    <w:rsid w:val="001C1303"/>
    <w:rsid w:val="001C70B2"/>
    <w:rsid w:val="001D1E83"/>
    <w:rsid w:val="001D6888"/>
    <w:rsid w:val="001F228B"/>
    <w:rsid w:val="001F67D5"/>
    <w:rsid w:val="002118C1"/>
    <w:rsid w:val="002276DC"/>
    <w:rsid w:val="00227E00"/>
    <w:rsid w:val="002307CB"/>
    <w:rsid w:val="00231046"/>
    <w:rsid w:val="00242659"/>
    <w:rsid w:val="002428F7"/>
    <w:rsid w:val="0024315F"/>
    <w:rsid w:val="0025146A"/>
    <w:rsid w:val="00253D4C"/>
    <w:rsid w:val="00256309"/>
    <w:rsid w:val="00257484"/>
    <w:rsid w:val="00260636"/>
    <w:rsid w:val="0026761B"/>
    <w:rsid w:val="00280594"/>
    <w:rsid w:val="00280605"/>
    <w:rsid w:val="00281EE3"/>
    <w:rsid w:val="00284E4A"/>
    <w:rsid w:val="002A3799"/>
    <w:rsid w:val="002A3BCC"/>
    <w:rsid w:val="002A4516"/>
    <w:rsid w:val="002A569F"/>
    <w:rsid w:val="002A7066"/>
    <w:rsid w:val="002B001E"/>
    <w:rsid w:val="002B09B7"/>
    <w:rsid w:val="002C21B0"/>
    <w:rsid w:val="002E2FB3"/>
    <w:rsid w:val="002F327B"/>
    <w:rsid w:val="002F4BF7"/>
    <w:rsid w:val="00300D22"/>
    <w:rsid w:val="00301626"/>
    <w:rsid w:val="003145F3"/>
    <w:rsid w:val="00316CCD"/>
    <w:rsid w:val="00324F7E"/>
    <w:rsid w:val="003323BC"/>
    <w:rsid w:val="00346D42"/>
    <w:rsid w:val="00346E11"/>
    <w:rsid w:val="003635F5"/>
    <w:rsid w:val="00372A88"/>
    <w:rsid w:val="00381A0F"/>
    <w:rsid w:val="003907FC"/>
    <w:rsid w:val="003A1B3A"/>
    <w:rsid w:val="003A40F5"/>
    <w:rsid w:val="003B5B8C"/>
    <w:rsid w:val="003C22E9"/>
    <w:rsid w:val="003E74EE"/>
    <w:rsid w:val="003F0552"/>
    <w:rsid w:val="003F3BC2"/>
    <w:rsid w:val="00401ED1"/>
    <w:rsid w:val="00413EE1"/>
    <w:rsid w:val="004164BB"/>
    <w:rsid w:val="00421ECE"/>
    <w:rsid w:val="0042435E"/>
    <w:rsid w:val="004315F5"/>
    <w:rsid w:val="00433456"/>
    <w:rsid w:val="00433DFA"/>
    <w:rsid w:val="00435D67"/>
    <w:rsid w:val="00441D6D"/>
    <w:rsid w:val="00450B20"/>
    <w:rsid w:val="00464A58"/>
    <w:rsid w:val="00473D2D"/>
    <w:rsid w:val="004A2125"/>
    <w:rsid w:val="004A38F6"/>
    <w:rsid w:val="004B4EB6"/>
    <w:rsid w:val="004C67C6"/>
    <w:rsid w:val="00510EAC"/>
    <w:rsid w:val="00527993"/>
    <w:rsid w:val="00542A57"/>
    <w:rsid w:val="005732C0"/>
    <w:rsid w:val="0057336D"/>
    <w:rsid w:val="0058540B"/>
    <w:rsid w:val="00587C87"/>
    <w:rsid w:val="00590B80"/>
    <w:rsid w:val="0059197E"/>
    <w:rsid w:val="005963A7"/>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4482F"/>
    <w:rsid w:val="00660255"/>
    <w:rsid w:val="006971F3"/>
    <w:rsid w:val="006C49D2"/>
    <w:rsid w:val="006C74A3"/>
    <w:rsid w:val="006D1381"/>
    <w:rsid w:val="006D31BC"/>
    <w:rsid w:val="006E7943"/>
    <w:rsid w:val="006F24EA"/>
    <w:rsid w:val="00704CA9"/>
    <w:rsid w:val="0071048D"/>
    <w:rsid w:val="00710F86"/>
    <w:rsid w:val="007111A8"/>
    <w:rsid w:val="00712816"/>
    <w:rsid w:val="00731BC3"/>
    <w:rsid w:val="00741192"/>
    <w:rsid w:val="00743A33"/>
    <w:rsid w:val="00746080"/>
    <w:rsid w:val="0075144A"/>
    <w:rsid w:val="0075585D"/>
    <w:rsid w:val="00786329"/>
    <w:rsid w:val="00792C7D"/>
    <w:rsid w:val="00794A4D"/>
    <w:rsid w:val="007A5234"/>
    <w:rsid w:val="007B7854"/>
    <w:rsid w:val="007B7B6E"/>
    <w:rsid w:val="007C56A1"/>
    <w:rsid w:val="007C6454"/>
    <w:rsid w:val="007E01E0"/>
    <w:rsid w:val="007E69B5"/>
    <w:rsid w:val="007F0B93"/>
    <w:rsid w:val="00800D48"/>
    <w:rsid w:val="00811708"/>
    <w:rsid w:val="00816B90"/>
    <w:rsid w:val="00822F5F"/>
    <w:rsid w:val="00824FD3"/>
    <w:rsid w:val="00826589"/>
    <w:rsid w:val="00834BCC"/>
    <w:rsid w:val="00850D54"/>
    <w:rsid w:val="008714B0"/>
    <w:rsid w:val="00871DB1"/>
    <w:rsid w:val="00880726"/>
    <w:rsid w:val="0089127B"/>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7997"/>
    <w:rsid w:val="0092746F"/>
    <w:rsid w:val="00935DC9"/>
    <w:rsid w:val="009446C0"/>
    <w:rsid w:val="00951958"/>
    <w:rsid w:val="0096082E"/>
    <w:rsid w:val="00967D73"/>
    <w:rsid w:val="00975EDA"/>
    <w:rsid w:val="0098119A"/>
    <w:rsid w:val="00984AAF"/>
    <w:rsid w:val="00991B09"/>
    <w:rsid w:val="009937C4"/>
    <w:rsid w:val="00993CB2"/>
    <w:rsid w:val="009A5166"/>
    <w:rsid w:val="009A76F8"/>
    <w:rsid w:val="009B2B83"/>
    <w:rsid w:val="009C49F8"/>
    <w:rsid w:val="009D77CC"/>
    <w:rsid w:val="009E2423"/>
    <w:rsid w:val="009E55D7"/>
    <w:rsid w:val="009F4150"/>
    <w:rsid w:val="009F5665"/>
    <w:rsid w:val="009F5DAD"/>
    <w:rsid w:val="00A003FD"/>
    <w:rsid w:val="00A10458"/>
    <w:rsid w:val="00A273C3"/>
    <w:rsid w:val="00A348DA"/>
    <w:rsid w:val="00A36C65"/>
    <w:rsid w:val="00A41BBE"/>
    <w:rsid w:val="00A46A0A"/>
    <w:rsid w:val="00A553F8"/>
    <w:rsid w:val="00A6708F"/>
    <w:rsid w:val="00A71BF6"/>
    <w:rsid w:val="00A76616"/>
    <w:rsid w:val="00A86F9A"/>
    <w:rsid w:val="00AA2AC3"/>
    <w:rsid w:val="00AA35E6"/>
    <w:rsid w:val="00AA50B6"/>
    <w:rsid w:val="00AB3472"/>
    <w:rsid w:val="00AD0762"/>
    <w:rsid w:val="00AE4452"/>
    <w:rsid w:val="00AE7C38"/>
    <w:rsid w:val="00B01F99"/>
    <w:rsid w:val="00B02B37"/>
    <w:rsid w:val="00B05276"/>
    <w:rsid w:val="00B132DB"/>
    <w:rsid w:val="00B30F89"/>
    <w:rsid w:val="00B31427"/>
    <w:rsid w:val="00B33861"/>
    <w:rsid w:val="00B40DE2"/>
    <w:rsid w:val="00B50210"/>
    <w:rsid w:val="00B53955"/>
    <w:rsid w:val="00B6408A"/>
    <w:rsid w:val="00B714B8"/>
    <w:rsid w:val="00B82C2C"/>
    <w:rsid w:val="00B8720B"/>
    <w:rsid w:val="00B876EF"/>
    <w:rsid w:val="00B9000A"/>
    <w:rsid w:val="00BA4697"/>
    <w:rsid w:val="00BB5378"/>
    <w:rsid w:val="00BC0BD3"/>
    <w:rsid w:val="00BD0107"/>
    <w:rsid w:val="00BE075A"/>
    <w:rsid w:val="00BE0C33"/>
    <w:rsid w:val="00BE262C"/>
    <w:rsid w:val="00BE3A60"/>
    <w:rsid w:val="00BE6C3D"/>
    <w:rsid w:val="00C07606"/>
    <w:rsid w:val="00C12542"/>
    <w:rsid w:val="00C203C1"/>
    <w:rsid w:val="00C30BA9"/>
    <w:rsid w:val="00C3541E"/>
    <w:rsid w:val="00C36A8F"/>
    <w:rsid w:val="00C42FFA"/>
    <w:rsid w:val="00C50419"/>
    <w:rsid w:val="00C507D8"/>
    <w:rsid w:val="00C527B8"/>
    <w:rsid w:val="00C62EAC"/>
    <w:rsid w:val="00C63F9F"/>
    <w:rsid w:val="00C7723C"/>
    <w:rsid w:val="00C92D37"/>
    <w:rsid w:val="00CA1AF4"/>
    <w:rsid w:val="00CA6068"/>
    <w:rsid w:val="00CB00B0"/>
    <w:rsid w:val="00CB15E1"/>
    <w:rsid w:val="00CB3D46"/>
    <w:rsid w:val="00CB6B6F"/>
    <w:rsid w:val="00CD1A87"/>
    <w:rsid w:val="00CD35F3"/>
    <w:rsid w:val="00CD5C93"/>
    <w:rsid w:val="00CF293F"/>
    <w:rsid w:val="00CF320C"/>
    <w:rsid w:val="00CF3A4B"/>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E05C0"/>
    <w:rsid w:val="00DE38B4"/>
    <w:rsid w:val="00DE5D02"/>
    <w:rsid w:val="00DF27A5"/>
    <w:rsid w:val="00DF2F34"/>
    <w:rsid w:val="00E005A9"/>
    <w:rsid w:val="00E1166E"/>
    <w:rsid w:val="00E24DC0"/>
    <w:rsid w:val="00E2519C"/>
    <w:rsid w:val="00E25F2A"/>
    <w:rsid w:val="00E41455"/>
    <w:rsid w:val="00E42AD2"/>
    <w:rsid w:val="00E50856"/>
    <w:rsid w:val="00E54DBA"/>
    <w:rsid w:val="00E63D7C"/>
    <w:rsid w:val="00E640D5"/>
    <w:rsid w:val="00E67691"/>
    <w:rsid w:val="00E92237"/>
    <w:rsid w:val="00E951EF"/>
    <w:rsid w:val="00EA3767"/>
    <w:rsid w:val="00EA3D54"/>
    <w:rsid w:val="00EA56D9"/>
    <w:rsid w:val="00EA5CE3"/>
    <w:rsid w:val="00EB5E0B"/>
    <w:rsid w:val="00EC2171"/>
    <w:rsid w:val="00EC4E72"/>
    <w:rsid w:val="00ED442D"/>
    <w:rsid w:val="00ED70C2"/>
    <w:rsid w:val="00EE18FF"/>
    <w:rsid w:val="00EE489F"/>
    <w:rsid w:val="00F0647F"/>
    <w:rsid w:val="00F10CE3"/>
    <w:rsid w:val="00F11494"/>
    <w:rsid w:val="00F14F3B"/>
    <w:rsid w:val="00F16362"/>
    <w:rsid w:val="00F36B6D"/>
    <w:rsid w:val="00F43FA3"/>
    <w:rsid w:val="00F70046"/>
    <w:rsid w:val="00F748C2"/>
    <w:rsid w:val="00F76332"/>
    <w:rsid w:val="00F76C5C"/>
    <w:rsid w:val="00F81EF3"/>
    <w:rsid w:val="00F830CB"/>
    <w:rsid w:val="00F84496"/>
    <w:rsid w:val="00F85DCB"/>
    <w:rsid w:val="00F86F9C"/>
    <w:rsid w:val="00F90100"/>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A6C074"/>
  <w15:docId w15:val="{F4CAC732-8DCA-4028-AEB3-EB4F5317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287590030">
      <w:bodyDiv w:val="1"/>
      <w:marLeft w:val="0"/>
      <w:marRight w:val="0"/>
      <w:marTop w:val="0"/>
      <w:marBottom w:val="0"/>
      <w:divBdr>
        <w:top w:val="none" w:sz="0" w:space="0" w:color="auto"/>
        <w:left w:val="none" w:sz="0" w:space="0" w:color="auto"/>
        <w:bottom w:val="none" w:sz="0" w:space="0" w:color="auto"/>
        <w:right w:val="none" w:sz="0" w:space="0" w:color="auto"/>
      </w:divBdr>
    </w:div>
    <w:div w:id="1588534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itminghk@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file:///I:\Staging\CDESS\ZoFE\CDI\Desktopping\OpenCDI\OpenCDI-2018-volume\4-Kit%20Leung-A%20review%20of%20listeriosis%20notifications\MS-Word%20output\table-web-resources\image\208935.p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5952C8-8FD9-4DEB-8701-6EC91AB1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4939</Words>
  <Characters>28155</Characters>
  <Application>Microsoft Office Word</Application>
  <DocSecurity>0</DocSecurity>
  <Lines>234</Lines>
  <Paragraphs>66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A review of listeriosis notifications and co-existing conditions in NSW, 2010-2015</vt:lpstr>
      <vt:lpstr>Abstract</vt:lpstr>
      <vt:lpstr>    Aim </vt:lpstr>
      <vt:lpstr>    Methods </vt:lpstr>
      <vt:lpstr>    Results </vt:lpstr>
      <vt:lpstr>    Conclusion </vt:lpstr>
      <vt:lpstr>Introduction</vt:lpstr>
      <vt:lpstr>Methods </vt:lpstr>
      <vt:lpstr>    Data sources </vt:lpstr>
      <vt:lpstr>    Definitions (Case definition) </vt:lpstr>
      <vt:lpstr>    Descriptive analysis </vt:lpstr>
      <vt:lpstr>Results </vt:lpstr>
      <vt:lpstr>Discussion</vt:lpstr>
      <vt:lpstr>Conclusion </vt:lpstr>
      <vt:lpstr>    Ethics considerations </vt:lpstr>
      <vt:lpstr>Acknowledgements </vt:lpstr>
      <vt:lpstr>Author details</vt:lpstr>
      <vt:lpstr>References </vt:lpstr>
    </vt:vector>
  </TitlesOfParts>
  <Company>Australian Government, Department of Health</Company>
  <LinksUpToDate>false</LinksUpToDate>
  <CharactersWithSpaces>33028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review of listeriosis notifications and co-existing conditions in NSW, 2010-2015</dc:title>
  <dc:subject>A review of listeriosis notifications and the distribution of known risk factors for infection, including co-existing conditions, in New South Wales between 2010 and 2015.</dc:subject>
  <dc:creator>Kit Leung, Kirsty Hope and Vicky Sheppeard</dc:creator>
  <cp:keywords>Listeria monocytogenes, listeriosis, immunocompromised conditions,immunosuppressant medications, cancer, risk factors, patient information, Australia</cp:keywords>
  <cp:revision>2</cp:revision>
  <cp:lastPrinted>2018-05-21T02:27:00Z</cp:lastPrinted>
  <dcterms:created xsi:type="dcterms:W3CDTF">2024-08-27T02:19:00Z</dcterms:created>
  <dcterms:modified xsi:type="dcterms:W3CDTF">2024-08-27T02:19:00Z</dcterms:modified>
  <cp:category>Original Article</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y fmtid="{D5CDD505-2E9C-101B-9397-08002B2CF9AE}" pid="4" name="PII">
    <vt:lpwstr>CDI.2018.42.3/issn.2209-6051</vt:lpwstr>
  </property>
</Properties>
</file>