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CFCA" w14:textId="77777777" w:rsidR="00AE0FE0" w:rsidRDefault="00AE0FE0" w:rsidP="00AE0FE0">
      <w:pPr>
        <w:pStyle w:val="Title"/>
        <w:rPr>
          <w:rFonts w:eastAsia="Times New Roman"/>
        </w:rPr>
      </w:pPr>
      <w:r>
        <w:rPr>
          <w:rFonts w:eastAsia="Times New Roman"/>
        </w:rPr>
        <w:t>Surveillance of adverse events following immunisation in Australia annual report, 2016</w:t>
      </w:r>
    </w:p>
    <w:p w14:paraId="151E8267" w14:textId="77777777" w:rsidR="00AE0FE0" w:rsidRDefault="00AE0FE0" w:rsidP="00AE0FE0">
      <w:r>
        <w:t xml:space="preserve">Aditi Dey, Han </w:t>
      </w:r>
      <w:proofErr w:type="spellStart"/>
      <w:r>
        <w:t>Wang,Helen</w:t>
      </w:r>
      <w:proofErr w:type="spellEnd"/>
      <w:r>
        <w:t xml:space="preserve"> Quinn, Jane Cook, Kristine Macartney</w:t>
      </w:r>
    </w:p>
    <w:p w14:paraId="4E7D735F" w14:textId="77777777" w:rsidR="00AE0FE0" w:rsidRDefault="00AE0FE0">
      <w:pPr>
        <w:pStyle w:val="Heading1"/>
        <w:rPr>
          <w:rFonts w:eastAsia="Times New Roman"/>
        </w:rPr>
      </w:pPr>
      <w:r>
        <w:rPr>
          <w:rFonts w:eastAsia="Times New Roman"/>
        </w:rPr>
        <w:t>Abstract</w:t>
      </w:r>
    </w:p>
    <w:p w14:paraId="3DBFE811" w14:textId="77777777" w:rsidR="00AE0FE0" w:rsidRDefault="00AE0FE0" w:rsidP="00013F14">
      <w:pPr>
        <w:pStyle w:val="NormalWeb"/>
        <w:jc w:val="both"/>
      </w:pPr>
      <w:r>
        <w:t>This report summarises Australian passive surveillance data for adverse events following immunisation (AEFI) for 2016 reported to the Therapeutic Goods Administration and describes reporting trends over the 17-year period 1</w:t>
      </w:r>
      <w:r w:rsidR="007C12ED">
        <w:t> </w:t>
      </w:r>
      <w:r>
        <w:t>January 2000 to 31 December 2016. There were 3,407 AEFI records for vaccines administered in 2016; an annual AEFI reporting rate of 14.1 per 100,000 population. There was a 14% increase in the overall AEFI reporting rate in 2016 compared with 2015. This increase in reported adverse events in 2016, compared to the previous year, was mainly attributable to introduction of the booster dose of the diphtheria, tetanus, and acellular pertussis-containing vaccine (</w:t>
      </w:r>
      <w:proofErr w:type="spellStart"/>
      <w:r>
        <w:t>DTPa</w:t>
      </w:r>
      <w:proofErr w:type="spellEnd"/>
      <w:r>
        <w:t>)</w:t>
      </w:r>
      <w:r w:rsidR="00013F14">
        <w:rPr>
          <w:rStyle w:val="FootnoteReference"/>
        </w:rPr>
        <w:footnoteReference w:id="2"/>
      </w:r>
      <w:r>
        <w:t xml:space="preserve"> at 18 months of age in March 2016 and the zoster vaccine for those aged 70–79 years in November 2016. AEFI reporting rates for most other individual vaccines in 2016 were similar to 2015. The most commonly reported reactions were injection site reaction (29%), pyrexia (19%), rash (17%), vomiting (8%) and headache (7%). The majority of AEFI reports (90%) were described as non-serious events and a 24% decline was observed in events classified as ‘serious’ in this reporting period compared to the previous reporting period. There were </w:t>
      </w:r>
      <w:r w:rsidR="002B1423">
        <w:t>2</w:t>
      </w:r>
      <w:r>
        <w:t xml:space="preserve"> deaths reported but no clear causal relationship with vaccination found.</w:t>
      </w:r>
    </w:p>
    <w:p w14:paraId="0636A4E1" w14:textId="77777777" w:rsidR="00AE0FE0" w:rsidRDefault="00AE0FE0">
      <w:pPr>
        <w:pStyle w:val="NormalWeb"/>
      </w:pPr>
      <w:r>
        <w:t>Keywords: AEFI, adverse events, vaccines, surveillance, immunisation, vaccine</w:t>
      </w:r>
    </w:p>
    <w:p w14:paraId="795FF0E6" w14:textId="77777777" w:rsidR="00AE0FE0" w:rsidRDefault="00AE0FE0">
      <w:pPr>
        <w:pStyle w:val="Heading1"/>
        <w:rPr>
          <w:rFonts w:eastAsia="Times New Roman"/>
        </w:rPr>
      </w:pPr>
      <w:r>
        <w:rPr>
          <w:rFonts w:eastAsia="Times New Roman"/>
        </w:rPr>
        <w:t>Introduction</w:t>
      </w:r>
    </w:p>
    <w:p w14:paraId="70A9AB5A" w14:textId="77777777" w:rsidR="00AE0FE0" w:rsidRDefault="00AE0FE0">
      <w:pPr>
        <w:pStyle w:val="NormalWeb"/>
      </w:pPr>
      <w:r>
        <w:t>This report summarises national passive surveillance data for adverse events following immunisation (AEFI) reported to the Therapeutic Goods Administration (TGA) by 28</w:t>
      </w:r>
      <w:r w:rsidRPr="008F1C01">
        <w:rPr>
          <w:vertAlign w:val="superscript"/>
        </w:rPr>
        <w:t>th</w:t>
      </w:r>
      <w:r>
        <w:t xml:space="preserve"> February 2017. The report focuses on AEFI reported for vaccines administered during 2016 and trends in AEFI reporting over the 17-year period 1 January 2000 – 31</w:t>
      </w:r>
      <w:r w:rsidR="00A25B2A">
        <w:t> </w:t>
      </w:r>
      <w:r>
        <w:t>December 2016.</w:t>
      </w:r>
    </w:p>
    <w:p w14:paraId="381F8904" w14:textId="77777777" w:rsidR="00AE0FE0" w:rsidRDefault="00AE0FE0">
      <w:pPr>
        <w:pStyle w:val="NormalWeb"/>
      </w:pPr>
      <w:r>
        <w:t xml:space="preserve">An adverse event following immunisation is defined as any untoward medical occurrence which follows </w:t>
      </w:r>
      <w:proofErr w:type="gramStart"/>
      <w:r>
        <w:t>immunisation</w:t>
      </w:r>
      <w:proofErr w:type="gramEnd"/>
      <w:r>
        <w:t xml:space="preserve"> and which does not necessarily have a causal relationship with the usage of the vaccine. </w:t>
      </w:r>
      <w:r>
        <w:rPr>
          <w:vertAlign w:val="superscript"/>
        </w:rPr>
        <w:t>1</w:t>
      </w:r>
      <w:r>
        <w:t xml:space="preserve"> The adverse event may be any unfavourable or unintended sign, abnormal laboratory finding, symptom or disease. </w:t>
      </w:r>
      <w:r>
        <w:rPr>
          <w:vertAlign w:val="superscript"/>
        </w:rPr>
        <w:t>1</w:t>
      </w:r>
      <w:r>
        <w:t xml:space="preserve"> </w:t>
      </w:r>
    </w:p>
    <w:p w14:paraId="2CD838E5" w14:textId="77777777" w:rsidR="00AE0FE0" w:rsidRDefault="00AE0FE0">
      <w:pPr>
        <w:pStyle w:val="NormalWeb"/>
      </w:pPr>
      <w:r>
        <w:t>Thus, AEFI may be caused by a vaccine(s) or may be coincidental. Adverse events may also include conditions that occur following the incorrect handling and/or administration of a vaccine(s). The post-marketing surveillance of AEFI is particularly important to detect signals of rare, late onset or unexpected events, which are difficult to detect in pre-registration vaccine trials.</w:t>
      </w:r>
    </w:p>
    <w:p w14:paraId="7E0B65E1" w14:textId="77777777" w:rsidR="001908D1" w:rsidRDefault="00AE0FE0" w:rsidP="001908D1">
      <w:pPr>
        <w:pStyle w:val="NormalWeb"/>
      </w:pPr>
      <w:r>
        <w:lastRenderedPageBreak/>
        <w:t xml:space="preserve">Reports summarising national AEFI surveillance data have been published regularly since 2003. </w:t>
      </w:r>
      <w:r>
        <w:rPr>
          <w:vertAlign w:val="superscript"/>
        </w:rPr>
        <w:t>2-15</w:t>
      </w:r>
      <w:r>
        <w:t xml:space="preserve"> Trends in reported adverse events following immunisation are heavily influenced by changes to vaccine funding and availability provided through the National Immunisation Program (NIP). These changes impact on the interpretation of trend data and have been described in detail in reports published since 2003. </w:t>
      </w:r>
      <w:r>
        <w:rPr>
          <w:vertAlign w:val="superscript"/>
        </w:rPr>
        <w:t>2-15</w:t>
      </w:r>
      <w:r>
        <w:t xml:space="preserve"> Table 1 shows the chronological listing of the changes.</w:t>
      </w:r>
    </w:p>
    <w:p w14:paraId="16506DE4" w14:textId="77777777" w:rsidR="00AE0FE0" w:rsidRDefault="00AE0FE0" w:rsidP="005460A7">
      <w:pPr>
        <w:pStyle w:val="CDIFigures"/>
      </w:pPr>
      <w:r>
        <w:t xml:space="preserve">Table 1: Changes in immunisation policy and the National Immunisation Program (2005–2016) </w:t>
      </w:r>
      <w:r w:rsidRPr="001908D1">
        <w:rPr>
          <w:b w:val="0"/>
          <w:vertAlign w:val="superscript"/>
        </w:rPr>
        <w:t>2</w:t>
      </w:r>
      <w:r w:rsidR="00694369" w:rsidRPr="001908D1">
        <w:rPr>
          <w:b w:val="0"/>
          <w:vertAlign w:val="superscript"/>
        </w:rPr>
        <w:t>, 4,5,7,10,12,14,15,37</w:t>
      </w:r>
    </w:p>
    <w:tbl>
      <w:tblPr>
        <w:tblStyle w:val="CDI-StandardTable"/>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 1: Changes in immunisation policy and the National Immunisation Program (2005–2016) "/>
        <w:tblDescription w:val="Table 1 shows changes in immunisation policy and the National Immunisation Program (2005–2016)."/>
      </w:tblPr>
      <w:tblGrid>
        <w:gridCol w:w="663"/>
        <w:gridCol w:w="10019"/>
      </w:tblGrid>
      <w:tr w:rsidR="0016600D" w:rsidRPr="001D7514" w14:paraId="2A51A795" w14:textId="77777777" w:rsidTr="00F86F4E">
        <w:trPr>
          <w:cnfStyle w:val="100000000000" w:firstRow="1" w:lastRow="0" w:firstColumn="0" w:lastColumn="0" w:oddVBand="0" w:evenVBand="0" w:oddHBand="0" w:evenHBand="0" w:firstRowFirstColumn="0" w:firstRowLastColumn="0" w:lastRowFirstColumn="0" w:lastRowLastColumn="0"/>
          <w:tblHeader/>
        </w:trPr>
        <w:tc>
          <w:tcPr>
            <w:tcW w:w="663" w:type="dxa"/>
            <w:tcMar>
              <w:top w:w="142" w:type="dxa"/>
              <w:left w:w="142" w:type="dxa"/>
              <w:bottom w:w="142" w:type="dxa"/>
              <w:right w:w="142" w:type="dxa"/>
            </w:tcMar>
            <w:hideMark/>
          </w:tcPr>
          <w:p w14:paraId="26946EC4" w14:textId="77777777" w:rsidR="00AE0FE0" w:rsidRPr="001D7514" w:rsidRDefault="00AE0FE0">
            <w:pPr>
              <w:pStyle w:val="NormalWeb"/>
              <w:rPr>
                <w:color w:val="FFFFFF" w:themeColor="background1"/>
                <w:sz w:val="18"/>
                <w:szCs w:val="18"/>
              </w:rPr>
            </w:pPr>
            <w:r w:rsidRPr="001D7514">
              <w:rPr>
                <w:color w:val="FFFFFF" w:themeColor="background1"/>
                <w:sz w:val="18"/>
                <w:szCs w:val="18"/>
              </w:rPr>
              <w:t>Year</w:t>
            </w:r>
          </w:p>
        </w:tc>
        <w:tc>
          <w:tcPr>
            <w:tcW w:w="10019" w:type="dxa"/>
            <w:tcMar>
              <w:top w:w="142" w:type="dxa"/>
              <w:left w:w="142" w:type="dxa"/>
              <w:bottom w:w="142" w:type="dxa"/>
              <w:right w:w="142" w:type="dxa"/>
            </w:tcMar>
            <w:hideMark/>
          </w:tcPr>
          <w:p w14:paraId="276A0BC1" w14:textId="77777777" w:rsidR="00AE0FE0" w:rsidRPr="001D7514" w:rsidRDefault="00AE0FE0">
            <w:pPr>
              <w:pStyle w:val="NormalWeb"/>
              <w:rPr>
                <w:color w:val="FFFFFF" w:themeColor="background1"/>
                <w:sz w:val="18"/>
                <w:szCs w:val="18"/>
              </w:rPr>
            </w:pPr>
            <w:r w:rsidRPr="001D7514">
              <w:rPr>
                <w:color w:val="FFFFFF" w:themeColor="background1"/>
                <w:sz w:val="18"/>
                <w:szCs w:val="18"/>
              </w:rPr>
              <w:t>Intervention</w:t>
            </w:r>
          </w:p>
        </w:tc>
      </w:tr>
      <w:tr w:rsidR="00AE0FE0" w:rsidRPr="001D7514" w14:paraId="658A7D41"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1996C903" w14:textId="77777777" w:rsidR="00AE0FE0" w:rsidRPr="001D7514" w:rsidRDefault="00AE0FE0">
            <w:pPr>
              <w:pStyle w:val="NormalWeb"/>
              <w:rPr>
                <w:sz w:val="18"/>
                <w:szCs w:val="18"/>
              </w:rPr>
            </w:pPr>
            <w:r w:rsidRPr="001D7514">
              <w:rPr>
                <w:sz w:val="18"/>
                <w:szCs w:val="18"/>
              </w:rPr>
              <w:t>2016</w:t>
            </w:r>
          </w:p>
        </w:tc>
        <w:tc>
          <w:tcPr>
            <w:tcW w:w="10019" w:type="dxa"/>
            <w:tcMar>
              <w:top w:w="142" w:type="dxa"/>
              <w:left w:w="142" w:type="dxa"/>
              <w:bottom w:w="142" w:type="dxa"/>
              <w:right w:w="142" w:type="dxa"/>
            </w:tcMar>
            <w:hideMark/>
          </w:tcPr>
          <w:p w14:paraId="48AA2F50" w14:textId="77777777" w:rsidR="00AE0FE0" w:rsidRPr="001D7514" w:rsidRDefault="00AE0FE0">
            <w:pPr>
              <w:pStyle w:val="NormalWeb"/>
              <w:rPr>
                <w:sz w:val="18"/>
                <w:szCs w:val="18"/>
              </w:rPr>
            </w:pPr>
            <w:r w:rsidRPr="001D7514">
              <w:rPr>
                <w:sz w:val="18"/>
                <w:szCs w:val="18"/>
              </w:rPr>
              <w:t xml:space="preserve">From November 2016 – Zoster vaccine (Zostavax®) provided free for people aged 70 years under the National Immunisation Program with a </w:t>
            </w:r>
            <w:r w:rsidR="003B401D">
              <w:rPr>
                <w:sz w:val="18"/>
                <w:szCs w:val="18"/>
              </w:rPr>
              <w:t>5</w:t>
            </w:r>
            <w:r w:rsidRPr="001D7514">
              <w:rPr>
                <w:sz w:val="18"/>
                <w:szCs w:val="18"/>
              </w:rPr>
              <w:t xml:space="preserve"> year catch-up program for people aged 71 – 79 years.</w:t>
            </w:r>
          </w:p>
          <w:p w14:paraId="43E5E4E2" w14:textId="77777777" w:rsidR="00AE0FE0" w:rsidRPr="001D7514" w:rsidRDefault="00AE0FE0" w:rsidP="00C600BD">
            <w:pPr>
              <w:pStyle w:val="NormalWeb"/>
              <w:rPr>
                <w:sz w:val="18"/>
                <w:szCs w:val="18"/>
              </w:rPr>
            </w:pPr>
            <w:r w:rsidRPr="001D7514">
              <w:rPr>
                <w:sz w:val="18"/>
                <w:szCs w:val="18"/>
              </w:rPr>
              <w:t>From March 2016 – Free booster dose of the diphtheria, tetanus, and acellular pertussis-containing vaccine (</w:t>
            </w:r>
            <w:proofErr w:type="spellStart"/>
            <w:r w:rsidRPr="001D7514">
              <w:rPr>
                <w:sz w:val="18"/>
                <w:szCs w:val="18"/>
              </w:rPr>
              <w:t>DTPa</w:t>
            </w:r>
            <w:proofErr w:type="spellEnd"/>
            <w:r w:rsidRPr="001D7514">
              <w:rPr>
                <w:sz w:val="18"/>
                <w:szCs w:val="18"/>
              </w:rPr>
              <w:t>) at 18 months of</w:t>
            </w:r>
            <w:r w:rsidR="00C600BD">
              <w:rPr>
                <w:sz w:val="18"/>
                <w:szCs w:val="18"/>
              </w:rPr>
              <w:t> </w:t>
            </w:r>
            <w:r w:rsidRPr="001D7514">
              <w:rPr>
                <w:sz w:val="18"/>
                <w:szCs w:val="18"/>
              </w:rPr>
              <w:t>age.</w:t>
            </w:r>
          </w:p>
        </w:tc>
      </w:tr>
      <w:tr w:rsidR="00AE0FE0" w:rsidRPr="001D7514" w14:paraId="2C606482" w14:textId="77777777" w:rsidTr="00F86F4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663" w:type="dxa"/>
            <w:tcMar>
              <w:top w:w="142" w:type="dxa"/>
              <w:left w:w="142" w:type="dxa"/>
              <w:bottom w:w="142" w:type="dxa"/>
              <w:right w:w="142" w:type="dxa"/>
            </w:tcMar>
            <w:hideMark/>
          </w:tcPr>
          <w:p w14:paraId="0CF40793" w14:textId="77777777" w:rsidR="00AE0FE0" w:rsidRPr="001D7514" w:rsidRDefault="00AE0FE0">
            <w:pPr>
              <w:pStyle w:val="NormalWeb"/>
              <w:rPr>
                <w:sz w:val="18"/>
                <w:szCs w:val="18"/>
              </w:rPr>
            </w:pPr>
            <w:r w:rsidRPr="001D7514">
              <w:rPr>
                <w:sz w:val="18"/>
                <w:szCs w:val="18"/>
              </w:rPr>
              <w:t>2015</w:t>
            </w:r>
          </w:p>
        </w:tc>
        <w:tc>
          <w:tcPr>
            <w:tcW w:w="10019" w:type="dxa"/>
            <w:tcMar>
              <w:top w:w="142" w:type="dxa"/>
              <w:left w:w="142" w:type="dxa"/>
              <w:bottom w:w="142" w:type="dxa"/>
              <w:right w:w="142" w:type="dxa"/>
            </w:tcMar>
            <w:hideMark/>
          </w:tcPr>
          <w:p w14:paraId="08D34788" w14:textId="77777777" w:rsidR="00AE0FE0" w:rsidRPr="001D7514" w:rsidRDefault="00AE0FE0">
            <w:pPr>
              <w:pStyle w:val="NormalWeb"/>
              <w:rPr>
                <w:sz w:val="18"/>
                <w:szCs w:val="18"/>
              </w:rPr>
            </w:pPr>
            <w:r w:rsidRPr="001D7514">
              <w:rPr>
                <w:sz w:val="18"/>
                <w:szCs w:val="18"/>
              </w:rPr>
              <w:t>From March 2015, seasonal influenza vaccine funded for Aboriginal and Torres Strait Islander children aged 6 months to less than 5 years.</w:t>
            </w:r>
          </w:p>
          <w:p w14:paraId="2C6BD791" w14:textId="77777777" w:rsidR="00AE0FE0" w:rsidRPr="001D7514" w:rsidRDefault="00AE0FE0">
            <w:pPr>
              <w:pStyle w:val="NormalWeb"/>
              <w:rPr>
                <w:sz w:val="18"/>
                <w:szCs w:val="18"/>
              </w:rPr>
            </w:pPr>
            <w:r w:rsidRPr="001D7514">
              <w:rPr>
                <w:sz w:val="18"/>
                <w:szCs w:val="18"/>
              </w:rPr>
              <w:t xml:space="preserve">From March to June 2015, the </w:t>
            </w:r>
            <w:proofErr w:type="spellStart"/>
            <w:r w:rsidRPr="001D7514">
              <w:rPr>
                <w:sz w:val="18"/>
                <w:szCs w:val="18"/>
              </w:rPr>
              <w:t>dTpa</w:t>
            </w:r>
            <w:proofErr w:type="spellEnd"/>
            <w:r w:rsidRPr="001D7514">
              <w:rPr>
                <w:sz w:val="18"/>
                <w:szCs w:val="18"/>
              </w:rPr>
              <w:t xml:space="preserve"> vaccine for women during the third trimester of pregnancy was funded by New South Wales, South Australia, Western Australia, the Australian Capital Territory, </w:t>
            </w:r>
            <w:proofErr w:type="gramStart"/>
            <w:r w:rsidRPr="001D7514">
              <w:rPr>
                <w:sz w:val="18"/>
                <w:szCs w:val="18"/>
              </w:rPr>
              <w:t>Victoria</w:t>
            </w:r>
            <w:proofErr w:type="gramEnd"/>
            <w:r w:rsidRPr="001D7514">
              <w:rPr>
                <w:sz w:val="18"/>
                <w:szCs w:val="18"/>
              </w:rPr>
              <w:t xml:space="preserve"> and Tasmania. The Northern Territory had funded it since September 2013 and Queensland since July 2014.</w:t>
            </w:r>
          </w:p>
          <w:p w14:paraId="4039A121" w14:textId="77777777" w:rsidR="00AE0FE0" w:rsidRPr="001D7514" w:rsidRDefault="00AE0FE0">
            <w:pPr>
              <w:pStyle w:val="NormalWeb"/>
              <w:rPr>
                <w:sz w:val="18"/>
                <w:szCs w:val="18"/>
              </w:rPr>
            </w:pPr>
            <w:r w:rsidRPr="001D7514">
              <w:rPr>
                <w:sz w:val="18"/>
                <w:szCs w:val="18"/>
              </w:rPr>
              <w:t xml:space="preserve">In March 2015, a booster dose of </w:t>
            </w:r>
            <w:proofErr w:type="spellStart"/>
            <w:r w:rsidRPr="001D7514">
              <w:rPr>
                <w:sz w:val="18"/>
                <w:szCs w:val="18"/>
              </w:rPr>
              <w:t>DTPa</w:t>
            </w:r>
            <w:proofErr w:type="spellEnd"/>
            <w:r w:rsidRPr="001D7514">
              <w:rPr>
                <w:sz w:val="18"/>
                <w:szCs w:val="18"/>
              </w:rPr>
              <w:t xml:space="preserve"> recommended at 18 months of age (funded in March 2016).</w:t>
            </w:r>
          </w:p>
          <w:p w14:paraId="7DE74574" w14:textId="77777777" w:rsidR="00AE0FE0" w:rsidRPr="001D7514" w:rsidRDefault="00AE0FE0">
            <w:pPr>
              <w:pStyle w:val="NormalWeb"/>
              <w:rPr>
                <w:sz w:val="18"/>
                <w:szCs w:val="18"/>
              </w:rPr>
            </w:pPr>
            <w:r w:rsidRPr="001D7514">
              <w:rPr>
                <w:sz w:val="18"/>
                <w:szCs w:val="18"/>
              </w:rPr>
              <w:t xml:space="preserve">In April 2015, new immunisation requirements for family assistance payments were announced by the federal government (the ‘No Jab, No Pay’ policy), to come into effect on 1 January 2016. Only parents of children (aged less than 20 years) who are ‘fully immunised’ or on a recognised catch-up schedule remain eligible to receive the </w:t>
            </w:r>
            <w:proofErr w:type="gramStart"/>
            <w:r w:rsidRPr="001D7514">
              <w:rPr>
                <w:sz w:val="18"/>
                <w:szCs w:val="18"/>
              </w:rPr>
              <w:t>Child Care</w:t>
            </w:r>
            <w:proofErr w:type="gramEnd"/>
            <w:r w:rsidRPr="001D7514">
              <w:rPr>
                <w:sz w:val="18"/>
                <w:szCs w:val="18"/>
              </w:rPr>
              <w:t xml:space="preserve"> Benefit, Child Care Rebate, and/or the Family Tax Benefit Part A end-of-year supplement.</w:t>
            </w:r>
          </w:p>
        </w:tc>
      </w:tr>
      <w:tr w:rsidR="00AE0FE0" w:rsidRPr="001D7514" w14:paraId="63609EAE"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08FCA253" w14:textId="77777777" w:rsidR="00AE0FE0" w:rsidRPr="001D7514" w:rsidRDefault="00AE0FE0">
            <w:pPr>
              <w:pStyle w:val="NormalWeb"/>
              <w:rPr>
                <w:sz w:val="18"/>
                <w:szCs w:val="18"/>
              </w:rPr>
            </w:pPr>
            <w:r w:rsidRPr="001D7514">
              <w:rPr>
                <w:sz w:val="18"/>
                <w:szCs w:val="18"/>
              </w:rPr>
              <w:t>2014</w:t>
            </w:r>
          </w:p>
        </w:tc>
        <w:tc>
          <w:tcPr>
            <w:tcW w:w="10019" w:type="dxa"/>
            <w:tcMar>
              <w:top w:w="142" w:type="dxa"/>
              <w:left w:w="142" w:type="dxa"/>
              <w:bottom w:w="142" w:type="dxa"/>
              <w:right w:w="142" w:type="dxa"/>
            </w:tcMar>
            <w:hideMark/>
          </w:tcPr>
          <w:p w14:paraId="5EEC0E7C" w14:textId="77777777" w:rsidR="00AE0FE0" w:rsidRPr="001D7514" w:rsidRDefault="00AE0FE0">
            <w:pPr>
              <w:pStyle w:val="NormalWeb"/>
              <w:rPr>
                <w:sz w:val="18"/>
                <w:szCs w:val="18"/>
              </w:rPr>
            </w:pPr>
            <w:r w:rsidRPr="001D7514">
              <w:rPr>
                <w:sz w:val="18"/>
                <w:szCs w:val="18"/>
              </w:rPr>
              <w:t>4vHPV catch-up program for males aged 14–15 years ceased in December 2014.</w:t>
            </w:r>
          </w:p>
          <w:p w14:paraId="20F49E10" w14:textId="77777777" w:rsidR="00AE0FE0" w:rsidRPr="001D7514" w:rsidRDefault="00AE0FE0">
            <w:pPr>
              <w:pStyle w:val="NormalWeb"/>
              <w:rPr>
                <w:sz w:val="18"/>
                <w:szCs w:val="18"/>
              </w:rPr>
            </w:pPr>
            <w:r w:rsidRPr="001D7514">
              <w:rPr>
                <w:sz w:val="18"/>
                <w:szCs w:val="18"/>
              </w:rPr>
              <w:t xml:space="preserve">In July 2014, </w:t>
            </w:r>
            <w:proofErr w:type="spellStart"/>
            <w:r w:rsidRPr="001D7514">
              <w:rPr>
                <w:sz w:val="18"/>
                <w:szCs w:val="18"/>
              </w:rPr>
              <w:t>dTpa</w:t>
            </w:r>
            <w:proofErr w:type="spellEnd"/>
            <w:r w:rsidRPr="001D7514">
              <w:rPr>
                <w:sz w:val="18"/>
                <w:szCs w:val="18"/>
              </w:rPr>
              <w:t xml:space="preserve"> was funded by Queensland for women during the third trimester of pregnancy.</w:t>
            </w:r>
          </w:p>
        </w:tc>
      </w:tr>
      <w:tr w:rsidR="00AE0FE0" w:rsidRPr="001D7514" w14:paraId="4E84C173" w14:textId="77777777" w:rsidTr="00F86F4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663" w:type="dxa"/>
            <w:tcMar>
              <w:top w:w="142" w:type="dxa"/>
              <w:left w:w="142" w:type="dxa"/>
              <w:bottom w:w="142" w:type="dxa"/>
              <w:right w:w="142" w:type="dxa"/>
            </w:tcMar>
            <w:hideMark/>
          </w:tcPr>
          <w:p w14:paraId="0CB4755F" w14:textId="77777777" w:rsidR="00AE0FE0" w:rsidRPr="001D7514" w:rsidRDefault="00AE0FE0">
            <w:pPr>
              <w:pStyle w:val="NormalWeb"/>
              <w:rPr>
                <w:sz w:val="18"/>
                <w:szCs w:val="18"/>
              </w:rPr>
            </w:pPr>
            <w:r w:rsidRPr="001D7514">
              <w:rPr>
                <w:sz w:val="18"/>
                <w:szCs w:val="18"/>
              </w:rPr>
              <w:t>2013</w:t>
            </w:r>
          </w:p>
        </w:tc>
        <w:tc>
          <w:tcPr>
            <w:tcW w:w="10019" w:type="dxa"/>
            <w:tcMar>
              <w:top w:w="142" w:type="dxa"/>
              <w:left w:w="142" w:type="dxa"/>
              <w:bottom w:w="142" w:type="dxa"/>
              <w:right w:w="142" w:type="dxa"/>
            </w:tcMar>
            <w:hideMark/>
          </w:tcPr>
          <w:p w14:paraId="0207702B" w14:textId="77777777" w:rsidR="00AE0FE0" w:rsidRPr="001D7514" w:rsidRDefault="00AE0FE0">
            <w:pPr>
              <w:pStyle w:val="NormalWeb"/>
              <w:rPr>
                <w:sz w:val="18"/>
                <w:szCs w:val="18"/>
              </w:rPr>
            </w:pPr>
            <w:r w:rsidRPr="001D7514">
              <w:rPr>
                <w:sz w:val="18"/>
                <w:szCs w:val="18"/>
              </w:rPr>
              <w:t>From 1 February 2013, 4vHPV was extended to males aged 12–13 years, delivered through a school-based program, with a catch-up program for males aged 14–15 years in 2013 and 2014.</w:t>
            </w:r>
          </w:p>
          <w:p w14:paraId="7266CD00" w14:textId="77777777" w:rsidR="00AE0FE0" w:rsidRPr="001D7514" w:rsidRDefault="00AE0FE0">
            <w:pPr>
              <w:pStyle w:val="NormalWeb"/>
              <w:rPr>
                <w:sz w:val="18"/>
                <w:szCs w:val="18"/>
              </w:rPr>
            </w:pPr>
            <w:r w:rsidRPr="001D7514">
              <w:rPr>
                <w:sz w:val="18"/>
                <w:szCs w:val="18"/>
              </w:rPr>
              <w:t xml:space="preserve">From July 2013, the 2nd dose of MMR vaccine, previously given at 4 years, was brought forward to 18 months of </w:t>
            </w:r>
            <w:proofErr w:type="gramStart"/>
            <w:r w:rsidRPr="001D7514">
              <w:rPr>
                <w:sz w:val="18"/>
                <w:szCs w:val="18"/>
              </w:rPr>
              <w:t>age</w:t>
            </w:r>
            <w:proofErr w:type="gramEnd"/>
            <w:r w:rsidRPr="001D7514">
              <w:rPr>
                <w:sz w:val="18"/>
                <w:szCs w:val="18"/>
              </w:rPr>
              <w:t xml:space="preserve"> and delivered as a combination MMRV vaccine.</w:t>
            </w:r>
          </w:p>
          <w:p w14:paraId="6CD37FB9" w14:textId="77777777" w:rsidR="00AE0FE0" w:rsidRPr="001D7514" w:rsidRDefault="00AE0FE0">
            <w:pPr>
              <w:pStyle w:val="NormalWeb"/>
              <w:rPr>
                <w:sz w:val="18"/>
                <w:szCs w:val="18"/>
              </w:rPr>
            </w:pPr>
            <w:r w:rsidRPr="001D7514">
              <w:rPr>
                <w:sz w:val="18"/>
                <w:szCs w:val="18"/>
              </w:rPr>
              <w:t>From July 2013, combined Haemophilus influenzae type b (Hib) and meningococcal serogroup C (</w:t>
            </w:r>
            <w:proofErr w:type="spellStart"/>
            <w:r w:rsidRPr="001D7514">
              <w:rPr>
                <w:sz w:val="18"/>
                <w:szCs w:val="18"/>
              </w:rPr>
              <w:t>MenC</w:t>
            </w:r>
            <w:proofErr w:type="spellEnd"/>
            <w:r w:rsidRPr="001D7514">
              <w:rPr>
                <w:sz w:val="18"/>
                <w:szCs w:val="18"/>
              </w:rPr>
              <w:t xml:space="preserve">) vaccine, </w:t>
            </w:r>
            <w:proofErr w:type="spellStart"/>
            <w:r w:rsidRPr="001D7514">
              <w:rPr>
                <w:sz w:val="18"/>
                <w:szCs w:val="18"/>
              </w:rPr>
              <w:t>Menitorix</w:t>
            </w:r>
            <w:proofErr w:type="spellEnd"/>
            <w:r w:rsidRPr="001D7514">
              <w:rPr>
                <w:sz w:val="18"/>
                <w:szCs w:val="18"/>
              </w:rPr>
              <w:t>®, was funded for infants aged 12 months. This combination vaccine replaced the single dose of monovalent meningococcal C conjugate vaccine (</w:t>
            </w:r>
            <w:proofErr w:type="spellStart"/>
            <w:r w:rsidRPr="001D7514">
              <w:rPr>
                <w:sz w:val="18"/>
                <w:szCs w:val="18"/>
              </w:rPr>
              <w:t>MenCCV</w:t>
            </w:r>
            <w:proofErr w:type="spellEnd"/>
            <w:r w:rsidRPr="001D7514">
              <w:rPr>
                <w:sz w:val="18"/>
                <w:szCs w:val="18"/>
              </w:rPr>
              <w:t>) and booster dose of monovalent Hib vaccine previously scheduled at 12 months of age.</w:t>
            </w:r>
          </w:p>
          <w:p w14:paraId="08D7BD65" w14:textId="77777777" w:rsidR="00AE0FE0" w:rsidRPr="001D7514" w:rsidRDefault="00AE0FE0">
            <w:pPr>
              <w:pStyle w:val="NormalWeb"/>
              <w:rPr>
                <w:sz w:val="18"/>
                <w:szCs w:val="18"/>
              </w:rPr>
            </w:pPr>
            <w:r w:rsidRPr="001D7514">
              <w:rPr>
                <w:sz w:val="18"/>
                <w:szCs w:val="18"/>
              </w:rPr>
              <w:t>At the end of December 2013, the secondary school Year 7 hepatitis B vaccine catch-up program ceased, as all younger age cohorts were eligible for infant immunisation under the NIP (commenced 2000).</w:t>
            </w:r>
          </w:p>
          <w:p w14:paraId="57896F6E" w14:textId="77777777" w:rsidR="00AE0FE0" w:rsidRPr="001D7514" w:rsidRDefault="00AE0FE0">
            <w:pPr>
              <w:pStyle w:val="NormalWeb"/>
              <w:rPr>
                <w:sz w:val="18"/>
                <w:szCs w:val="18"/>
              </w:rPr>
            </w:pPr>
            <w:r w:rsidRPr="001D7514">
              <w:rPr>
                <w:sz w:val="18"/>
                <w:szCs w:val="18"/>
              </w:rPr>
              <w:t xml:space="preserve">In September 2013, </w:t>
            </w:r>
            <w:proofErr w:type="spellStart"/>
            <w:r w:rsidRPr="001D7514">
              <w:rPr>
                <w:sz w:val="18"/>
                <w:szCs w:val="18"/>
              </w:rPr>
              <w:t>dTpa</w:t>
            </w:r>
            <w:proofErr w:type="spellEnd"/>
            <w:r w:rsidRPr="001D7514">
              <w:rPr>
                <w:sz w:val="18"/>
                <w:szCs w:val="18"/>
              </w:rPr>
              <w:t xml:space="preserve"> funded by NT for women during the third trimester of pregnancy and for parents of infants aged &lt;7 months under cocoon strategy</w:t>
            </w:r>
          </w:p>
        </w:tc>
      </w:tr>
      <w:tr w:rsidR="00AE0FE0" w:rsidRPr="001D7514" w14:paraId="7CAEC250"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55FE4798" w14:textId="77777777" w:rsidR="00AE0FE0" w:rsidRPr="001D7514" w:rsidRDefault="00AE0FE0">
            <w:pPr>
              <w:pStyle w:val="NormalWeb"/>
              <w:rPr>
                <w:sz w:val="18"/>
                <w:szCs w:val="18"/>
              </w:rPr>
            </w:pPr>
            <w:r w:rsidRPr="001D7514">
              <w:rPr>
                <w:sz w:val="18"/>
                <w:szCs w:val="18"/>
              </w:rPr>
              <w:t>2012</w:t>
            </w:r>
          </w:p>
        </w:tc>
        <w:tc>
          <w:tcPr>
            <w:tcW w:w="10019" w:type="dxa"/>
            <w:tcMar>
              <w:top w:w="142" w:type="dxa"/>
              <w:left w:w="142" w:type="dxa"/>
              <w:bottom w:w="142" w:type="dxa"/>
              <w:right w:w="142" w:type="dxa"/>
            </w:tcMar>
            <w:hideMark/>
          </w:tcPr>
          <w:p w14:paraId="170D84DD" w14:textId="77777777" w:rsidR="00AE0FE0" w:rsidRPr="001D7514" w:rsidRDefault="00AE0FE0">
            <w:pPr>
              <w:pStyle w:val="NormalWeb"/>
              <w:rPr>
                <w:sz w:val="18"/>
                <w:szCs w:val="18"/>
              </w:rPr>
            </w:pPr>
            <w:r w:rsidRPr="001D7514">
              <w:rPr>
                <w:sz w:val="18"/>
                <w:szCs w:val="18"/>
              </w:rPr>
              <w:t xml:space="preserve">From 1 October 2012, a fourth dose of Prevenar 13®, (13vPCV, a 13-valent pneumococcal conjugate vaccine) was listed on the National Immunisation Program (NIP) for Indigenous children, aged 12-18 months, residing in Queensland, South Australia, Western </w:t>
            </w:r>
            <w:proofErr w:type="gramStart"/>
            <w:r w:rsidRPr="001D7514">
              <w:rPr>
                <w:sz w:val="18"/>
                <w:szCs w:val="18"/>
              </w:rPr>
              <w:t>Australia</w:t>
            </w:r>
            <w:proofErr w:type="gramEnd"/>
            <w:r w:rsidRPr="001D7514">
              <w:rPr>
                <w:sz w:val="18"/>
                <w:szCs w:val="18"/>
              </w:rPr>
              <w:t xml:space="preserve"> and the Northern Territory. This replaced the booster dose of Pneumovax23®, (23vPPV, a 23-valent pneumococcal polysaccharide vaccine) administered between 18 and 24 months of age for Indigenous children from these jurisdictions.</w:t>
            </w:r>
          </w:p>
        </w:tc>
      </w:tr>
      <w:tr w:rsidR="00AE0FE0" w:rsidRPr="001D7514" w14:paraId="0F8E38D7" w14:textId="77777777" w:rsidTr="00F86F4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663" w:type="dxa"/>
            <w:tcMar>
              <w:top w:w="142" w:type="dxa"/>
              <w:left w:w="142" w:type="dxa"/>
              <w:bottom w:w="142" w:type="dxa"/>
              <w:right w:w="142" w:type="dxa"/>
            </w:tcMar>
            <w:hideMark/>
          </w:tcPr>
          <w:p w14:paraId="57616176" w14:textId="77777777" w:rsidR="00AE0FE0" w:rsidRPr="001D7514" w:rsidRDefault="00AE0FE0">
            <w:pPr>
              <w:pStyle w:val="NormalWeb"/>
              <w:rPr>
                <w:sz w:val="18"/>
                <w:szCs w:val="18"/>
              </w:rPr>
            </w:pPr>
            <w:r w:rsidRPr="001D7514">
              <w:rPr>
                <w:sz w:val="18"/>
                <w:szCs w:val="18"/>
              </w:rPr>
              <w:t>2011</w:t>
            </w:r>
          </w:p>
        </w:tc>
        <w:tc>
          <w:tcPr>
            <w:tcW w:w="10019" w:type="dxa"/>
            <w:tcMar>
              <w:top w:w="142" w:type="dxa"/>
              <w:left w:w="142" w:type="dxa"/>
              <w:bottom w:w="142" w:type="dxa"/>
              <w:right w:w="142" w:type="dxa"/>
            </w:tcMar>
            <w:hideMark/>
          </w:tcPr>
          <w:p w14:paraId="4DE4C302" w14:textId="77777777" w:rsidR="00AE0FE0" w:rsidRPr="001D7514" w:rsidRDefault="00AE0FE0">
            <w:pPr>
              <w:pStyle w:val="NormalWeb"/>
              <w:rPr>
                <w:sz w:val="18"/>
                <w:szCs w:val="18"/>
              </w:rPr>
            </w:pPr>
            <w:r w:rsidRPr="001D7514">
              <w:rPr>
                <w:sz w:val="18"/>
                <w:szCs w:val="18"/>
              </w:rPr>
              <w:t>From 1 July 2011, Prevenar 13® replaced Prevenar® on the NIP for children at 2, 4 and 6 months of age in all states and territories except the Northern Territory which adopted 13vPCV from 1 October 2011.</w:t>
            </w:r>
          </w:p>
          <w:p w14:paraId="5C1A0715" w14:textId="77777777" w:rsidR="00AE0FE0" w:rsidRPr="001D7514" w:rsidRDefault="00AE0FE0">
            <w:pPr>
              <w:pStyle w:val="NormalWeb"/>
              <w:rPr>
                <w:sz w:val="18"/>
                <w:szCs w:val="18"/>
              </w:rPr>
            </w:pPr>
            <w:r w:rsidRPr="001D7514">
              <w:rPr>
                <w:sz w:val="18"/>
                <w:szCs w:val="18"/>
              </w:rPr>
              <w:lastRenderedPageBreak/>
              <w:t>1 October 2011 to 30 September 2012 – all children aged between 12 - 35 months who had completed a primary pneumococcal vaccination course with 7vPCV were eligible to receive a free supplementary dose of Prevenar 13®</w:t>
            </w:r>
          </w:p>
          <w:p w14:paraId="6D8E84EC" w14:textId="77777777" w:rsidR="00AE0FE0" w:rsidRPr="001D7514" w:rsidRDefault="00AE0FE0">
            <w:pPr>
              <w:pStyle w:val="NormalWeb"/>
              <w:rPr>
                <w:sz w:val="18"/>
                <w:szCs w:val="18"/>
              </w:rPr>
            </w:pPr>
            <w:r w:rsidRPr="001D7514">
              <w:rPr>
                <w:sz w:val="18"/>
                <w:szCs w:val="18"/>
              </w:rPr>
              <w:t>On 25 March 2011, TGA issued a recall of Batch N3336 of the 23 valent pneumococcal polysaccharide vaccine 23vPPV, Pneumovax® 23. April 2011 - health professionals were advised not to administer a second or subsequent dose of Pneumovax 23 vaccine. December 2011 - Revised recommendations regarding which patients should be re-vaccinated under the NIP were provided.</w:t>
            </w:r>
          </w:p>
        </w:tc>
      </w:tr>
      <w:tr w:rsidR="00AE0FE0" w:rsidRPr="001D7514" w14:paraId="2002EF06"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5E27412F" w14:textId="77777777" w:rsidR="00AE0FE0" w:rsidRPr="001D7514" w:rsidRDefault="00AE0FE0">
            <w:pPr>
              <w:pStyle w:val="NormalWeb"/>
              <w:rPr>
                <w:sz w:val="18"/>
                <w:szCs w:val="18"/>
              </w:rPr>
            </w:pPr>
            <w:r w:rsidRPr="001D7514">
              <w:rPr>
                <w:sz w:val="18"/>
                <w:szCs w:val="18"/>
              </w:rPr>
              <w:lastRenderedPageBreak/>
              <w:t>2010</w:t>
            </w:r>
          </w:p>
        </w:tc>
        <w:tc>
          <w:tcPr>
            <w:tcW w:w="10019" w:type="dxa"/>
            <w:tcMar>
              <w:top w:w="142" w:type="dxa"/>
              <w:left w:w="142" w:type="dxa"/>
              <w:bottom w:w="142" w:type="dxa"/>
              <w:right w:w="142" w:type="dxa"/>
            </w:tcMar>
            <w:hideMark/>
          </w:tcPr>
          <w:p w14:paraId="22FC80F1" w14:textId="77777777" w:rsidR="00AE0FE0" w:rsidRPr="001D7514" w:rsidRDefault="00AE0FE0">
            <w:pPr>
              <w:pStyle w:val="NormalWeb"/>
              <w:rPr>
                <w:sz w:val="18"/>
                <w:szCs w:val="18"/>
              </w:rPr>
            </w:pPr>
            <w:r w:rsidRPr="001D7514">
              <w:rPr>
                <w:sz w:val="18"/>
                <w:szCs w:val="18"/>
              </w:rPr>
              <w:t>Annual vaccination with seasonal trivalent influenza vaccine (TIV, containing 3 influenza strains: A/H1N1, A/H3N2 and B) was funded under the NIP for people aged ≥6 months with medical risk factors (previously subsidised through the Pharmaceutical Benefits Scheme) and all Indigenous people aged ≥15 years (previously all Indigenous adults ≥50 years and 15–49 years with medical risk factors).</w:t>
            </w:r>
          </w:p>
          <w:p w14:paraId="4BEB615C" w14:textId="77777777" w:rsidR="00AE0FE0" w:rsidRPr="001D7514" w:rsidRDefault="00AE0FE0">
            <w:pPr>
              <w:pStyle w:val="NormalWeb"/>
              <w:rPr>
                <w:sz w:val="18"/>
                <w:szCs w:val="18"/>
              </w:rPr>
            </w:pPr>
            <w:r w:rsidRPr="001D7514">
              <w:rPr>
                <w:sz w:val="18"/>
                <w:szCs w:val="18"/>
              </w:rPr>
              <w:t xml:space="preserve">On 23 April 2010, the use of the 2010 seasonal TIV in children &lt;5 years of age was suspended by Australia’s Chief Medical Officer due to an increased number of reports of fever and febrile convulsions post vaccination. A subsequent investigation identified that </w:t>
            </w:r>
            <w:proofErr w:type="spellStart"/>
            <w:r w:rsidRPr="001D7514">
              <w:rPr>
                <w:sz w:val="18"/>
                <w:szCs w:val="18"/>
              </w:rPr>
              <w:t>Fluvax</w:t>
            </w:r>
            <w:proofErr w:type="spellEnd"/>
            <w:r w:rsidR="008D3D95" w:rsidRPr="001D7514">
              <w:rPr>
                <w:sz w:val="18"/>
                <w:szCs w:val="18"/>
              </w:rPr>
              <w:t>®</w:t>
            </w:r>
            <w:r w:rsidRPr="001D7514">
              <w:rPr>
                <w:sz w:val="18"/>
                <w:szCs w:val="18"/>
              </w:rPr>
              <w:t xml:space="preserve"> and </w:t>
            </w:r>
            <w:proofErr w:type="spellStart"/>
            <w:r w:rsidRPr="001D7514">
              <w:rPr>
                <w:sz w:val="18"/>
                <w:szCs w:val="18"/>
              </w:rPr>
              <w:t>Fluvax</w:t>
            </w:r>
            <w:proofErr w:type="spellEnd"/>
            <w:r w:rsidRPr="001D7514">
              <w:rPr>
                <w:sz w:val="18"/>
                <w:szCs w:val="18"/>
              </w:rPr>
              <w:t xml:space="preserve"> junior</w:t>
            </w:r>
            <w:r w:rsidR="008D3D95" w:rsidRPr="001D7514">
              <w:rPr>
                <w:sz w:val="18"/>
                <w:szCs w:val="18"/>
              </w:rPr>
              <w:t>®</w:t>
            </w:r>
            <w:r w:rsidRPr="001D7514">
              <w:rPr>
                <w:sz w:val="18"/>
                <w:szCs w:val="18"/>
              </w:rPr>
              <w:t xml:space="preserve"> (CSL Biotherapies), but neither of the other </w:t>
            </w:r>
            <w:r w:rsidR="002B1423">
              <w:rPr>
                <w:sz w:val="18"/>
                <w:szCs w:val="18"/>
              </w:rPr>
              <w:t>2</w:t>
            </w:r>
            <w:r w:rsidRPr="001D7514">
              <w:rPr>
                <w:sz w:val="18"/>
                <w:szCs w:val="18"/>
              </w:rPr>
              <w:t xml:space="preserve"> available brands registered for use in young children, were associated with an unacceptably high risk of febrile convulsions. The recommendation to resume the use of seasonal influenza vaccine in children aged 6 months to 5 years, using brands other than </w:t>
            </w:r>
            <w:proofErr w:type="spellStart"/>
            <w:r w:rsidRPr="001D7514">
              <w:rPr>
                <w:sz w:val="18"/>
                <w:szCs w:val="18"/>
              </w:rPr>
              <w:t>Fluvax</w:t>
            </w:r>
            <w:proofErr w:type="spellEnd"/>
            <w:r w:rsidR="008D3D95" w:rsidRPr="001D7514">
              <w:rPr>
                <w:sz w:val="18"/>
                <w:szCs w:val="18"/>
              </w:rPr>
              <w:t>®</w:t>
            </w:r>
            <w:r w:rsidRPr="001D7514">
              <w:rPr>
                <w:sz w:val="18"/>
                <w:szCs w:val="18"/>
              </w:rPr>
              <w:t xml:space="preserve"> and </w:t>
            </w:r>
            <w:proofErr w:type="spellStart"/>
            <w:r w:rsidRPr="001D7514">
              <w:rPr>
                <w:sz w:val="18"/>
                <w:szCs w:val="18"/>
              </w:rPr>
              <w:t>Fluvax</w:t>
            </w:r>
            <w:proofErr w:type="spellEnd"/>
            <w:r w:rsidRPr="001D7514">
              <w:rPr>
                <w:sz w:val="18"/>
                <w:szCs w:val="18"/>
              </w:rPr>
              <w:t xml:space="preserve"> junior</w:t>
            </w:r>
            <w:r w:rsidR="008D3D95" w:rsidRPr="001D7514">
              <w:rPr>
                <w:sz w:val="18"/>
                <w:szCs w:val="18"/>
              </w:rPr>
              <w:t>®</w:t>
            </w:r>
            <w:r w:rsidRPr="001D7514">
              <w:rPr>
                <w:sz w:val="18"/>
                <w:szCs w:val="18"/>
              </w:rPr>
              <w:t>, was made in August 2010.</w:t>
            </w:r>
          </w:p>
        </w:tc>
      </w:tr>
      <w:tr w:rsidR="00AE0FE0" w:rsidRPr="001D7514" w14:paraId="768E1616" w14:textId="77777777" w:rsidTr="00F86F4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663" w:type="dxa"/>
            <w:tcMar>
              <w:top w:w="142" w:type="dxa"/>
              <w:left w:w="142" w:type="dxa"/>
              <w:bottom w:w="142" w:type="dxa"/>
              <w:right w:w="142" w:type="dxa"/>
            </w:tcMar>
            <w:hideMark/>
          </w:tcPr>
          <w:p w14:paraId="2B988289" w14:textId="77777777" w:rsidR="00AE0FE0" w:rsidRPr="001D7514" w:rsidRDefault="00AE0FE0">
            <w:pPr>
              <w:pStyle w:val="NormalWeb"/>
              <w:rPr>
                <w:sz w:val="18"/>
                <w:szCs w:val="18"/>
              </w:rPr>
            </w:pPr>
            <w:r w:rsidRPr="001D7514">
              <w:rPr>
                <w:sz w:val="18"/>
                <w:szCs w:val="18"/>
              </w:rPr>
              <w:t>2009</w:t>
            </w:r>
          </w:p>
        </w:tc>
        <w:tc>
          <w:tcPr>
            <w:tcW w:w="10019" w:type="dxa"/>
            <w:tcMar>
              <w:top w:w="142" w:type="dxa"/>
              <w:left w:w="142" w:type="dxa"/>
              <w:bottom w:w="142" w:type="dxa"/>
              <w:right w:w="142" w:type="dxa"/>
            </w:tcMar>
            <w:hideMark/>
          </w:tcPr>
          <w:p w14:paraId="14D494F1" w14:textId="77777777" w:rsidR="00AE0FE0" w:rsidRPr="001D7514" w:rsidRDefault="00AE0FE0">
            <w:pPr>
              <w:pStyle w:val="NormalWeb"/>
              <w:rPr>
                <w:sz w:val="18"/>
                <w:szCs w:val="18"/>
              </w:rPr>
            </w:pPr>
            <w:r w:rsidRPr="001D7514">
              <w:rPr>
                <w:sz w:val="18"/>
                <w:szCs w:val="18"/>
              </w:rPr>
              <w:t xml:space="preserve">By late 2009, all states and territories were using the single hexavalent </w:t>
            </w:r>
            <w:proofErr w:type="spellStart"/>
            <w:r w:rsidRPr="001D7514">
              <w:rPr>
                <w:sz w:val="18"/>
                <w:szCs w:val="18"/>
              </w:rPr>
              <w:t>DTPa</w:t>
            </w:r>
            <w:proofErr w:type="spellEnd"/>
            <w:r w:rsidRPr="001D7514">
              <w:rPr>
                <w:sz w:val="18"/>
                <w:szCs w:val="18"/>
              </w:rPr>
              <w:t>-IPV-Hib-</w:t>
            </w:r>
            <w:proofErr w:type="spellStart"/>
            <w:r w:rsidRPr="001D7514">
              <w:rPr>
                <w:sz w:val="18"/>
                <w:szCs w:val="18"/>
              </w:rPr>
              <w:t>HepB</w:t>
            </w:r>
            <w:proofErr w:type="spellEnd"/>
            <w:r w:rsidRPr="001D7514">
              <w:rPr>
                <w:sz w:val="18"/>
                <w:szCs w:val="18"/>
              </w:rPr>
              <w:t xml:space="preserve"> (Infanrix </w:t>
            </w:r>
            <w:proofErr w:type="spellStart"/>
            <w:r w:rsidRPr="001D7514">
              <w:rPr>
                <w:sz w:val="18"/>
                <w:szCs w:val="18"/>
              </w:rPr>
              <w:t>hexa</w:t>
            </w:r>
            <w:proofErr w:type="spellEnd"/>
            <w:r w:rsidR="008D3D95" w:rsidRPr="001D7514">
              <w:rPr>
                <w:sz w:val="18"/>
                <w:szCs w:val="18"/>
              </w:rPr>
              <w:t>®</w:t>
            </w:r>
            <w:r w:rsidRPr="001D7514">
              <w:rPr>
                <w:sz w:val="18"/>
                <w:szCs w:val="18"/>
              </w:rPr>
              <w:t>) vaccine for all children at 2, 4 and 6 months of age, due to an international shortage of Haemophilus influenzae type b (Hib) (</w:t>
            </w:r>
            <w:proofErr w:type="spellStart"/>
            <w:r w:rsidRPr="001D7514">
              <w:rPr>
                <w:sz w:val="18"/>
                <w:szCs w:val="18"/>
              </w:rPr>
              <w:t>PedvaxHib</w:t>
            </w:r>
            <w:proofErr w:type="spellEnd"/>
            <w:r w:rsidR="008D3D95" w:rsidRPr="001D7514">
              <w:rPr>
                <w:sz w:val="18"/>
                <w:szCs w:val="18"/>
              </w:rPr>
              <w:t>®</w:t>
            </w:r>
            <w:r w:rsidRPr="001D7514">
              <w:rPr>
                <w:sz w:val="18"/>
                <w:szCs w:val="18"/>
              </w:rPr>
              <w:t xml:space="preserve"> [monovalent] and </w:t>
            </w:r>
            <w:proofErr w:type="spellStart"/>
            <w:r w:rsidRPr="001D7514">
              <w:rPr>
                <w:sz w:val="18"/>
                <w:szCs w:val="18"/>
              </w:rPr>
              <w:t>Comvax</w:t>
            </w:r>
            <w:proofErr w:type="spellEnd"/>
            <w:r w:rsidR="008D3D95" w:rsidRPr="001D7514">
              <w:rPr>
                <w:sz w:val="18"/>
                <w:szCs w:val="18"/>
              </w:rPr>
              <w:t>®</w:t>
            </w:r>
            <w:r w:rsidRPr="001D7514">
              <w:rPr>
                <w:sz w:val="18"/>
                <w:szCs w:val="18"/>
              </w:rPr>
              <w:t xml:space="preserve"> [Hib-</w:t>
            </w:r>
            <w:proofErr w:type="spellStart"/>
            <w:r w:rsidRPr="001D7514">
              <w:rPr>
                <w:sz w:val="18"/>
                <w:szCs w:val="18"/>
              </w:rPr>
              <w:t>HepB</w:t>
            </w:r>
            <w:proofErr w:type="spellEnd"/>
            <w:r w:rsidRPr="001D7514">
              <w:rPr>
                <w:sz w:val="18"/>
                <w:szCs w:val="18"/>
              </w:rPr>
              <w:t>]) vaccines.</w:t>
            </w:r>
          </w:p>
          <w:p w14:paraId="3A62ACDB" w14:textId="77777777" w:rsidR="00AE0FE0" w:rsidRPr="001D7514" w:rsidRDefault="00AE0FE0">
            <w:pPr>
              <w:pStyle w:val="NormalWeb"/>
              <w:rPr>
                <w:sz w:val="18"/>
                <w:szCs w:val="18"/>
              </w:rPr>
            </w:pPr>
            <w:r w:rsidRPr="001D7514">
              <w:rPr>
                <w:sz w:val="18"/>
                <w:szCs w:val="18"/>
              </w:rPr>
              <w:t>Pandemic H1N1 2009 influenza vaccine (</w:t>
            </w:r>
            <w:proofErr w:type="spellStart"/>
            <w:r w:rsidRPr="001D7514">
              <w:rPr>
                <w:sz w:val="18"/>
                <w:szCs w:val="18"/>
              </w:rPr>
              <w:t>Panvax</w:t>
            </w:r>
            <w:proofErr w:type="spellEnd"/>
            <w:r w:rsidR="008D3D95" w:rsidRPr="001D7514">
              <w:rPr>
                <w:sz w:val="18"/>
                <w:szCs w:val="18"/>
              </w:rPr>
              <w:t>®</w:t>
            </w:r>
            <w:r w:rsidRPr="001D7514">
              <w:rPr>
                <w:sz w:val="18"/>
                <w:szCs w:val="18"/>
              </w:rPr>
              <w:t>) was rolled out across Australia from 30 September 2009 for people aged ≥10 years. From December 2009, the pandemic vaccine was made available to children aged 6 months to 10 years.</w:t>
            </w:r>
          </w:p>
        </w:tc>
      </w:tr>
      <w:tr w:rsidR="00AE0FE0" w:rsidRPr="001D7514" w14:paraId="3F2096A0"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43F2439A" w14:textId="77777777" w:rsidR="00AE0FE0" w:rsidRPr="001D7514" w:rsidRDefault="00AE0FE0">
            <w:pPr>
              <w:pStyle w:val="NormalWeb"/>
              <w:rPr>
                <w:sz w:val="18"/>
                <w:szCs w:val="18"/>
              </w:rPr>
            </w:pPr>
            <w:r w:rsidRPr="001D7514">
              <w:rPr>
                <w:sz w:val="18"/>
                <w:szCs w:val="18"/>
              </w:rPr>
              <w:t>2008</w:t>
            </w:r>
          </w:p>
        </w:tc>
        <w:tc>
          <w:tcPr>
            <w:tcW w:w="10019" w:type="dxa"/>
            <w:tcMar>
              <w:top w:w="142" w:type="dxa"/>
              <w:left w:w="142" w:type="dxa"/>
              <w:bottom w:w="142" w:type="dxa"/>
              <w:right w:w="142" w:type="dxa"/>
            </w:tcMar>
            <w:hideMark/>
          </w:tcPr>
          <w:p w14:paraId="40183D4B" w14:textId="77777777" w:rsidR="00AE0FE0" w:rsidRPr="001D7514" w:rsidRDefault="00AE0FE0">
            <w:pPr>
              <w:pStyle w:val="NormalWeb"/>
              <w:rPr>
                <w:sz w:val="18"/>
                <w:szCs w:val="18"/>
              </w:rPr>
            </w:pPr>
            <w:r w:rsidRPr="001D7514">
              <w:rPr>
                <w:sz w:val="18"/>
                <w:szCs w:val="18"/>
              </w:rPr>
              <w:t>Western Australia commenced a seasonal influenza vaccination program for all children aged 6 months to &lt;5 years (born after 1 April 2003).</w:t>
            </w:r>
          </w:p>
          <w:p w14:paraId="7CF4319F" w14:textId="77777777" w:rsidR="00AE0FE0" w:rsidRPr="001D7514" w:rsidRDefault="00AE0FE0">
            <w:pPr>
              <w:pStyle w:val="NormalWeb"/>
              <w:rPr>
                <w:sz w:val="18"/>
                <w:szCs w:val="18"/>
              </w:rPr>
            </w:pPr>
            <w:r w:rsidRPr="001D7514">
              <w:rPr>
                <w:sz w:val="18"/>
                <w:szCs w:val="18"/>
              </w:rPr>
              <w:t xml:space="preserve">In March 2008, Queensland, South </w:t>
            </w:r>
            <w:proofErr w:type="gramStart"/>
            <w:r w:rsidRPr="001D7514">
              <w:rPr>
                <w:sz w:val="18"/>
                <w:szCs w:val="18"/>
              </w:rPr>
              <w:t>Australia</w:t>
            </w:r>
            <w:proofErr w:type="gramEnd"/>
            <w:r w:rsidRPr="001D7514">
              <w:rPr>
                <w:sz w:val="18"/>
                <w:szCs w:val="18"/>
              </w:rPr>
              <w:t xml:space="preserve"> and Victoria changed from using </w:t>
            </w:r>
            <w:r w:rsidR="002B1423">
              <w:rPr>
                <w:sz w:val="18"/>
                <w:szCs w:val="18"/>
              </w:rPr>
              <w:t>2</w:t>
            </w:r>
            <w:r w:rsidRPr="001D7514">
              <w:rPr>
                <w:sz w:val="18"/>
                <w:szCs w:val="18"/>
              </w:rPr>
              <w:t xml:space="preserve"> combination vaccines (quadrivalent </w:t>
            </w:r>
            <w:proofErr w:type="spellStart"/>
            <w:r w:rsidRPr="001D7514">
              <w:rPr>
                <w:sz w:val="18"/>
                <w:szCs w:val="18"/>
              </w:rPr>
              <w:t>DTPa</w:t>
            </w:r>
            <w:proofErr w:type="spellEnd"/>
            <w:r w:rsidRPr="001D7514">
              <w:rPr>
                <w:sz w:val="18"/>
                <w:szCs w:val="18"/>
              </w:rPr>
              <w:t>-IPV and Hib-</w:t>
            </w:r>
            <w:proofErr w:type="spellStart"/>
            <w:r w:rsidRPr="001D7514">
              <w:rPr>
                <w:sz w:val="18"/>
                <w:szCs w:val="18"/>
              </w:rPr>
              <w:t>HepB</w:t>
            </w:r>
            <w:proofErr w:type="spellEnd"/>
            <w:r w:rsidRPr="001D7514">
              <w:rPr>
                <w:sz w:val="18"/>
                <w:szCs w:val="18"/>
              </w:rPr>
              <w:t xml:space="preserve">) to the single hexavalent </w:t>
            </w:r>
            <w:proofErr w:type="spellStart"/>
            <w:r w:rsidRPr="001D7514">
              <w:rPr>
                <w:sz w:val="18"/>
                <w:szCs w:val="18"/>
              </w:rPr>
              <w:t>DTPa</w:t>
            </w:r>
            <w:proofErr w:type="spellEnd"/>
            <w:r w:rsidRPr="001D7514">
              <w:rPr>
                <w:sz w:val="18"/>
                <w:szCs w:val="18"/>
              </w:rPr>
              <w:t>-IPV-</w:t>
            </w:r>
            <w:proofErr w:type="spellStart"/>
            <w:r w:rsidRPr="001D7514">
              <w:rPr>
                <w:sz w:val="18"/>
                <w:szCs w:val="18"/>
              </w:rPr>
              <w:t>HepB</w:t>
            </w:r>
            <w:proofErr w:type="spellEnd"/>
            <w:r w:rsidRPr="001D7514">
              <w:rPr>
                <w:sz w:val="18"/>
                <w:szCs w:val="18"/>
              </w:rPr>
              <w:t>-Hib vaccine.</w:t>
            </w:r>
          </w:p>
        </w:tc>
      </w:tr>
      <w:tr w:rsidR="00AE0FE0" w:rsidRPr="001D7514" w14:paraId="7DB350B4" w14:textId="77777777" w:rsidTr="00F86F4E">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663" w:type="dxa"/>
            <w:tcMar>
              <w:top w:w="142" w:type="dxa"/>
              <w:left w:w="142" w:type="dxa"/>
              <w:bottom w:w="142" w:type="dxa"/>
              <w:right w:w="142" w:type="dxa"/>
            </w:tcMar>
            <w:hideMark/>
          </w:tcPr>
          <w:p w14:paraId="603F4753" w14:textId="77777777" w:rsidR="00AE0FE0" w:rsidRPr="001D7514" w:rsidRDefault="00AE0FE0">
            <w:pPr>
              <w:pStyle w:val="NormalWeb"/>
              <w:rPr>
                <w:sz w:val="18"/>
                <w:szCs w:val="18"/>
              </w:rPr>
            </w:pPr>
            <w:r w:rsidRPr="001D7514">
              <w:rPr>
                <w:sz w:val="18"/>
                <w:szCs w:val="18"/>
              </w:rPr>
              <w:t>2007</w:t>
            </w:r>
          </w:p>
        </w:tc>
        <w:tc>
          <w:tcPr>
            <w:tcW w:w="10019" w:type="dxa"/>
            <w:tcMar>
              <w:top w:w="142" w:type="dxa"/>
              <w:left w:w="142" w:type="dxa"/>
              <w:bottom w:w="142" w:type="dxa"/>
              <w:right w:w="142" w:type="dxa"/>
            </w:tcMar>
            <w:hideMark/>
          </w:tcPr>
          <w:p w14:paraId="76A014C3" w14:textId="77777777" w:rsidR="00AE0FE0" w:rsidRPr="001D7514" w:rsidRDefault="00AE0FE0">
            <w:pPr>
              <w:pStyle w:val="NormalWeb"/>
              <w:rPr>
                <w:sz w:val="18"/>
                <w:szCs w:val="18"/>
              </w:rPr>
            </w:pPr>
            <w:r w:rsidRPr="001D7514">
              <w:rPr>
                <w:sz w:val="18"/>
                <w:szCs w:val="18"/>
              </w:rPr>
              <w:t>From April 2007, funded immunisation against human papillomavirus for all Australian girls aged 12–13 years delivered through a school-based program from April 2007, with a temporary catch-up program through schools or primary care providers for females aged 13–26 years until December 2009.</w:t>
            </w:r>
          </w:p>
          <w:p w14:paraId="76498655" w14:textId="77777777" w:rsidR="00AE0FE0" w:rsidRPr="001D7514" w:rsidRDefault="00AE0FE0">
            <w:pPr>
              <w:pStyle w:val="NormalWeb"/>
              <w:rPr>
                <w:sz w:val="18"/>
                <w:szCs w:val="18"/>
              </w:rPr>
            </w:pPr>
            <w:r w:rsidRPr="001D7514">
              <w:rPr>
                <w:sz w:val="18"/>
                <w:szCs w:val="18"/>
              </w:rPr>
              <w:t>From July 2007, universal funded immunisation against rotavirus at 2 and 4 months of age (Rotarix®) or at 2, 4 and 6 months of age (</w:t>
            </w:r>
            <w:proofErr w:type="spellStart"/>
            <w:r w:rsidRPr="001D7514">
              <w:rPr>
                <w:sz w:val="18"/>
                <w:szCs w:val="18"/>
              </w:rPr>
              <w:t>Rotateq</w:t>
            </w:r>
            <w:proofErr w:type="spellEnd"/>
            <w:r w:rsidRPr="001D7514">
              <w:rPr>
                <w:sz w:val="18"/>
                <w:szCs w:val="18"/>
              </w:rPr>
              <w:t>®).</w:t>
            </w:r>
          </w:p>
        </w:tc>
      </w:tr>
      <w:tr w:rsidR="00AE0FE0" w:rsidRPr="001D7514" w14:paraId="29C17134" w14:textId="77777777" w:rsidTr="00F86F4E">
        <w:tblPrEx>
          <w:tblCellMar>
            <w:top w:w="0" w:type="dxa"/>
            <w:left w:w="108" w:type="dxa"/>
            <w:bottom w:w="0" w:type="dxa"/>
            <w:right w:w="108" w:type="dxa"/>
          </w:tblCellMar>
        </w:tblPrEx>
        <w:tc>
          <w:tcPr>
            <w:tcW w:w="663" w:type="dxa"/>
            <w:tcMar>
              <w:top w:w="142" w:type="dxa"/>
              <w:left w:w="142" w:type="dxa"/>
              <w:bottom w:w="142" w:type="dxa"/>
              <w:right w:w="142" w:type="dxa"/>
            </w:tcMar>
            <w:hideMark/>
          </w:tcPr>
          <w:p w14:paraId="632C03E6" w14:textId="77777777" w:rsidR="00AE0FE0" w:rsidRPr="001D7514" w:rsidRDefault="00AE0FE0">
            <w:pPr>
              <w:pStyle w:val="NormalWeb"/>
              <w:rPr>
                <w:sz w:val="18"/>
                <w:szCs w:val="18"/>
              </w:rPr>
            </w:pPr>
            <w:r w:rsidRPr="001D7514">
              <w:rPr>
                <w:sz w:val="18"/>
                <w:szCs w:val="18"/>
              </w:rPr>
              <w:t>2005</w:t>
            </w:r>
          </w:p>
        </w:tc>
        <w:tc>
          <w:tcPr>
            <w:tcW w:w="10019" w:type="dxa"/>
            <w:tcMar>
              <w:top w:w="142" w:type="dxa"/>
              <w:left w:w="142" w:type="dxa"/>
              <w:bottom w:w="142" w:type="dxa"/>
              <w:right w:w="142" w:type="dxa"/>
            </w:tcMar>
            <w:hideMark/>
          </w:tcPr>
          <w:p w14:paraId="2A9E67CC" w14:textId="77777777" w:rsidR="00AE0FE0" w:rsidRPr="001D7514" w:rsidRDefault="00AE0FE0">
            <w:pPr>
              <w:pStyle w:val="NormalWeb"/>
              <w:rPr>
                <w:sz w:val="18"/>
                <w:szCs w:val="18"/>
              </w:rPr>
            </w:pPr>
            <w:r w:rsidRPr="001D7514">
              <w:rPr>
                <w:sz w:val="18"/>
                <w:szCs w:val="18"/>
              </w:rPr>
              <w:t>From January 2005, universal funded infant 7-valent pneumococcal conjugate vaccine (7vPCV) program replaced the previous targeted childhood program, with a catch-up program for children aged &lt;2 years.</w:t>
            </w:r>
          </w:p>
          <w:p w14:paraId="1A00BD67" w14:textId="77777777" w:rsidR="00AE0FE0" w:rsidRPr="001D7514" w:rsidRDefault="00AE0FE0">
            <w:pPr>
              <w:pStyle w:val="NormalWeb"/>
              <w:rPr>
                <w:sz w:val="18"/>
                <w:szCs w:val="18"/>
              </w:rPr>
            </w:pPr>
            <w:r w:rsidRPr="001D7514">
              <w:rPr>
                <w:sz w:val="18"/>
                <w:szCs w:val="18"/>
              </w:rPr>
              <w:t>Universal 23-valent pneumococcal polysaccharide vaccine (23vPPV) for adults aged ≥65 years replaced previous subsidy through the Pharmaceutical Benefits Scheme.</w:t>
            </w:r>
          </w:p>
          <w:p w14:paraId="296EC60D" w14:textId="77777777" w:rsidR="00AE0FE0" w:rsidRPr="001D7514" w:rsidRDefault="00AE0FE0">
            <w:pPr>
              <w:pStyle w:val="NormalWeb"/>
              <w:rPr>
                <w:sz w:val="18"/>
                <w:szCs w:val="18"/>
              </w:rPr>
            </w:pPr>
            <w:r w:rsidRPr="001D7514">
              <w:rPr>
                <w:sz w:val="18"/>
                <w:szCs w:val="18"/>
              </w:rPr>
              <w:t>From November 2005, universal funded immunisation against varicella at 18 months of age with a school-based catch-up program for children at 10–13 years of age not previously vaccinated and without a history of varicella infection (no funded catch-up for children 2–10 years of age).</w:t>
            </w:r>
          </w:p>
          <w:p w14:paraId="19B0ABF4" w14:textId="77777777" w:rsidR="00AE0FE0" w:rsidRPr="001D7514" w:rsidRDefault="00AE0FE0">
            <w:pPr>
              <w:pStyle w:val="NormalWeb"/>
              <w:rPr>
                <w:sz w:val="18"/>
                <w:szCs w:val="18"/>
              </w:rPr>
            </w:pPr>
            <w:r w:rsidRPr="001D7514">
              <w:rPr>
                <w:sz w:val="18"/>
                <w:szCs w:val="18"/>
              </w:rPr>
              <w:t>IPV was funded to replace OPV, in combination vaccines.</w:t>
            </w:r>
          </w:p>
        </w:tc>
      </w:tr>
    </w:tbl>
    <w:p w14:paraId="7D20AF41" w14:textId="77777777" w:rsidR="00AE0FE0" w:rsidRDefault="00AE0FE0">
      <w:pPr>
        <w:pStyle w:val="NormalWeb"/>
      </w:pPr>
      <w:r>
        <w:t>Recent changes that impact on AEFI surveillance data presented in this 2016 report are:</w:t>
      </w:r>
    </w:p>
    <w:p w14:paraId="69F048DF" w14:textId="77777777" w:rsidR="00AE0FE0" w:rsidRDefault="00AE0FE0">
      <w:pPr>
        <w:pStyle w:val="NormalWeb"/>
      </w:pPr>
      <w:r>
        <w:t xml:space="preserve">November 2016 – Zoster vaccine (Zostavax®) provided free for people aged 70 years under the NIP with a </w:t>
      </w:r>
      <w:r w:rsidR="003B401D">
        <w:t>5</w:t>
      </w:r>
      <w:r>
        <w:t xml:space="preserve"> year catch-up program for people aged 71–79 years.</w:t>
      </w:r>
    </w:p>
    <w:p w14:paraId="42288162" w14:textId="77777777" w:rsidR="00AE0FE0" w:rsidRDefault="00AE0FE0">
      <w:pPr>
        <w:pStyle w:val="NormalWeb"/>
      </w:pPr>
      <w:r>
        <w:t>March 2016 – NIP-funded booster dose of the diphtheria, tetanus, and acellular pertussis-containing vaccine (</w:t>
      </w:r>
      <w:proofErr w:type="spellStart"/>
      <w:r>
        <w:t>DTPa</w:t>
      </w:r>
      <w:proofErr w:type="spellEnd"/>
      <w:r>
        <w:t>) at 18 months of age. This was earlier recommended from March 2015.</w:t>
      </w:r>
    </w:p>
    <w:p w14:paraId="26F8556F" w14:textId="77777777" w:rsidR="00AE0FE0" w:rsidRDefault="00AE0FE0">
      <w:pPr>
        <w:pStyle w:val="NormalWeb"/>
      </w:pPr>
      <w:r>
        <w:lastRenderedPageBreak/>
        <w:t xml:space="preserve">April 2015 – New immunisation requirements for family assistance payments were announced by the federal government. With the ‘No Jab, </w:t>
      </w:r>
      <w:proofErr w:type="gramStart"/>
      <w:r>
        <w:t>No</w:t>
      </w:r>
      <w:proofErr w:type="gramEnd"/>
      <w:r>
        <w:t xml:space="preserve"> pay’ policy coming into effect as of 1 January 2016, only parents of children (aged less than 20 years) who are ‘fully immunised’ or on a recognised catch-up schedule will continue to receive the Child Care Benefit, Child Care Rebate, and/or the Family Tax Benefit Part A end-of-year supplement. Children with medical contraindications or natural immunity for certain diseases continue to be exempt from the requirements; however, conscientious objection was no longer a valid exemption from immunisation requirements. </w:t>
      </w:r>
    </w:p>
    <w:p w14:paraId="1FF24C15" w14:textId="77777777" w:rsidR="00AE0FE0" w:rsidRDefault="00AE0FE0">
      <w:pPr>
        <w:pStyle w:val="NormalWeb"/>
      </w:pPr>
      <w:r>
        <w:t xml:space="preserve">From March to June 2015, the </w:t>
      </w:r>
      <w:proofErr w:type="spellStart"/>
      <w:r>
        <w:t>dTpa</w:t>
      </w:r>
      <w:proofErr w:type="spellEnd"/>
      <w:r>
        <w:t xml:space="preserve"> vaccine for women during the third trimester of pregnancy was funded by New South Wales, South Australia, Western Australia, the Australian Capital Territory, </w:t>
      </w:r>
      <w:proofErr w:type="gramStart"/>
      <w:r>
        <w:t>Victoria</w:t>
      </w:r>
      <w:proofErr w:type="gramEnd"/>
      <w:r>
        <w:t xml:space="preserve"> and Tasmania. The Northern Territory had funded it since September 2013 and Queensland since July 2014.</w:t>
      </w:r>
    </w:p>
    <w:p w14:paraId="2D5D836B" w14:textId="77777777" w:rsidR="00AE0FE0" w:rsidRDefault="00AE0FE0">
      <w:pPr>
        <w:pStyle w:val="NormalWeb"/>
      </w:pPr>
      <w:r>
        <w:t xml:space="preserve">In March 2015, annual seasonal influenza vaccine was funded for Aboriginal and Torres Strait Islander children aged 6 months to less than </w:t>
      </w:r>
      <w:r w:rsidR="003B401D">
        <w:t>5</w:t>
      </w:r>
      <w:r>
        <w:t xml:space="preserve"> years. </w:t>
      </w:r>
    </w:p>
    <w:p w14:paraId="778765C7" w14:textId="77777777" w:rsidR="00AE0FE0" w:rsidRDefault="00AE0FE0">
      <w:pPr>
        <w:pStyle w:val="NormalWeb"/>
      </w:pPr>
      <w:r>
        <w:t>To assist readers, at the end of this report there is a glossary of the abbreviations of the vaccines referred to in this</w:t>
      </w:r>
      <w:r w:rsidR="008C0A4E">
        <w:t> </w:t>
      </w:r>
      <w:r>
        <w:t>report.</w:t>
      </w:r>
    </w:p>
    <w:p w14:paraId="20586F31" w14:textId="77777777" w:rsidR="00AE0FE0" w:rsidRDefault="00AE0FE0">
      <w:pPr>
        <w:pStyle w:val="Heading1"/>
        <w:rPr>
          <w:rFonts w:eastAsia="Times New Roman"/>
        </w:rPr>
      </w:pPr>
      <w:r>
        <w:rPr>
          <w:rFonts w:eastAsia="Times New Roman"/>
        </w:rPr>
        <w:t>Methods</w:t>
      </w:r>
    </w:p>
    <w:p w14:paraId="7BAE73DA" w14:textId="77777777" w:rsidR="00AE0FE0" w:rsidRDefault="00AE0FE0">
      <w:pPr>
        <w:pStyle w:val="NormalWeb"/>
      </w:pPr>
      <w:r>
        <w:t>AEFI are notified to the TGA by state and territory health departments, health professionals, vaccine compa</w:t>
      </w:r>
      <w:r w:rsidR="00C600BD">
        <w:t>nies and members of the public.</w:t>
      </w:r>
      <w:r>
        <w:rPr>
          <w:vertAlign w:val="superscript"/>
        </w:rPr>
        <w:t>16,17</w:t>
      </w:r>
      <w:r>
        <w:t xml:space="preserve"> All reports are assessed using inter</w:t>
      </w:r>
      <w:r w:rsidR="00C600BD">
        <w:t>nationally consistent criteria</w:t>
      </w:r>
      <w:r>
        <w:rPr>
          <w:vertAlign w:val="superscript"/>
        </w:rPr>
        <w:t>18</w:t>
      </w:r>
      <w:r>
        <w:t xml:space="preserve"> and entered into the Australian Adverse Drug Reactions System (ADRS) database. Reports are used in data mining and signal detection activities conducted by the TGA. Where there is insufficient information in a report to determine causality for a serious adverse event the TGA will contact the reporter on up to </w:t>
      </w:r>
      <w:r w:rsidR="003B401D">
        <w:t>3</w:t>
      </w:r>
      <w:r>
        <w:t xml:space="preserve"> occasions to elicit further information.</w:t>
      </w:r>
    </w:p>
    <w:p w14:paraId="6E9F7637" w14:textId="77777777" w:rsidR="00AE0FE0" w:rsidRPr="003A6918" w:rsidRDefault="00AE0FE0" w:rsidP="003A6918">
      <w:pPr>
        <w:pStyle w:val="Heading2"/>
      </w:pPr>
      <w:r w:rsidRPr="003A6918">
        <w:rPr>
          <w:rStyle w:val="Strong"/>
          <w:b/>
          <w:bCs/>
        </w:rPr>
        <w:t>AEFI data</w:t>
      </w:r>
      <w:r w:rsidRPr="003A6918">
        <w:t xml:space="preserve"> </w:t>
      </w:r>
    </w:p>
    <w:p w14:paraId="76871E47" w14:textId="77777777" w:rsidR="00AE0FE0" w:rsidRDefault="00AE0FE0">
      <w:pPr>
        <w:pStyle w:val="NormalWeb"/>
      </w:pPr>
      <w:r>
        <w:t>De-identified information on all AEFI reported to the TGA from 1 January 2000 to 31 December 2016 and stored in the ADRS database, were released to the National Centre for Immunisation Research and Surveillance (NCIRS) in March 2017. Readers are referred to previous AEFI surveillance reports for descript</w:t>
      </w:r>
      <w:r w:rsidR="00C600BD">
        <w:t>ion of the surveillance system.</w:t>
      </w:r>
      <w:r>
        <w:rPr>
          <w:vertAlign w:val="superscript"/>
        </w:rPr>
        <w:t>3,</w:t>
      </w:r>
      <w:proofErr w:type="gramStart"/>
      <w:r>
        <w:rPr>
          <w:vertAlign w:val="superscript"/>
        </w:rPr>
        <w:t>6</w:t>
      </w:r>
      <w:proofErr w:type="gramEnd"/>
      <w:r>
        <w:t xml:space="preserve"> </w:t>
      </w:r>
    </w:p>
    <w:p w14:paraId="38A18533" w14:textId="77777777" w:rsidR="00AE0FE0" w:rsidRDefault="00AE0FE0">
      <w:pPr>
        <w:pStyle w:val="NormalWeb"/>
      </w:pPr>
      <w:r>
        <w:t xml:space="preserve">Records contained in the ADRS database were eligible for inclusion in the analysis if a vaccine was recorded as ‘suspected’ of involvement in the reported adverse event and either: </w:t>
      </w:r>
    </w:p>
    <w:p w14:paraId="277FD5AA" w14:textId="77777777" w:rsidR="00AE0FE0" w:rsidRPr="00EC012E" w:rsidRDefault="00AE0FE0" w:rsidP="00EC012E">
      <w:pPr>
        <w:pStyle w:val="ListParagraph"/>
        <w:numPr>
          <w:ilvl w:val="0"/>
          <w:numId w:val="10"/>
        </w:numPr>
        <w:rPr>
          <w:rFonts w:eastAsia="Times New Roman"/>
        </w:rPr>
      </w:pPr>
      <w:r w:rsidRPr="00EC012E">
        <w:rPr>
          <w:rFonts w:eastAsia="Times New Roman"/>
        </w:rPr>
        <w:t xml:space="preserve">the vaccination occurred between 1 January 2000 and 31 December 2016; or </w:t>
      </w:r>
    </w:p>
    <w:p w14:paraId="6E348FF4" w14:textId="77777777" w:rsidR="00AE0FE0" w:rsidRPr="00EC012E" w:rsidRDefault="00AE0FE0" w:rsidP="00EC012E">
      <w:pPr>
        <w:pStyle w:val="ListParagraph"/>
        <w:numPr>
          <w:ilvl w:val="0"/>
          <w:numId w:val="10"/>
        </w:numPr>
        <w:rPr>
          <w:rFonts w:eastAsia="Times New Roman"/>
        </w:rPr>
      </w:pPr>
      <w:r w:rsidRPr="00EC012E">
        <w:rPr>
          <w:rFonts w:eastAsia="Times New Roman"/>
        </w:rPr>
        <w:t xml:space="preserve">for records where the vaccination date was not recorded, the date of onset of symptoms or signs occurred between 1 January 2000 and 31 December 2016. </w:t>
      </w:r>
    </w:p>
    <w:p w14:paraId="7183827E" w14:textId="77777777" w:rsidR="00AE0FE0" w:rsidRPr="003A6918" w:rsidRDefault="00AE0FE0" w:rsidP="003A6918">
      <w:pPr>
        <w:pStyle w:val="Heading2"/>
      </w:pPr>
      <w:r w:rsidRPr="003A6918">
        <w:rPr>
          <w:rStyle w:val="Strong"/>
          <w:b/>
          <w:bCs/>
        </w:rPr>
        <w:t>Study definitions of AEFI outcomes</w:t>
      </w:r>
      <w:r w:rsidRPr="003A6918">
        <w:t xml:space="preserve"> and reactions </w:t>
      </w:r>
    </w:p>
    <w:p w14:paraId="5D32098B" w14:textId="77777777" w:rsidR="00AE0FE0" w:rsidRDefault="00AE0FE0">
      <w:pPr>
        <w:pStyle w:val="NormalWeb"/>
      </w:pPr>
      <w:r>
        <w:t>AEFI were defined as ‘serious’ or ‘non-</w:t>
      </w:r>
      <w:proofErr w:type="spellStart"/>
      <w:r>
        <w:t>serious’</w:t>
      </w:r>
      <w:proofErr w:type="spellEnd"/>
      <w:r>
        <w:t xml:space="preserve"> based on information in the report sent to the TGA and criteria similar to those used by the World Health Organization and the US Vaccine A</w:t>
      </w:r>
      <w:r w:rsidR="00C600BD">
        <w:t>dverse Events Reporting System.</w:t>
      </w:r>
      <w:r>
        <w:rPr>
          <w:vertAlign w:val="superscript"/>
        </w:rPr>
        <w:t>18,19</w:t>
      </w:r>
      <w:r>
        <w:t xml:space="preserve"> In this report, an AEFI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w:t>
      </w:r>
    </w:p>
    <w:p w14:paraId="63A4F761" w14:textId="77777777" w:rsidR="00AE0FE0" w:rsidRDefault="00AE0FE0">
      <w:pPr>
        <w:pStyle w:val="NormalWeb"/>
      </w:pPr>
      <w:r>
        <w:lastRenderedPageBreak/>
        <w:t>Typically, each record lists several reaction terms that are symptoms, signs and/or diagnoses that have been coded by TGA staff from the reporter’s description into standardised terms using the Medical Dictionary for R</w:t>
      </w:r>
      <w:r w:rsidR="002F5090">
        <w:t>egulatory Activities (MedDRA®).</w:t>
      </w:r>
      <w:r>
        <w:rPr>
          <w:vertAlign w:val="superscript"/>
        </w:rPr>
        <w:t>20</w:t>
      </w:r>
      <w:r w:rsidR="00694369">
        <w:rPr>
          <w:vertAlign w:val="superscript"/>
        </w:rPr>
        <w:t xml:space="preserve">, </w:t>
      </w:r>
      <w:proofErr w:type="gramStart"/>
      <w:r w:rsidR="00694369">
        <w:rPr>
          <w:vertAlign w:val="superscript"/>
        </w:rPr>
        <w:t>21</w:t>
      </w:r>
      <w:proofErr w:type="gramEnd"/>
      <w:r>
        <w:t xml:space="preserve"> </w:t>
      </w:r>
    </w:p>
    <w:p w14:paraId="4AB334EE" w14:textId="77777777" w:rsidR="00AE0FE0" w:rsidRDefault="00AE0FE0">
      <w:pPr>
        <w:pStyle w:val="NormalWeb"/>
      </w:pPr>
      <w:r>
        <w:t xml:space="preserve">In reports published previously, in order to analyse the data, MedDRA® coding terms were grouped to create a set of reaction categories that were broadly analogous to the reactions listed in previous </w:t>
      </w:r>
      <w:r w:rsidRPr="00211F47">
        <w:rPr>
          <w:rStyle w:val="Emphasis"/>
          <w:b w:val="0"/>
        </w:rPr>
        <w:t>Australian Immunisation Handbooks.</w:t>
      </w:r>
      <w:r>
        <w:rPr>
          <w:vertAlign w:val="superscript"/>
        </w:rPr>
        <w:t>16,17</w:t>
      </w:r>
      <w:r>
        <w:t xml:space="preserve"> However, the methodological framework of reporting of adverse events was revised in 2014 and an amended format for AEFI analyses using MedDRA® pre</w:t>
      </w:r>
      <w:r w:rsidR="008576CD">
        <w:t>ferred terms (PTs) was adopted.</w:t>
      </w:r>
      <w:r>
        <w:rPr>
          <w:vertAlign w:val="superscript"/>
        </w:rPr>
        <w:t>22</w:t>
      </w:r>
      <w:r>
        <w:t xml:space="preserve"> For this report, MedDRA® PTs are used for analysis. Grouping of reactions using PTs is more comparable with data from other countrie</w:t>
      </w:r>
      <w:r w:rsidR="002F5090">
        <w:t>s and internationally accepted.</w:t>
      </w:r>
      <w:r>
        <w:rPr>
          <w:vertAlign w:val="superscript"/>
        </w:rPr>
        <w:t>23-25</w:t>
      </w:r>
      <w:r>
        <w:t xml:space="preserve"> In conjunction with the currently used national vaccine-specific reporting form, </w:t>
      </w:r>
      <w:r>
        <w:rPr>
          <w:vertAlign w:val="superscript"/>
        </w:rPr>
        <w:t>26</w:t>
      </w:r>
      <w:r>
        <w:t xml:space="preserve"> the use of PTs </w:t>
      </w:r>
      <w:proofErr w:type="gramStart"/>
      <w:r>
        <w:t>allow</w:t>
      </w:r>
      <w:proofErr w:type="gramEnd"/>
      <w:r>
        <w:t xml:space="preserve"> better reflection of post-marketing surveillance data on vaccines in Australia.</w:t>
      </w:r>
    </w:p>
    <w:p w14:paraId="58026F7E" w14:textId="77777777" w:rsidR="00AE0FE0" w:rsidRPr="003A6918" w:rsidRDefault="00AE0FE0" w:rsidP="003A6918">
      <w:pPr>
        <w:pStyle w:val="Heading2"/>
      </w:pPr>
      <w:r w:rsidRPr="003A6918">
        <w:rPr>
          <w:rStyle w:val="Strong"/>
          <w:b/>
          <w:bCs/>
        </w:rPr>
        <w:t>Data analysis</w:t>
      </w:r>
      <w:r w:rsidRPr="003A6918">
        <w:t xml:space="preserve"> </w:t>
      </w:r>
    </w:p>
    <w:p w14:paraId="707C173A" w14:textId="77777777" w:rsidR="00AE0FE0" w:rsidRDefault="00AE0FE0">
      <w:pPr>
        <w:pStyle w:val="NormalWeb"/>
      </w:pPr>
      <w:r>
        <w:t xml:space="preserve">All data analyses were performed </w:t>
      </w:r>
      <w:r w:rsidR="00C600BD">
        <w:t>using SAS software version 9.4.</w:t>
      </w:r>
      <w:r>
        <w:rPr>
          <w:vertAlign w:val="superscript"/>
        </w:rPr>
        <w:t>27</w:t>
      </w:r>
      <w:r>
        <w:t xml:space="preserve"> Average annual population-based reporting rates were calculated for each state and territory and by age group using 2016 population estimates obtained from the A</w:t>
      </w:r>
      <w:r w:rsidR="00A817C8">
        <w:t>ustralian Bureau of Statistics.</w:t>
      </w:r>
      <w:r>
        <w:rPr>
          <w:vertAlign w:val="superscript"/>
        </w:rPr>
        <w:t>28</w:t>
      </w:r>
      <w:r>
        <w:t xml:space="preserve"> All rates are presented as average annual rates per 100,000 population. Reporting rates per 100,000 administered doses were estimated where information was available on the number of doses administered. This was done for vaccines funded through the NIP for children aged &lt;7 years. The number of administered doses of each of the vaccines given to this age group was obtained from the Australian Immunisation Register (AIR), a national</w:t>
      </w:r>
      <w:r w:rsidR="00A817C8">
        <w:t xml:space="preserve"> population-based register.</w:t>
      </w:r>
      <w:r>
        <w:rPr>
          <w:vertAlign w:val="superscript"/>
        </w:rPr>
        <w:t>29</w:t>
      </w:r>
      <w:r>
        <w:t xml:space="preserve"> From 30 September 2016, the Australian Childhood Immunisation Register (ACIR) became the Australian Immunisation Register (AIR), a national register that records vaccinations given to p</w:t>
      </w:r>
      <w:r w:rsidR="00A817C8">
        <w:t>eople of all ages in Australia.</w:t>
      </w:r>
      <w:r>
        <w:rPr>
          <w:vertAlign w:val="superscript"/>
        </w:rPr>
        <w:t>30</w:t>
      </w:r>
      <w:r>
        <w:t xml:space="preserve"> In the future, as reporting in older age groups (&gt;7 years) becomes more complete, denominator data on vaccine doses administered in older age groups will be analysed for the purposes of AEFI reporting. </w:t>
      </w:r>
    </w:p>
    <w:p w14:paraId="6393FFD5" w14:textId="77777777" w:rsidR="00AE0FE0" w:rsidRPr="003A6918" w:rsidRDefault="00AE0FE0" w:rsidP="003A6918">
      <w:pPr>
        <w:pStyle w:val="Heading2"/>
      </w:pPr>
      <w:r w:rsidRPr="003A6918">
        <w:rPr>
          <w:rStyle w:val="Strong"/>
          <w:b/>
          <w:bCs/>
        </w:rPr>
        <w:t>Notes on interpretation</w:t>
      </w:r>
      <w:r w:rsidRPr="003A6918">
        <w:t xml:space="preserve"> </w:t>
      </w:r>
    </w:p>
    <w:p w14:paraId="3FCA80A5" w14:textId="77777777" w:rsidR="00AE0FE0" w:rsidRDefault="00AE0FE0">
      <w:pPr>
        <w:pStyle w:val="NormalWeb"/>
      </w:pPr>
      <w:r>
        <w:t>Caution is required when interpreting the data presented in this report. Due to reporting delays and late onset of some AEFI, the data are considered preliminary, particularly for the fourth quarter of 2016. Data published in previous reports may differ from that presented in this report for the same period because this report has been updated to include delayed notifications to the TGA that were not included in prior publications. Data can also differ because reports may be updated and recoded when follow up information is received or when vaccine-specific analyses are conducted.</w:t>
      </w:r>
    </w:p>
    <w:p w14:paraId="56B613DB" w14:textId="77777777" w:rsidR="00AE0FE0" w:rsidRDefault="00AE0FE0">
      <w:pPr>
        <w:pStyle w:val="NormalWeb"/>
      </w:pPr>
      <w:r>
        <w:t>The information collated in the ADRS database is intended primarily for signal detection and hypothesis generation. While reporting rates can be estimated using appropriate denominators, they cannot be interpreted as incidence rates due to under-reporting and biased reporting of suspected events, and the variable quality and completeness of information provid</w:t>
      </w:r>
      <w:r w:rsidR="00A817C8">
        <w:t>ed in individual notifications.</w:t>
      </w:r>
      <w:r>
        <w:rPr>
          <w:vertAlign w:val="superscript"/>
        </w:rPr>
        <w:t>3-14</w:t>
      </w:r>
      <w:r w:rsidR="00694369">
        <w:rPr>
          <w:vertAlign w:val="superscript"/>
        </w:rPr>
        <w:t xml:space="preserve">, </w:t>
      </w:r>
      <w:proofErr w:type="gramStart"/>
      <w:r w:rsidR="00694369">
        <w:rPr>
          <w:vertAlign w:val="superscript"/>
        </w:rPr>
        <w:t>31</w:t>
      </w:r>
      <w:proofErr w:type="gramEnd"/>
      <w:r>
        <w:t xml:space="preserve"> </w:t>
      </w:r>
    </w:p>
    <w:p w14:paraId="22249133" w14:textId="77777777" w:rsidR="00A57D41" w:rsidRDefault="00AE0FE0">
      <w:pPr>
        <w:pStyle w:val="NormalWeb"/>
      </w:pPr>
      <w:r>
        <w:t xml:space="preserve">It is important to note that this report is based on vaccine information and MedDRA® preferred terms collated in the ADRS database and not on comprehensive clinical notes or case reviews. The reported symptoms, </w:t>
      </w:r>
      <w:proofErr w:type="gramStart"/>
      <w:r>
        <w:t>signs</w:t>
      </w:r>
      <w:proofErr w:type="gramEnd"/>
      <w:r>
        <w:t xml:space="preserve"> and diagnoses in each AEFI record in the ADRS database are temporally associated with vaccination but are not necessarily causally associated with a vaccine or vaccines.</w:t>
      </w:r>
    </w:p>
    <w:p w14:paraId="6FE326CB" w14:textId="77777777" w:rsidR="00A57D41" w:rsidRDefault="00A57D41" w:rsidP="00A57D41">
      <w:r>
        <w:br w:type="page"/>
      </w:r>
    </w:p>
    <w:p w14:paraId="78542EB5" w14:textId="77777777" w:rsidR="00AE0FE0" w:rsidRDefault="00AE0FE0">
      <w:pPr>
        <w:pStyle w:val="NormalWeb"/>
      </w:pPr>
    </w:p>
    <w:p w14:paraId="5090C46C" w14:textId="77777777" w:rsidR="00AE0FE0" w:rsidRPr="003A6918" w:rsidRDefault="00AE0FE0" w:rsidP="003A6918">
      <w:pPr>
        <w:pStyle w:val="Heading2"/>
      </w:pPr>
      <w:r w:rsidRPr="003A6918">
        <w:rPr>
          <w:rStyle w:val="Strong"/>
          <w:b/>
          <w:bCs/>
        </w:rPr>
        <w:t>Comparison with online Database of Adverse Events Notifications (DAEN)</w:t>
      </w:r>
      <w:r w:rsidRPr="003A6918">
        <w:t xml:space="preserve"> </w:t>
      </w:r>
    </w:p>
    <w:p w14:paraId="5CCC4803" w14:textId="77777777" w:rsidR="00AE0FE0" w:rsidRDefault="00AE0FE0">
      <w:pPr>
        <w:pStyle w:val="NormalWeb"/>
      </w:pPr>
      <w:r>
        <w:t xml:space="preserve">In August 2012, the TGA made available to the public on its website a searchable database, the Database of Adverse Event Notifications (DAEN) that contains reports of all adverse event reports for medicines and vaccines. </w:t>
      </w:r>
      <w:r>
        <w:rPr>
          <w:vertAlign w:val="superscript"/>
        </w:rPr>
        <w:t>32</w:t>
      </w:r>
      <w:r>
        <w:t xml:space="preserve"> The data in this report have not been downloaded from DAEN. This report uses data sent to NCIRS by the TGA and includes more detailed information than provided by the DAEN. The numbers published in this report may be different to the numbers in the DAEN database, due to different dates of data extraction and amendment to reports where further information has become available. In addition, this report provides several features that are not available from the DAEN database, including long-term trends and population and dose-based reporting rates, described in the context of changes in vaccine policy and utilisation, and reporting practices.</w:t>
      </w:r>
    </w:p>
    <w:p w14:paraId="23F380B2" w14:textId="77777777" w:rsidR="00AE0FE0" w:rsidRPr="003A6918" w:rsidRDefault="00AE0FE0" w:rsidP="003A6918">
      <w:pPr>
        <w:pStyle w:val="Heading1"/>
      </w:pPr>
      <w:r w:rsidRPr="003A6918">
        <w:t>Results</w:t>
      </w:r>
    </w:p>
    <w:p w14:paraId="4F9CEBD4" w14:textId="77777777" w:rsidR="00AE0FE0" w:rsidRDefault="00AE0FE0">
      <w:pPr>
        <w:pStyle w:val="NormalWeb"/>
      </w:pPr>
      <w:r>
        <w:t xml:space="preserve">The ADRS database included a total of 3,407 records where the date of vaccination (or onset of adverse </w:t>
      </w:r>
      <w:proofErr w:type="gramStart"/>
      <w:r>
        <w:t>event, if</w:t>
      </w:r>
      <w:proofErr w:type="gramEnd"/>
      <w:r>
        <w:t xml:space="preserve"> vaccination date was not reported) was between 1 January and 31 December 2016. Of these, 55% were females (n=1,869), 44% (n=1,495) males and 1% (n=43) missing data. Also, 2% (n=73) were reported in Aboriginal and Torres Strait Islander people.</w:t>
      </w:r>
    </w:p>
    <w:p w14:paraId="52100293" w14:textId="77777777" w:rsidR="00AE0FE0" w:rsidRDefault="00AE0FE0">
      <w:pPr>
        <w:pStyle w:val="NormalWeb"/>
      </w:pPr>
      <w:r>
        <w:t>In 2016, approximately 80% of AEFI (n=2,737) were reported to the TGA via states and territories, while the rest were reported directly to the TGA by healthcare professionals (11% n=361), members of the public (5% n=166), vaccine companies (3% n=98) and hospitals (1% n=45).</w:t>
      </w:r>
    </w:p>
    <w:p w14:paraId="4B3FA415" w14:textId="77777777" w:rsidR="00AE0FE0" w:rsidRPr="003A6918" w:rsidRDefault="00AE0FE0" w:rsidP="003A6918">
      <w:pPr>
        <w:pStyle w:val="Heading2"/>
      </w:pPr>
      <w:r w:rsidRPr="003A6918">
        <w:rPr>
          <w:rStyle w:val="Strong"/>
          <w:b/>
          <w:bCs/>
        </w:rPr>
        <w:t>Reporting trends</w:t>
      </w:r>
      <w:r w:rsidRPr="003A6918">
        <w:t xml:space="preserve"> </w:t>
      </w:r>
    </w:p>
    <w:p w14:paraId="63869BEF" w14:textId="77777777" w:rsidR="00AE0FE0" w:rsidRDefault="00AE0FE0">
      <w:pPr>
        <w:pStyle w:val="NormalWeb"/>
      </w:pPr>
      <w:r>
        <w:t xml:space="preserve">The overall reporting rate for 2016 was per 14.1 per 100,000 population compared with 12.3 per 100,000 in 2015. The highest peak was observed in 2010 (17.4 per 100,000) predominantly due to reports in children following vaccination with the pandemic and 2010 seasonal trivalent influenza vaccines. </w:t>
      </w:r>
      <w:r>
        <w:rPr>
          <w:vertAlign w:val="superscript"/>
        </w:rPr>
        <w:t>12</w:t>
      </w:r>
      <w:r>
        <w:t xml:space="preserve"> </w:t>
      </w:r>
    </w:p>
    <w:p w14:paraId="3E1905A7" w14:textId="77777777" w:rsidR="00AE0FE0" w:rsidRDefault="00AE0FE0">
      <w:pPr>
        <w:pStyle w:val="NormalWeb"/>
      </w:pPr>
      <w:r>
        <w:t xml:space="preserve">The vast majority of reported events in 2016 (from all reporter types) were of a non-serious nature similar to the previous years (Figure 1) </w:t>
      </w:r>
      <w:r>
        <w:rPr>
          <w:vertAlign w:val="superscript"/>
        </w:rPr>
        <w:t>10,11</w:t>
      </w:r>
      <w:r>
        <w:t xml:space="preserve"> Figures 2a, 2b and 2c demonstrate marked variations in reporting levels in association with previous changes to the NIP from 2000 onwards. The increase in reports in 2016 was predominantly associated with the booster dose of </w:t>
      </w:r>
      <w:proofErr w:type="spellStart"/>
      <w:r>
        <w:t>DTPa</w:t>
      </w:r>
      <w:proofErr w:type="spellEnd"/>
      <w:r>
        <w:t xml:space="preserve"> at 18 months of age (Figures 2a and 2b) and also an increase in reports of adverse events following immunisation with zoster vaccine in the elderly (Figure 2c).</w:t>
      </w:r>
    </w:p>
    <w:p w14:paraId="60FAABBC" w14:textId="77777777" w:rsidR="00E443A4" w:rsidRDefault="00E443A4">
      <w:pPr>
        <w:rPr>
          <w:rStyle w:val="Strong"/>
        </w:rPr>
      </w:pPr>
      <w:r>
        <w:rPr>
          <w:rStyle w:val="Strong"/>
        </w:rPr>
        <w:br w:type="page"/>
      </w:r>
    </w:p>
    <w:p w14:paraId="0B9B43DC" w14:textId="77777777" w:rsidR="00415F27" w:rsidRDefault="00415F27" w:rsidP="00415F27">
      <w:pPr>
        <w:pStyle w:val="NormalWeb"/>
        <w:rPr>
          <w:rStyle w:val="Strong"/>
        </w:rPr>
      </w:pPr>
      <w:r>
        <w:rPr>
          <w:rStyle w:val="Strong"/>
        </w:rPr>
        <w:lastRenderedPageBreak/>
        <w:t xml:space="preserve">Figure 1: Adverse events following immunisation, ADRS database, 2000 to 2016, by quarter of vaccination, by date of </w:t>
      </w:r>
      <w:proofErr w:type="gramStart"/>
      <w:r>
        <w:rPr>
          <w:rStyle w:val="Strong"/>
        </w:rPr>
        <w:t>vaccination</w:t>
      </w:r>
      <w:proofErr w:type="gramEnd"/>
    </w:p>
    <w:p w14:paraId="5E870C5D" w14:textId="77777777" w:rsidR="00415F27" w:rsidRDefault="00415F27" w:rsidP="00415F27">
      <w:pPr>
        <w:pStyle w:val="NormalWeb"/>
      </w:pPr>
      <w:r>
        <w:rPr>
          <w:b/>
          <w:bCs/>
          <w:noProof/>
        </w:rPr>
        <w:drawing>
          <wp:inline distT="0" distB="0" distL="0" distR="0" wp14:anchorId="4047DA68" wp14:editId="02B2B09B">
            <wp:extent cx="6110279" cy="4258310"/>
            <wp:effectExtent l="0" t="0" r="5080" b="8890"/>
            <wp:docPr id="1" name="Picture 1" descr="Figure 1 is a trend graph showing number of reported adverse events following vaccination as well as overall reporting rate per 100,000 population for the last 17 year period (1 January 2000 to 31 December 2016).&#10;• There was an increase in the reported events and reporting rate per 100,000 population during 2016 and the vast majority of reported events (from all reporter types) were of a non-serious 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14-Aditi Dey - Surveillance of adverse event\DOCx Output\14-Aditi-Dey---Surveillance-of-adverse-event-v7-web-resources\image\370408.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10279" cy="4258310"/>
                    </a:xfrm>
                    <a:prstGeom prst="rect">
                      <a:avLst/>
                    </a:prstGeom>
                    <a:noFill/>
                    <a:ln>
                      <a:noFill/>
                    </a:ln>
                  </pic:spPr>
                </pic:pic>
              </a:graphicData>
            </a:graphic>
          </wp:inline>
        </w:drawing>
      </w:r>
    </w:p>
    <w:p w14:paraId="7DF22386" w14:textId="77777777" w:rsidR="00415F27" w:rsidRPr="00415F27" w:rsidRDefault="00415F27" w:rsidP="00415F27">
      <w:pPr>
        <w:pStyle w:val="CDIfootnotes"/>
      </w:pPr>
      <w:r w:rsidRPr="00415F27">
        <w:t>Note: For reports where the date of vaccination was not recorded, the date of onset or date event was reported to TGA was used as a proxy for vaccination date.</w:t>
      </w:r>
    </w:p>
    <w:p w14:paraId="4D49C06B" w14:textId="77777777" w:rsidR="00AE0FE0" w:rsidRDefault="00AE0FE0" w:rsidP="00C160AF">
      <w:pPr>
        <w:pStyle w:val="NormalWeb"/>
      </w:pPr>
      <w:r>
        <w:t xml:space="preserve">A seasonal pattern of AEFI reporting was apparent in 2016 as in previous years, with the highest number of AEFI notifications for vaccinations administered in the first half of the year (Figure 1). This corresponds to the months when influenza vaccine is </w:t>
      </w:r>
      <w:proofErr w:type="gramStart"/>
      <w:r>
        <w:t>given</w:t>
      </w:r>
      <w:proofErr w:type="gramEnd"/>
      <w:r>
        <w:t xml:space="preserve"> and older Australians receive 23vPPV (March to June). However, more AEFI reports following influenza vaccine were received in each of the last </w:t>
      </w:r>
      <w:r w:rsidR="003B401D">
        <w:t>5</w:t>
      </w:r>
      <w:r>
        <w:t xml:space="preserve"> years than years prior to 2009 (pre-pandemic era) (Figure 2c).</w:t>
      </w:r>
    </w:p>
    <w:p w14:paraId="2167A2B6" w14:textId="77777777" w:rsidR="000D6BEF" w:rsidRDefault="000D6BEF">
      <w:pPr>
        <w:rPr>
          <w:rStyle w:val="Strong"/>
        </w:rPr>
        <w:sectPr w:rsidR="000D6BEF" w:rsidSect="00EB51C1">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6" w:h="16838"/>
          <w:pgMar w:top="720" w:right="720" w:bottom="720" w:left="720" w:header="708" w:footer="283" w:gutter="0"/>
          <w:pgNumType w:start="1"/>
          <w:cols w:space="708"/>
          <w:titlePg/>
          <w:docGrid w:linePitch="360"/>
        </w:sectPr>
      </w:pPr>
    </w:p>
    <w:p w14:paraId="1FD9F1CB" w14:textId="77777777" w:rsidR="000D6BEF" w:rsidRDefault="00A03FCC" w:rsidP="000D6BEF">
      <w:pPr>
        <w:pStyle w:val="NormalWeb"/>
        <w:sectPr w:rsidR="000D6BEF" w:rsidSect="00064516">
          <w:footnotePr>
            <w:numFmt w:val="lowerRoman"/>
          </w:footnotePr>
          <w:pgSz w:w="16838" w:h="11906" w:orient="landscape"/>
          <w:pgMar w:top="720" w:right="720" w:bottom="720" w:left="720" w:header="708" w:footer="283" w:gutter="0"/>
          <w:cols w:space="708"/>
          <w:titlePg/>
          <w:docGrid w:linePitch="360"/>
        </w:sectPr>
      </w:pPr>
      <w:r>
        <w:rPr>
          <w:rStyle w:val="Strong"/>
        </w:rPr>
        <w:lastRenderedPageBreak/>
        <w:t xml:space="preserve">Figure 2a: Adverse events following immunisation for children aged &lt;1 year, ADRS database, 2000 to 2016, by quarter of vaccination, by date of vaccination </w:t>
      </w:r>
      <w:r>
        <w:rPr>
          <w:noProof/>
          <w:vertAlign w:val="superscript"/>
        </w:rPr>
        <w:drawing>
          <wp:inline distT="0" distB="0" distL="0" distR="0" wp14:anchorId="1F92B04F" wp14:editId="2709B50A">
            <wp:extent cx="4919898" cy="7242676"/>
            <wp:effectExtent l="635" t="0" r="0" b="0"/>
            <wp:docPr id="2" name="Picture 2" descr="Figure 2a is a line graph showing frequently suspected vaccines (rotavirus, 13vPCV, 7vPCV,  pH1N1, DTPa-IPV, hexavalent vaccine, seasonal influenza and MenB) for adverse events following immunisation for children aged &lt;1 year, by year (2000 to 2016), by quarter of vaccination. " title="Figure 2a: Adverse events following immunisation for children aged &lt;1 year, ADRS database, 2000 to 2016, by quarter of vaccination, by date of vacci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ging\CDESS\ZoFE\CDI\Desktopping\OpenCDI\OpenCDI-2018-volume\14-Aditi Dey - Surveillance of adverse event\DOCx Output\14-Aditi-Dey---Surveillance-of-adverse-event-v7-web-resources\image\370524.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rot="5400000">
                      <a:off x="0" y="0"/>
                      <a:ext cx="4919898" cy="7242676"/>
                    </a:xfrm>
                    <a:prstGeom prst="rect">
                      <a:avLst/>
                    </a:prstGeom>
                    <a:noFill/>
                    <a:ln>
                      <a:noFill/>
                    </a:ln>
                  </pic:spPr>
                </pic:pic>
              </a:graphicData>
            </a:graphic>
          </wp:inline>
        </w:drawing>
      </w:r>
      <w:r w:rsidR="00B470AD">
        <w:rPr>
          <w:vertAlign w:val="superscript"/>
        </w:rPr>
        <w:br/>
      </w:r>
      <w:r w:rsidRPr="00B470AD">
        <w:rPr>
          <w:rStyle w:val="CDIfootnotesChar"/>
        </w:rPr>
        <w:t xml:space="preserve">* safety signal for fever and febrile convulsion found to be due to Seqirus (formerly bioCSL) </w:t>
      </w:r>
      <w:proofErr w:type="spellStart"/>
      <w:r w:rsidRPr="00B470AD">
        <w:rPr>
          <w:rStyle w:val="CDIfootnotesChar"/>
        </w:rPr>
        <w:t>Fluvax</w:t>
      </w:r>
      <w:proofErr w:type="spellEnd"/>
      <w:r w:rsidRPr="00B470AD">
        <w:rPr>
          <w:rStyle w:val="CDIfootnotesChar"/>
        </w:rPr>
        <w:t xml:space="preserve"> 2010 TIV in children</w:t>
      </w:r>
      <w:r w:rsidR="001D7514" w:rsidRPr="00B470AD">
        <w:rPr>
          <w:rStyle w:val="CDIfootnotesChar"/>
        </w:rPr>
        <w:br/>
      </w:r>
      <w:proofErr w:type="spellStart"/>
      <w:r w:rsidRPr="00B470AD">
        <w:rPr>
          <w:rStyle w:val="CDIfootnotesChar"/>
        </w:rPr>
        <w:t>DTPa</w:t>
      </w:r>
      <w:proofErr w:type="spellEnd"/>
      <w:r w:rsidRPr="00B470AD">
        <w:rPr>
          <w:rStyle w:val="CDIfootnotesChar"/>
        </w:rPr>
        <w:t xml:space="preserve">-IPV and </w:t>
      </w:r>
      <w:proofErr w:type="spellStart"/>
      <w:r w:rsidRPr="00B470AD">
        <w:rPr>
          <w:rStyle w:val="CDIfootnotesChar"/>
        </w:rPr>
        <w:t>DTPa</w:t>
      </w:r>
      <w:proofErr w:type="spellEnd"/>
      <w:r w:rsidRPr="00B470AD">
        <w:rPr>
          <w:rStyle w:val="CDIfootnotesChar"/>
        </w:rPr>
        <w:t>-IPV-</w:t>
      </w:r>
      <w:proofErr w:type="spellStart"/>
      <w:r w:rsidRPr="00B470AD">
        <w:rPr>
          <w:rStyle w:val="CDIfootnotesChar"/>
        </w:rPr>
        <w:t>HepB</w:t>
      </w:r>
      <w:proofErr w:type="spellEnd"/>
      <w:r w:rsidRPr="00B470AD">
        <w:rPr>
          <w:rStyle w:val="CDIfootnotesChar"/>
        </w:rPr>
        <w:t xml:space="preserve">-Hib (hexavalent) vaccines were introduced into the NIP schedule in November 2005; rotavirus (RotaTeq ® and Rotarix ® ) vaccines on 1 July 2007; pH1N1 influenza vaccine for children 6 months to 10 years on December 2009; seasonal trivalent influenza vaccine in 2010 which was an extension of existing adult and Indigenous programs to at risk populations; and the 13-valent pneumococcal conjugate vaccine (13vPCV) on 1 July 2011. Also, </w:t>
      </w:r>
      <w:proofErr w:type="spellStart"/>
      <w:r w:rsidRPr="00B470AD">
        <w:rPr>
          <w:rStyle w:val="CDIfootnotesChar"/>
        </w:rPr>
        <w:t>MenB</w:t>
      </w:r>
      <w:proofErr w:type="spellEnd"/>
      <w:r w:rsidRPr="00B470AD">
        <w:rPr>
          <w:rStyle w:val="CDIfootnotesChar"/>
        </w:rPr>
        <w:t xml:space="preserve"> vaccine is recommended for use in those with increased risk of invasive meningococcal disease and is not currently funded under the NIP.</w:t>
      </w:r>
      <w:r w:rsidR="001D7514" w:rsidRPr="00B470AD">
        <w:rPr>
          <w:rStyle w:val="CDIfootnotesChar"/>
        </w:rPr>
        <w:br/>
      </w:r>
      <w:r w:rsidRPr="00B470AD">
        <w:rPr>
          <w:rStyle w:val="CDIfootnotesChar"/>
        </w:rPr>
        <w:t>Note: For reports where the date of vaccination was not recorded, the date of onset or date event was reported to TGA was used as a proxy for vaccination date.</w:t>
      </w:r>
      <w:r w:rsidRPr="008D3D95">
        <w:t xml:space="preserve"> </w:t>
      </w:r>
    </w:p>
    <w:p w14:paraId="071DABC7" w14:textId="77777777" w:rsidR="00C160AF" w:rsidRDefault="008322A5" w:rsidP="000D6BEF">
      <w:pPr>
        <w:pStyle w:val="NormalWeb"/>
      </w:pPr>
      <w:r>
        <w:rPr>
          <w:rStyle w:val="Strong"/>
        </w:rPr>
        <w:lastRenderedPageBreak/>
        <w:t>Figure 2b: Adverse events following immunisation for children aged 1 to &lt;7 years in frequently reported vaccines, ADRS database, 2000 to 2016, by quarter of vaccination, by date of vaccination</w:t>
      </w:r>
      <w:r w:rsidR="000D6BEF">
        <w:rPr>
          <w:rStyle w:val="Strong"/>
        </w:rPr>
        <w:br/>
      </w:r>
      <w:r w:rsidR="00B86477">
        <w:rPr>
          <w:rFonts w:eastAsia="Times New Roman"/>
          <w:noProof/>
        </w:rPr>
        <w:drawing>
          <wp:inline distT="0" distB="0" distL="0" distR="0" wp14:anchorId="59828916" wp14:editId="61CE4424">
            <wp:extent cx="5120025" cy="7399655"/>
            <wp:effectExtent l="3175" t="0" r="7620" b="7620"/>
            <wp:docPr id="3" name="Picture 3" descr="Figure 2b is a line graph showing adverse events following immunisation for children aged 1 to &lt;7 years for frequently reported vaccines (DTPa-containing vaccines, MMR, pH1N1, DTPa-IPV, seasonal influenza, MMRV, Hib-MenC and MenB), by year (2000 to 2016), by quarter vacc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ging\CDESS\ZoFE\CDI\Desktopping\OpenCDI\OpenCDI-2018-volume\14-Aditi Dey - Surveillance of adverse event\DOCx Output\14-Aditi-Dey---Surveillance-of-adverse-event-v7-web-resources\image\370614.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rot="5400000">
                      <a:off x="0" y="0"/>
                      <a:ext cx="5120025" cy="7399655"/>
                    </a:xfrm>
                    <a:prstGeom prst="rect">
                      <a:avLst/>
                    </a:prstGeom>
                    <a:noFill/>
                    <a:ln>
                      <a:noFill/>
                    </a:ln>
                  </pic:spPr>
                </pic:pic>
              </a:graphicData>
            </a:graphic>
          </wp:inline>
        </w:drawing>
      </w:r>
      <w:r w:rsidR="000D6BEF">
        <w:br/>
      </w:r>
      <w:proofErr w:type="spellStart"/>
      <w:r>
        <w:t>DTPa</w:t>
      </w:r>
      <w:proofErr w:type="spellEnd"/>
      <w:r>
        <w:t xml:space="preserve">-IPV was introduced into the NIP schedule in November 2005 replacing </w:t>
      </w:r>
      <w:proofErr w:type="spellStart"/>
      <w:r>
        <w:t>DTPa</w:t>
      </w:r>
      <w:proofErr w:type="spellEnd"/>
      <w:r>
        <w:t xml:space="preserve"> and OPV; seasonal trivalent influenza vaccine in 2010 which was an extension of existing adult and Indigenous programs to at risk populations; MMRV and Hib–</w:t>
      </w:r>
      <w:proofErr w:type="spellStart"/>
      <w:r>
        <w:t>MenC</w:t>
      </w:r>
      <w:proofErr w:type="spellEnd"/>
      <w:r>
        <w:t xml:space="preserve"> vaccines on July 2013, and HPV program extended to boys in February 2013. Also, </w:t>
      </w:r>
      <w:proofErr w:type="spellStart"/>
      <w:r>
        <w:t>MenB</w:t>
      </w:r>
      <w:proofErr w:type="spellEnd"/>
      <w:r>
        <w:t xml:space="preserve"> vaccine is recommended for use in those with increased risk of invasive meningococcal disease and is not currently funded under the NIP. In April 2016 – NIP-funded </w:t>
      </w:r>
      <w:r>
        <w:lastRenderedPageBreak/>
        <w:t xml:space="preserve">booster dose of </w:t>
      </w:r>
      <w:proofErr w:type="spellStart"/>
      <w:r>
        <w:t>DTPa</w:t>
      </w:r>
      <w:proofErr w:type="spellEnd"/>
      <w:r>
        <w:t xml:space="preserve"> at 18 months of age.</w:t>
      </w:r>
      <w:r w:rsidR="000D6BEF">
        <w:br/>
      </w:r>
      <w:r>
        <w:t>Note: For reports where the date of vaccination was not recorded, the date of onset or date event was reported to TGA was used as a proxy for vaccination date.</w:t>
      </w:r>
    </w:p>
    <w:p w14:paraId="18539928" w14:textId="77777777" w:rsidR="00CA627A" w:rsidRPr="00793CB9" w:rsidRDefault="00CA627A" w:rsidP="00793CB9">
      <w:pPr>
        <w:pStyle w:val="CDIfootnotes"/>
      </w:pPr>
      <w:r w:rsidRPr="00A705E5">
        <w:rPr>
          <w:rStyle w:val="CDIFiguresChar"/>
        </w:rPr>
        <w:t>Figure 2c. Adverse events following immunisation for people aged ≥7 years in frequently reported vaccines, ADRS database, 2000–2016, by quarter of vaccination.</w:t>
      </w:r>
      <w:r w:rsidR="00300C47">
        <w:rPr>
          <w:rStyle w:val="CDIFiguresChar"/>
        </w:rPr>
        <w:br/>
      </w:r>
      <w:r w:rsidR="00793CB9">
        <w:rPr>
          <w:rStyle w:val="Strong"/>
        </w:rPr>
        <w:t xml:space="preserve"> </w:t>
      </w:r>
      <w:r w:rsidR="00793CB9">
        <w:rPr>
          <w:b/>
          <w:bCs/>
          <w:noProof/>
        </w:rPr>
        <w:drawing>
          <wp:inline distT="0" distB="0" distL="0" distR="0" wp14:anchorId="7FD1E848" wp14:editId="74E41646">
            <wp:extent cx="5030195" cy="7227564"/>
            <wp:effectExtent l="6350" t="0" r="5715" b="5715"/>
            <wp:docPr id="4" name="Picture 4" descr="Figure 2c is a line graph showing adverse events following immunisation for people aged ≥7 years for frequently reported vaccines (MenCCV, Seasonal influenza, HPV, pH1N1, 23vPPV and MenB), by year (2000 to 2016), by quarter vacc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aging\CDESS\ZoFE\CDI\Desktopping\OpenCDI\OpenCDI-2018-volume\14-Aditi Dey - Surveillance of adverse event\DOCx Output\14-Aditi-Dey---Surveillance-of-adverse-event-v7-web-resources\image\370671.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rot="5400000">
                      <a:off x="0" y="0"/>
                      <a:ext cx="5030195" cy="7227564"/>
                    </a:xfrm>
                    <a:prstGeom prst="rect">
                      <a:avLst/>
                    </a:prstGeom>
                    <a:noFill/>
                    <a:ln>
                      <a:noFill/>
                    </a:ln>
                  </pic:spPr>
                </pic:pic>
              </a:graphicData>
            </a:graphic>
          </wp:inline>
        </w:drawing>
      </w:r>
      <w:r w:rsidR="00300C47">
        <w:br/>
      </w:r>
      <w:proofErr w:type="spellStart"/>
      <w:r w:rsidRPr="00793CB9">
        <w:t>MenCCV</w:t>
      </w:r>
      <w:proofErr w:type="spellEnd"/>
      <w:r w:rsidRPr="00793CB9">
        <w:t xml:space="preserve"> was introduced into the NIP schedule on 1 January 2003; pH1N1 influenza vaccine for children 6 months to 10 years on December 2009; pH1N1 vaccination for those ≥10 years commenced on 30 Sep 2009; seasonal trivalent influenza vaccine in 2010 which was an extension of existing adult and Indigenous programs to at risk populations; and HPV program extended to boys in February 2013. Also, </w:t>
      </w:r>
      <w:proofErr w:type="spellStart"/>
      <w:r w:rsidRPr="00793CB9">
        <w:t>MenB</w:t>
      </w:r>
      <w:proofErr w:type="spellEnd"/>
      <w:r w:rsidRPr="00793CB9">
        <w:t xml:space="preserve"> </w:t>
      </w:r>
      <w:r w:rsidRPr="00793CB9">
        <w:lastRenderedPageBreak/>
        <w:t>vaccine is recommended for use in those with increased risk of invasive meningococcal disease and is not currently funded under the NIP.</w:t>
      </w:r>
      <w:r w:rsidR="00300C47" w:rsidRPr="00793CB9">
        <w:t xml:space="preserve"> </w:t>
      </w:r>
      <w:r w:rsidR="00CA47D1">
        <w:br/>
      </w:r>
      <w:r w:rsidRPr="00793CB9">
        <w:t>In November 2016, zoster vaccine (Zostavax®) was NIP-funded for people aged 70 years with a 5-year catch-up program for people aged 71 – 79 years.</w:t>
      </w:r>
    </w:p>
    <w:p w14:paraId="5A275F48" w14:textId="77777777" w:rsidR="00300C47" w:rsidRDefault="00CA627A" w:rsidP="00300C47">
      <w:pPr>
        <w:pStyle w:val="CDIfootnotes"/>
        <w:sectPr w:rsidR="00300C47" w:rsidSect="00064516">
          <w:footnotePr>
            <w:numFmt w:val="lowerRoman"/>
          </w:footnotePr>
          <w:pgSz w:w="16838" w:h="11906" w:orient="landscape"/>
          <w:pgMar w:top="720" w:right="720" w:bottom="720" w:left="720" w:header="708" w:footer="283" w:gutter="0"/>
          <w:cols w:space="708"/>
          <w:titlePg/>
          <w:docGrid w:linePitch="360"/>
        </w:sectPr>
      </w:pPr>
      <w:r w:rsidRPr="00793CB9">
        <w:t>Note: For reports where the date of vaccination was not recorded, the date of onset or date event was reported to TGA was used as a proxy for vaccination date.</w:t>
      </w:r>
    </w:p>
    <w:p w14:paraId="337F3F7F" w14:textId="77777777" w:rsidR="00AE0FE0" w:rsidRPr="003A6918" w:rsidRDefault="00AE0FE0" w:rsidP="006444C7">
      <w:pPr>
        <w:pStyle w:val="Heading2"/>
      </w:pPr>
      <w:r w:rsidRPr="003A6918">
        <w:rPr>
          <w:rStyle w:val="Strong"/>
          <w:b/>
          <w:bCs/>
        </w:rPr>
        <w:lastRenderedPageBreak/>
        <w:t>Age distribution</w:t>
      </w:r>
      <w:r w:rsidRPr="003A6918">
        <w:t xml:space="preserve"> </w:t>
      </w:r>
    </w:p>
    <w:p w14:paraId="33B3CC05" w14:textId="77777777" w:rsidR="00AE0FE0" w:rsidRDefault="00AE0FE0">
      <w:pPr>
        <w:pStyle w:val="NormalWeb"/>
      </w:pPr>
      <w:r>
        <w:t>The highest population-based AEFI reporting rate per 100,000 population occurred in children aged 1</w:t>
      </w:r>
      <w:r w:rsidR="00446F32">
        <w:t xml:space="preserve"> to </w:t>
      </w:r>
      <w:r>
        <w:t xml:space="preserve">&lt;2 years, the age group that received the booster dose of </w:t>
      </w:r>
      <w:proofErr w:type="spellStart"/>
      <w:r>
        <w:t>DTPa</w:t>
      </w:r>
      <w:proofErr w:type="spellEnd"/>
      <w:r>
        <w:t xml:space="preserve"> at 18 months of age (Figure 3). Compared with 2015, AEFI reporting rates in children decreased in the &lt;1 year age group from 193.8 to 167.8. A decline was also observed in the 2 to &lt;7 years and 7 to &lt;20 year age groups, however, there were increases observed in children aged 1 to &lt;2 years and adults aged 65 years and older (Figure 3).</w:t>
      </w:r>
    </w:p>
    <w:p w14:paraId="13A6B057" w14:textId="77777777" w:rsidR="00793CB9" w:rsidRDefault="00793CB9" w:rsidP="00793CB9">
      <w:pPr>
        <w:pStyle w:val="NormalWeb"/>
      </w:pPr>
      <w:r>
        <w:rPr>
          <w:rStyle w:val="Strong"/>
        </w:rPr>
        <w:t>Figure 3: Reporting rates of adverse events following immunisation per 100,000 population, ADRS database, 2000 to 2016, by age group and year of vaccination, by date of vaccination</w:t>
      </w:r>
      <w:r>
        <w:rPr>
          <w:b/>
          <w:bCs/>
          <w:noProof/>
        </w:rPr>
        <w:drawing>
          <wp:inline distT="0" distB="0" distL="0" distR="0" wp14:anchorId="32C90373" wp14:editId="6F6FBC4E">
            <wp:extent cx="6125845" cy="4027805"/>
            <wp:effectExtent l="0" t="0" r="8255" b="0"/>
            <wp:docPr id="5" name="Picture 5" descr="Figure 3 is a line graph showing reporting rates of adverse events following immunisation per 100,000 population, by year (2000 to 2016), by age group and year of vaccination.&#10;• In 2016, the highest population-based AEFI reporting rate occurred in children aged 1-&lt;2 years, the age group that received the booster dose of DTPa at 18 months of age." title="Figure 3: Reporting rates of adverse events following immunisation per 100,000 population, ADRS database, 2000 to 2016, by age group and year of vaccination, by date of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aging\CDESS\ZoFE\CDI\Desktopping\OpenCDI\OpenCDI-2018-volume\14-Aditi Dey - Surveillance of adverse event\DOCx Output\14-Aditi-Dey---Surveillance-of-adverse-event-v7-web-resources\image\3712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5845" cy="4027805"/>
                    </a:xfrm>
                    <a:prstGeom prst="rect">
                      <a:avLst/>
                    </a:prstGeom>
                    <a:noFill/>
                    <a:ln>
                      <a:noFill/>
                    </a:ln>
                  </pic:spPr>
                </pic:pic>
              </a:graphicData>
            </a:graphic>
          </wp:inline>
        </w:drawing>
      </w:r>
    </w:p>
    <w:p w14:paraId="7CC7A8E2" w14:textId="77777777" w:rsidR="00793CB9" w:rsidRDefault="00793CB9" w:rsidP="00793CB9">
      <w:pPr>
        <w:pStyle w:val="CDIfootnotes"/>
      </w:pPr>
      <w:r>
        <w:t>Note: For reports where the date of vaccination was not recorded, the date of onset or date event was reported to TGA was used as a proxy for vaccination date.</w:t>
      </w:r>
    </w:p>
    <w:p w14:paraId="12A6D78C" w14:textId="77777777" w:rsidR="009E5476" w:rsidRDefault="00AE0FE0" w:rsidP="009E5476">
      <w:pPr>
        <w:pStyle w:val="NormalWeb"/>
      </w:pPr>
      <w:r>
        <w:t xml:space="preserve">There were no significant differences in reporting rates per 100,000 doses for most individual vaccines in 2016 compared to </w:t>
      </w:r>
      <w:proofErr w:type="gramStart"/>
      <w:r>
        <w:t>2015, and</w:t>
      </w:r>
      <w:proofErr w:type="gramEnd"/>
      <w:r>
        <w:t xml:space="preserve"> noting new additions to the NIP schedule namely </w:t>
      </w:r>
      <w:proofErr w:type="spellStart"/>
      <w:r>
        <w:t>DTPa</w:t>
      </w:r>
      <w:proofErr w:type="spellEnd"/>
      <w:r>
        <w:t xml:space="preserve"> &amp; zoster (Table 2).</w:t>
      </w:r>
      <w:r w:rsidR="009E5476">
        <w:t xml:space="preserve"> </w:t>
      </w:r>
      <w:r w:rsidR="009E5476">
        <w:br w:type="page"/>
      </w:r>
    </w:p>
    <w:p w14:paraId="25A7C9A3" w14:textId="77777777" w:rsidR="00AE0FE0" w:rsidRDefault="00AE0FE0" w:rsidP="005460A7">
      <w:pPr>
        <w:pStyle w:val="CDIFigures"/>
      </w:pPr>
      <w:r>
        <w:lastRenderedPageBreak/>
        <w:t xml:space="preserve">Table 2: Vaccine types listed as ‘suspected’ in records of adverse events following immunisation by age groups (&lt;7, 7–17, 18–64 and ≥65 years), ADRS database, </w:t>
      </w:r>
      <w:proofErr w:type="gramStart"/>
      <w:r>
        <w:t>2016</w:t>
      </w:r>
      <w:proofErr w:type="gramEnd"/>
    </w:p>
    <w:tbl>
      <w:tblPr>
        <w:tblStyle w:val="CDI-StandardTabl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Table 2: Vaccine types listed as ‘suspected’ in records of adverse events following immunisation by age groups (&lt;7, 7–17, 18–64 and ≥65 years), ADRS database, 2016"/>
        <w:tblDescription w:val="Table 2 shows vaccine types listed as ‘suspected’ of involvement in records &#10;of  adverse events following immunisation, by age group for the period &#10;1 January 2016 to 31 December 2016.&#10;These rates are compared with the previous year (2015).&#10;"/>
      </w:tblPr>
      <w:tblGrid>
        <w:gridCol w:w="3066"/>
        <w:gridCol w:w="1704"/>
        <w:gridCol w:w="2078"/>
        <w:gridCol w:w="1951"/>
        <w:gridCol w:w="1951"/>
      </w:tblGrid>
      <w:tr w:rsidR="002D43A4" w14:paraId="41998D3F" w14:textId="77777777" w:rsidTr="00CB2C9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Mar>
              <w:top w:w="142" w:type="dxa"/>
              <w:left w:w="142" w:type="dxa"/>
              <w:bottom w:w="142" w:type="dxa"/>
              <w:right w:w="142" w:type="dxa"/>
            </w:tcMar>
            <w:hideMark/>
          </w:tcPr>
          <w:p w14:paraId="30EF3966" w14:textId="77777777" w:rsidR="00AE0FE0" w:rsidRPr="00883B96" w:rsidRDefault="00AE0FE0">
            <w:pPr>
              <w:pStyle w:val="NormalWeb"/>
              <w:rPr>
                <w:color w:val="FFFFFF" w:themeColor="background1"/>
              </w:rPr>
            </w:pPr>
            <w:r w:rsidRPr="00883B96">
              <w:rPr>
                <w:color w:val="FFFFFF" w:themeColor="background1"/>
              </w:rPr>
              <w:t>Vaccines</w:t>
            </w:r>
            <w:r w:rsidRPr="002D43A4">
              <w:rPr>
                <w:color w:val="FFFFFF" w:themeColor="background1"/>
                <w:vertAlign w:val="superscript"/>
              </w:rPr>
              <w:t>*</w:t>
            </w:r>
          </w:p>
        </w:tc>
        <w:tc>
          <w:tcPr>
            <w:tcW w:w="0" w:type="auto"/>
            <w:vMerge w:val="restart"/>
            <w:tcMar>
              <w:top w:w="142" w:type="dxa"/>
              <w:left w:w="142" w:type="dxa"/>
              <w:bottom w:w="142" w:type="dxa"/>
              <w:right w:w="142" w:type="dxa"/>
            </w:tcMar>
            <w:hideMark/>
          </w:tcPr>
          <w:p w14:paraId="6479C6F5" w14:textId="77777777" w:rsidR="00AE0FE0" w:rsidRPr="00883B96" w:rsidRDefault="00AE0FE0">
            <w:pPr>
              <w:pStyle w:val="NormalWeb"/>
              <w:rPr>
                <w:color w:val="FFFFFF" w:themeColor="background1"/>
              </w:rPr>
            </w:pPr>
            <w:r w:rsidRPr="00883B96">
              <w:rPr>
                <w:color w:val="FFFFFF" w:themeColor="background1"/>
              </w:rPr>
              <w:t>AEFI records</w:t>
            </w:r>
            <w:r w:rsidRPr="002D43A4">
              <w:rPr>
                <w:color w:val="FFFFFF" w:themeColor="background1"/>
                <w:vertAlign w:val="superscript"/>
              </w:rPr>
              <w:t>†</w:t>
            </w:r>
            <w:r w:rsidRPr="00883B96">
              <w:rPr>
                <w:color w:val="FFFFFF" w:themeColor="background1"/>
              </w:rPr>
              <w:t xml:space="preserve"> (n)</w:t>
            </w:r>
          </w:p>
        </w:tc>
        <w:tc>
          <w:tcPr>
            <w:tcW w:w="0" w:type="auto"/>
            <w:vMerge w:val="restart"/>
            <w:tcMar>
              <w:top w:w="142" w:type="dxa"/>
              <w:left w:w="142" w:type="dxa"/>
              <w:bottom w:w="142" w:type="dxa"/>
              <w:right w:w="142" w:type="dxa"/>
            </w:tcMar>
            <w:hideMark/>
          </w:tcPr>
          <w:p w14:paraId="2ED29B18" w14:textId="77777777" w:rsidR="00AE0FE0" w:rsidRPr="00883B96" w:rsidRDefault="00AE0FE0">
            <w:pPr>
              <w:pStyle w:val="NormalWeb"/>
              <w:rPr>
                <w:color w:val="FFFFFF" w:themeColor="background1"/>
              </w:rPr>
            </w:pPr>
            <w:r w:rsidRPr="00883B96">
              <w:rPr>
                <w:color w:val="FFFFFF" w:themeColor="background1"/>
              </w:rPr>
              <w:t xml:space="preserve">Vaccine Doses 2016 </w:t>
            </w:r>
            <w:r w:rsidRPr="00383EA5">
              <w:rPr>
                <w:color w:val="FFFFFF" w:themeColor="background1"/>
                <w:vertAlign w:val="superscript"/>
              </w:rPr>
              <w:t>‡</w:t>
            </w:r>
          </w:p>
        </w:tc>
        <w:tc>
          <w:tcPr>
            <w:tcW w:w="0" w:type="auto"/>
            <w:gridSpan w:val="2"/>
            <w:tcMar>
              <w:top w:w="142" w:type="dxa"/>
              <w:left w:w="142" w:type="dxa"/>
              <w:bottom w:w="142" w:type="dxa"/>
              <w:right w:w="142" w:type="dxa"/>
            </w:tcMar>
            <w:hideMark/>
          </w:tcPr>
          <w:p w14:paraId="6094A562" w14:textId="77777777" w:rsidR="00AE0FE0" w:rsidRPr="00883B96" w:rsidRDefault="00AE0FE0">
            <w:pPr>
              <w:pStyle w:val="NormalWeb"/>
              <w:rPr>
                <w:color w:val="FFFFFF" w:themeColor="background1"/>
              </w:rPr>
            </w:pPr>
            <w:r w:rsidRPr="00883B96">
              <w:rPr>
                <w:color w:val="FFFFFF" w:themeColor="background1"/>
              </w:rPr>
              <w:t>Reporting rate</w:t>
            </w:r>
            <w:r w:rsidRPr="00883B96">
              <w:rPr>
                <w:color w:val="FFFFFF" w:themeColor="background1"/>
              </w:rPr>
              <w:br/>
              <w:t>per 100,000 doses</w:t>
            </w:r>
            <w:r w:rsidRPr="00383EA5">
              <w:rPr>
                <w:color w:val="FFFFFF" w:themeColor="background1"/>
                <w:vertAlign w:val="superscript"/>
              </w:rPr>
              <w:t>§</w:t>
            </w:r>
            <w:r w:rsidRPr="00883B96">
              <w:rPr>
                <w:color w:val="FFFFFF" w:themeColor="background1"/>
              </w:rPr>
              <w:t xml:space="preserve"> (95% CI) </w:t>
            </w:r>
          </w:p>
        </w:tc>
      </w:tr>
      <w:tr w:rsidR="00C160AF" w14:paraId="1D5EF3CB" w14:textId="77777777" w:rsidTr="00CB2C99">
        <w:trPr>
          <w:cnfStyle w:val="100000000000" w:firstRow="1" w:lastRow="0" w:firstColumn="0" w:lastColumn="0" w:oddVBand="0" w:evenVBand="0" w:oddHBand="0" w:evenHBand="0" w:firstRowFirstColumn="0" w:firstRowLastColumn="0" w:lastRowFirstColumn="0" w:lastRowLastColumn="0"/>
          <w:tblHeader/>
        </w:trPr>
        <w:tc>
          <w:tcPr>
            <w:tcW w:w="0" w:type="auto"/>
            <w:vMerge/>
            <w:tcMar>
              <w:top w:w="142" w:type="dxa"/>
              <w:left w:w="142" w:type="dxa"/>
              <w:bottom w:w="142" w:type="dxa"/>
              <w:right w:w="142" w:type="dxa"/>
            </w:tcMar>
            <w:hideMark/>
          </w:tcPr>
          <w:p w14:paraId="3ACC9243" w14:textId="77777777" w:rsidR="00AE0FE0" w:rsidRPr="00883B96" w:rsidRDefault="00AE0FE0">
            <w:pPr>
              <w:rPr>
                <w:color w:val="FFFFFF" w:themeColor="background1"/>
                <w:sz w:val="24"/>
                <w:szCs w:val="24"/>
              </w:rPr>
            </w:pPr>
          </w:p>
        </w:tc>
        <w:tc>
          <w:tcPr>
            <w:tcW w:w="0" w:type="auto"/>
            <w:vMerge/>
            <w:tcMar>
              <w:top w:w="142" w:type="dxa"/>
              <w:left w:w="142" w:type="dxa"/>
              <w:bottom w:w="142" w:type="dxa"/>
              <w:right w:w="142" w:type="dxa"/>
            </w:tcMar>
            <w:hideMark/>
          </w:tcPr>
          <w:p w14:paraId="5513EF27" w14:textId="77777777" w:rsidR="00AE0FE0" w:rsidRPr="00883B96" w:rsidRDefault="00AE0FE0">
            <w:pPr>
              <w:rPr>
                <w:color w:val="FFFFFF" w:themeColor="background1"/>
                <w:sz w:val="24"/>
                <w:szCs w:val="24"/>
              </w:rPr>
            </w:pPr>
          </w:p>
        </w:tc>
        <w:tc>
          <w:tcPr>
            <w:tcW w:w="0" w:type="auto"/>
            <w:vMerge/>
            <w:tcMar>
              <w:top w:w="142" w:type="dxa"/>
              <w:left w:w="142" w:type="dxa"/>
              <w:bottom w:w="142" w:type="dxa"/>
              <w:right w:w="142" w:type="dxa"/>
            </w:tcMar>
            <w:hideMark/>
          </w:tcPr>
          <w:p w14:paraId="78CA8AB3" w14:textId="77777777" w:rsidR="00AE0FE0" w:rsidRPr="00883B96" w:rsidRDefault="00AE0FE0">
            <w:pPr>
              <w:rPr>
                <w:color w:val="FFFFFF" w:themeColor="background1"/>
                <w:sz w:val="24"/>
                <w:szCs w:val="24"/>
              </w:rPr>
            </w:pPr>
          </w:p>
        </w:tc>
        <w:tc>
          <w:tcPr>
            <w:tcW w:w="0" w:type="auto"/>
            <w:tcMar>
              <w:top w:w="142" w:type="dxa"/>
              <w:left w:w="142" w:type="dxa"/>
              <w:bottom w:w="142" w:type="dxa"/>
              <w:right w:w="142" w:type="dxa"/>
            </w:tcMar>
            <w:hideMark/>
          </w:tcPr>
          <w:p w14:paraId="0D37E593" w14:textId="77777777" w:rsidR="00AE0FE0" w:rsidRPr="00883B96" w:rsidRDefault="00AE0FE0">
            <w:pPr>
              <w:pStyle w:val="NormalWeb"/>
              <w:rPr>
                <w:color w:val="FFFFFF" w:themeColor="background1"/>
              </w:rPr>
            </w:pPr>
            <w:r w:rsidRPr="00883B96">
              <w:rPr>
                <w:color w:val="FFFFFF" w:themeColor="background1"/>
              </w:rPr>
              <w:t>2016</w:t>
            </w:r>
          </w:p>
        </w:tc>
        <w:tc>
          <w:tcPr>
            <w:tcW w:w="0" w:type="auto"/>
            <w:tcMar>
              <w:top w:w="142" w:type="dxa"/>
              <w:left w:w="142" w:type="dxa"/>
              <w:bottom w:w="142" w:type="dxa"/>
              <w:right w:w="142" w:type="dxa"/>
            </w:tcMar>
            <w:hideMark/>
          </w:tcPr>
          <w:p w14:paraId="346EE549" w14:textId="77777777" w:rsidR="00AE0FE0" w:rsidRPr="00883B96" w:rsidRDefault="00AE0FE0">
            <w:pPr>
              <w:pStyle w:val="NormalWeb"/>
              <w:rPr>
                <w:color w:val="FFFFFF" w:themeColor="background1"/>
              </w:rPr>
            </w:pPr>
            <w:r w:rsidRPr="00883B96">
              <w:rPr>
                <w:color w:val="FFFFFF" w:themeColor="background1"/>
              </w:rPr>
              <w:t>2015</w:t>
            </w:r>
          </w:p>
        </w:tc>
      </w:tr>
      <w:tr w:rsidR="00A705E5" w14:paraId="7311D3A0"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EBB7727" w14:textId="77777777" w:rsidR="00AE0FE0" w:rsidRDefault="00AE0FE0">
            <w:pPr>
              <w:pStyle w:val="NormalWeb"/>
            </w:pPr>
            <w:r>
              <w:t>&lt;7 years</w:t>
            </w:r>
          </w:p>
        </w:tc>
        <w:tc>
          <w:tcPr>
            <w:tcW w:w="0" w:type="auto"/>
            <w:tcMar>
              <w:top w:w="142" w:type="dxa"/>
              <w:left w:w="142" w:type="dxa"/>
              <w:bottom w:w="142" w:type="dxa"/>
              <w:right w:w="142" w:type="dxa"/>
            </w:tcMar>
            <w:hideMark/>
          </w:tcPr>
          <w:p w14:paraId="58D70D26"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4D205FEB" w14:textId="77777777" w:rsidR="00AE0FE0" w:rsidRDefault="00AE0FE0">
            <w:pPr>
              <w:rPr>
                <w:rFonts w:eastAsia="Times New Roman"/>
                <w:sz w:val="24"/>
                <w:szCs w:val="24"/>
              </w:rPr>
            </w:pPr>
            <w:r>
              <w:rPr>
                <w:rFonts w:eastAsia="Times New Roman"/>
              </w:rPr>
              <w:t> </w:t>
            </w:r>
          </w:p>
        </w:tc>
        <w:tc>
          <w:tcPr>
            <w:tcW w:w="0" w:type="auto"/>
            <w:gridSpan w:val="2"/>
            <w:tcMar>
              <w:top w:w="142" w:type="dxa"/>
              <w:left w:w="142" w:type="dxa"/>
              <w:bottom w:w="142" w:type="dxa"/>
              <w:right w:w="142" w:type="dxa"/>
            </w:tcMar>
            <w:hideMark/>
          </w:tcPr>
          <w:p w14:paraId="6E0C9089" w14:textId="77777777" w:rsidR="00AE0FE0" w:rsidRDefault="00AE0FE0">
            <w:pPr>
              <w:pStyle w:val="NormalWeb"/>
            </w:pPr>
            <w:r>
              <w:t>Rate (95% Confidence Interval)</w:t>
            </w:r>
          </w:p>
        </w:tc>
      </w:tr>
      <w:tr w:rsidR="00A705E5" w14:paraId="74BC00E0"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DF084B5" w14:textId="77777777" w:rsidR="00AE0FE0" w:rsidRDefault="00AE0FE0">
            <w:pPr>
              <w:pStyle w:val="NormalWeb"/>
            </w:pPr>
            <w:proofErr w:type="spellStart"/>
            <w:r>
              <w:t>DTPa</w:t>
            </w:r>
            <w:proofErr w:type="spellEnd"/>
            <w:r>
              <w:t>-containing vaccines</w:t>
            </w:r>
          </w:p>
        </w:tc>
        <w:tc>
          <w:tcPr>
            <w:tcW w:w="0" w:type="auto"/>
            <w:tcMar>
              <w:top w:w="142" w:type="dxa"/>
              <w:left w:w="142" w:type="dxa"/>
              <w:bottom w:w="142" w:type="dxa"/>
              <w:right w:w="142" w:type="dxa"/>
            </w:tcMar>
            <w:hideMark/>
          </w:tcPr>
          <w:p w14:paraId="5F1FD6AA" w14:textId="77777777" w:rsidR="00AE0FE0" w:rsidRDefault="00AE0FE0">
            <w:pPr>
              <w:pStyle w:val="NormalWeb"/>
            </w:pPr>
            <w:r>
              <w:t>1</w:t>
            </w:r>
            <w:r w:rsidR="001B4F09">
              <w:t>,</w:t>
            </w:r>
            <w:r>
              <w:t>165</w:t>
            </w:r>
          </w:p>
        </w:tc>
        <w:tc>
          <w:tcPr>
            <w:tcW w:w="0" w:type="auto"/>
            <w:tcMar>
              <w:top w:w="142" w:type="dxa"/>
              <w:left w:w="142" w:type="dxa"/>
              <w:bottom w:w="142" w:type="dxa"/>
              <w:right w:w="142" w:type="dxa"/>
            </w:tcMar>
            <w:hideMark/>
          </w:tcPr>
          <w:p w14:paraId="637B1976" w14:textId="77777777" w:rsidR="00AE0FE0" w:rsidRDefault="00AE0FE0">
            <w:pPr>
              <w:pStyle w:val="NormalWeb"/>
            </w:pPr>
            <w:r>
              <w:t>1</w:t>
            </w:r>
            <w:r w:rsidR="001B4F09">
              <w:t>,</w:t>
            </w:r>
            <w:r>
              <w:t>427</w:t>
            </w:r>
            <w:r w:rsidR="001B4F09">
              <w:t>,</w:t>
            </w:r>
            <w:r>
              <w:t>824</w:t>
            </w:r>
          </w:p>
        </w:tc>
        <w:tc>
          <w:tcPr>
            <w:tcW w:w="0" w:type="auto"/>
            <w:tcMar>
              <w:top w:w="142" w:type="dxa"/>
              <w:left w:w="142" w:type="dxa"/>
              <w:bottom w:w="142" w:type="dxa"/>
              <w:right w:w="142" w:type="dxa"/>
            </w:tcMar>
            <w:hideMark/>
          </w:tcPr>
          <w:p w14:paraId="048CBEAE" w14:textId="77777777" w:rsidR="00AE0FE0" w:rsidRDefault="00AE0FE0">
            <w:pPr>
              <w:pStyle w:val="NormalWeb"/>
            </w:pPr>
            <w:r>
              <w:t>81.6 (77.0–86.4)</w:t>
            </w:r>
          </w:p>
        </w:tc>
        <w:tc>
          <w:tcPr>
            <w:tcW w:w="0" w:type="auto"/>
            <w:tcMar>
              <w:top w:w="142" w:type="dxa"/>
              <w:left w:w="142" w:type="dxa"/>
              <w:bottom w:w="142" w:type="dxa"/>
              <w:right w:w="142" w:type="dxa"/>
            </w:tcMar>
            <w:hideMark/>
          </w:tcPr>
          <w:p w14:paraId="267BC186" w14:textId="77777777" w:rsidR="00AE0FE0" w:rsidRDefault="00AE0FE0">
            <w:pPr>
              <w:pStyle w:val="NormalWeb"/>
            </w:pPr>
            <w:r>
              <w:t>80.7 (75.7–86.0)</w:t>
            </w:r>
          </w:p>
        </w:tc>
      </w:tr>
      <w:tr w:rsidR="0011370B" w14:paraId="1174B240"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B7A915A" w14:textId="77777777" w:rsidR="00AE0FE0" w:rsidRDefault="00AE0FE0">
            <w:pPr>
              <w:pStyle w:val="NormalWeb"/>
            </w:pPr>
            <w:r>
              <w:t>Hexavalent</w:t>
            </w:r>
            <w:r>
              <w:br/>
              <w:t>(</w:t>
            </w:r>
            <w:proofErr w:type="spellStart"/>
            <w:r>
              <w:t>DTPa</w:t>
            </w:r>
            <w:proofErr w:type="spellEnd"/>
            <w:r>
              <w:t>-IPV-</w:t>
            </w:r>
            <w:proofErr w:type="spellStart"/>
            <w:r>
              <w:t>HepB</w:t>
            </w:r>
            <w:proofErr w:type="spellEnd"/>
            <w:r>
              <w:t>-Hib)</w:t>
            </w:r>
          </w:p>
        </w:tc>
        <w:tc>
          <w:tcPr>
            <w:tcW w:w="0" w:type="auto"/>
            <w:tcMar>
              <w:top w:w="142" w:type="dxa"/>
              <w:left w:w="142" w:type="dxa"/>
              <w:bottom w:w="142" w:type="dxa"/>
              <w:right w:w="142" w:type="dxa"/>
            </w:tcMar>
            <w:hideMark/>
          </w:tcPr>
          <w:p w14:paraId="58270CD3" w14:textId="77777777" w:rsidR="00AE0FE0" w:rsidRDefault="00AE0FE0">
            <w:pPr>
              <w:pStyle w:val="NormalWeb"/>
            </w:pPr>
            <w:r>
              <w:t>455</w:t>
            </w:r>
          </w:p>
        </w:tc>
        <w:tc>
          <w:tcPr>
            <w:tcW w:w="0" w:type="auto"/>
            <w:tcMar>
              <w:top w:w="142" w:type="dxa"/>
              <w:left w:w="142" w:type="dxa"/>
              <w:bottom w:w="142" w:type="dxa"/>
              <w:right w:w="142" w:type="dxa"/>
            </w:tcMar>
            <w:hideMark/>
          </w:tcPr>
          <w:p w14:paraId="6D23E07A" w14:textId="77777777" w:rsidR="00AE0FE0" w:rsidRDefault="00AE0FE0">
            <w:pPr>
              <w:pStyle w:val="NormalWeb"/>
            </w:pPr>
            <w:r>
              <w:t>884</w:t>
            </w:r>
            <w:r w:rsidR="001B4F09">
              <w:t>,</w:t>
            </w:r>
            <w:r>
              <w:t>158</w:t>
            </w:r>
          </w:p>
        </w:tc>
        <w:tc>
          <w:tcPr>
            <w:tcW w:w="0" w:type="auto"/>
            <w:tcMar>
              <w:top w:w="142" w:type="dxa"/>
              <w:left w:w="142" w:type="dxa"/>
              <w:bottom w:w="142" w:type="dxa"/>
              <w:right w:w="142" w:type="dxa"/>
            </w:tcMar>
            <w:hideMark/>
          </w:tcPr>
          <w:p w14:paraId="1467A2C2" w14:textId="77777777" w:rsidR="00AE0FE0" w:rsidRDefault="00AE0FE0">
            <w:pPr>
              <w:pStyle w:val="NormalWeb"/>
            </w:pPr>
            <w:r>
              <w:t>51.5 (46.8–56.4)</w:t>
            </w:r>
          </w:p>
        </w:tc>
        <w:tc>
          <w:tcPr>
            <w:tcW w:w="0" w:type="auto"/>
            <w:tcMar>
              <w:top w:w="142" w:type="dxa"/>
              <w:left w:w="142" w:type="dxa"/>
              <w:bottom w:w="142" w:type="dxa"/>
              <w:right w:w="142" w:type="dxa"/>
            </w:tcMar>
            <w:hideMark/>
          </w:tcPr>
          <w:p w14:paraId="66DB9875" w14:textId="77777777" w:rsidR="00AE0FE0" w:rsidRDefault="00AE0FE0">
            <w:pPr>
              <w:pStyle w:val="NormalWeb"/>
            </w:pPr>
            <w:r>
              <w:t>58.6 (53.6–63.9)</w:t>
            </w:r>
          </w:p>
        </w:tc>
      </w:tr>
      <w:tr w:rsidR="00A705E5" w14:paraId="4C310C1C"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4E6EA63" w14:textId="77777777" w:rsidR="00AE0FE0" w:rsidRDefault="00AE0FE0">
            <w:pPr>
              <w:pStyle w:val="NormalWeb"/>
            </w:pPr>
            <w:proofErr w:type="spellStart"/>
            <w:r>
              <w:t>DTPa</w:t>
            </w:r>
            <w:proofErr w:type="spellEnd"/>
            <w:r>
              <w:t>-IPV</w:t>
            </w:r>
          </w:p>
        </w:tc>
        <w:tc>
          <w:tcPr>
            <w:tcW w:w="0" w:type="auto"/>
            <w:tcMar>
              <w:top w:w="142" w:type="dxa"/>
              <w:left w:w="142" w:type="dxa"/>
              <w:bottom w:w="142" w:type="dxa"/>
              <w:right w:w="142" w:type="dxa"/>
            </w:tcMar>
            <w:hideMark/>
          </w:tcPr>
          <w:p w14:paraId="69BAA716" w14:textId="77777777" w:rsidR="00AE0FE0" w:rsidRDefault="00AE0FE0">
            <w:pPr>
              <w:pStyle w:val="NormalWeb"/>
            </w:pPr>
            <w:r>
              <w:t>411</w:t>
            </w:r>
          </w:p>
        </w:tc>
        <w:tc>
          <w:tcPr>
            <w:tcW w:w="0" w:type="auto"/>
            <w:tcMar>
              <w:top w:w="142" w:type="dxa"/>
              <w:left w:w="142" w:type="dxa"/>
              <w:bottom w:w="142" w:type="dxa"/>
              <w:right w:w="142" w:type="dxa"/>
            </w:tcMar>
            <w:hideMark/>
          </w:tcPr>
          <w:p w14:paraId="38A8F001" w14:textId="77777777" w:rsidR="00AE0FE0" w:rsidRDefault="00AE0FE0">
            <w:pPr>
              <w:pStyle w:val="NormalWeb"/>
            </w:pPr>
            <w:r>
              <w:t>310</w:t>
            </w:r>
            <w:r w:rsidR="001B4F09">
              <w:t>,</w:t>
            </w:r>
            <w:r>
              <w:t>854</w:t>
            </w:r>
          </w:p>
        </w:tc>
        <w:tc>
          <w:tcPr>
            <w:tcW w:w="0" w:type="auto"/>
            <w:tcMar>
              <w:top w:w="142" w:type="dxa"/>
              <w:left w:w="142" w:type="dxa"/>
              <w:bottom w:w="142" w:type="dxa"/>
              <w:right w:w="142" w:type="dxa"/>
            </w:tcMar>
            <w:hideMark/>
          </w:tcPr>
          <w:p w14:paraId="440C1740" w14:textId="77777777" w:rsidR="00AE0FE0" w:rsidRDefault="00AE0FE0">
            <w:pPr>
              <w:pStyle w:val="NormalWeb"/>
            </w:pPr>
            <w:r>
              <w:t>132.2 (119.7–145.6)</w:t>
            </w:r>
          </w:p>
        </w:tc>
        <w:tc>
          <w:tcPr>
            <w:tcW w:w="0" w:type="auto"/>
            <w:tcMar>
              <w:top w:w="142" w:type="dxa"/>
              <w:left w:w="142" w:type="dxa"/>
              <w:bottom w:w="142" w:type="dxa"/>
              <w:right w:w="142" w:type="dxa"/>
            </w:tcMar>
            <w:hideMark/>
          </w:tcPr>
          <w:p w14:paraId="1EE4D7A1" w14:textId="77777777" w:rsidR="00AE0FE0" w:rsidRDefault="00AE0FE0">
            <w:pPr>
              <w:pStyle w:val="NormalWeb"/>
            </w:pPr>
            <w:r>
              <w:t>142.5 (129.5–156.4)</w:t>
            </w:r>
          </w:p>
        </w:tc>
      </w:tr>
      <w:tr w:rsidR="0011370B" w14:paraId="4DE47457"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0AA7919"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76F46F46" w14:textId="77777777" w:rsidR="00AE0FE0" w:rsidRDefault="00AE0FE0">
            <w:pPr>
              <w:pStyle w:val="NormalWeb"/>
            </w:pPr>
            <w:r>
              <w:t>296</w:t>
            </w:r>
          </w:p>
        </w:tc>
        <w:tc>
          <w:tcPr>
            <w:tcW w:w="0" w:type="auto"/>
            <w:tcMar>
              <w:top w:w="142" w:type="dxa"/>
              <w:left w:w="142" w:type="dxa"/>
              <w:bottom w:w="142" w:type="dxa"/>
              <w:right w:w="142" w:type="dxa"/>
            </w:tcMar>
            <w:hideMark/>
          </w:tcPr>
          <w:p w14:paraId="1A5DBD4E" w14:textId="77777777" w:rsidR="00AE0FE0" w:rsidRDefault="00AE0FE0">
            <w:pPr>
              <w:pStyle w:val="NormalWeb"/>
            </w:pPr>
            <w:r>
              <w:t>232</w:t>
            </w:r>
            <w:r w:rsidR="001B4F09">
              <w:t>,</w:t>
            </w:r>
            <w:r>
              <w:t>812</w:t>
            </w:r>
          </w:p>
        </w:tc>
        <w:tc>
          <w:tcPr>
            <w:tcW w:w="0" w:type="auto"/>
            <w:tcMar>
              <w:top w:w="142" w:type="dxa"/>
              <w:left w:w="142" w:type="dxa"/>
              <w:bottom w:w="142" w:type="dxa"/>
              <w:right w:w="142" w:type="dxa"/>
            </w:tcMar>
            <w:hideMark/>
          </w:tcPr>
          <w:p w14:paraId="193409F8" w14:textId="77777777" w:rsidR="00AE0FE0" w:rsidRDefault="00AE0FE0">
            <w:pPr>
              <w:pStyle w:val="NormalWeb"/>
            </w:pPr>
            <w:r>
              <w:t>127.1 (113.1–142.5)</w:t>
            </w:r>
          </w:p>
        </w:tc>
        <w:tc>
          <w:tcPr>
            <w:tcW w:w="0" w:type="auto"/>
            <w:tcMar>
              <w:top w:w="142" w:type="dxa"/>
              <w:left w:w="142" w:type="dxa"/>
              <w:bottom w:w="142" w:type="dxa"/>
              <w:right w:w="142" w:type="dxa"/>
            </w:tcMar>
            <w:hideMark/>
          </w:tcPr>
          <w:p w14:paraId="7C6F1E25" w14:textId="77777777" w:rsidR="00AE0FE0" w:rsidRDefault="00AE0FE0">
            <w:pPr>
              <w:pStyle w:val="NormalWeb"/>
            </w:pPr>
            <w:r>
              <w:t>–</w:t>
            </w:r>
          </w:p>
        </w:tc>
      </w:tr>
      <w:tr w:rsidR="00A705E5" w14:paraId="018279D4"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0501408" w14:textId="77777777" w:rsidR="00AE0FE0" w:rsidRDefault="00AE0FE0">
            <w:pPr>
              <w:pStyle w:val="NormalWeb"/>
            </w:pPr>
            <w:r>
              <w:t>Pneumococcal conjugate -13PCV</w:t>
            </w:r>
          </w:p>
        </w:tc>
        <w:tc>
          <w:tcPr>
            <w:tcW w:w="0" w:type="auto"/>
            <w:tcMar>
              <w:top w:w="142" w:type="dxa"/>
              <w:left w:w="142" w:type="dxa"/>
              <w:bottom w:w="142" w:type="dxa"/>
              <w:right w:w="142" w:type="dxa"/>
            </w:tcMar>
            <w:hideMark/>
          </w:tcPr>
          <w:p w14:paraId="2B1D5C5C" w14:textId="77777777" w:rsidR="00AE0FE0" w:rsidRDefault="00AE0FE0">
            <w:pPr>
              <w:pStyle w:val="NormalWeb"/>
            </w:pPr>
            <w:r>
              <w:t>424</w:t>
            </w:r>
          </w:p>
        </w:tc>
        <w:tc>
          <w:tcPr>
            <w:tcW w:w="0" w:type="auto"/>
            <w:tcMar>
              <w:top w:w="142" w:type="dxa"/>
              <w:left w:w="142" w:type="dxa"/>
              <w:bottom w:w="142" w:type="dxa"/>
              <w:right w:w="142" w:type="dxa"/>
            </w:tcMar>
            <w:hideMark/>
          </w:tcPr>
          <w:p w14:paraId="206D0D04" w14:textId="77777777" w:rsidR="00AE0FE0" w:rsidRDefault="00AE0FE0">
            <w:pPr>
              <w:pStyle w:val="NormalWeb"/>
            </w:pPr>
            <w:r>
              <w:t>896</w:t>
            </w:r>
            <w:r w:rsidR="001B4F09">
              <w:t>,</w:t>
            </w:r>
            <w:r>
              <w:t>728</w:t>
            </w:r>
          </w:p>
        </w:tc>
        <w:tc>
          <w:tcPr>
            <w:tcW w:w="0" w:type="auto"/>
            <w:tcMar>
              <w:top w:w="142" w:type="dxa"/>
              <w:left w:w="142" w:type="dxa"/>
              <w:bottom w:w="142" w:type="dxa"/>
              <w:right w:w="142" w:type="dxa"/>
            </w:tcMar>
            <w:hideMark/>
          </w:tcPr>
          <w:p w14:paraId="129912E5" w14:textId="77777777" w:rsidR="00AE0FE0" w:rsidRDefault="00AE0FE0">
            <w:pPr>
              <w:pStyle w:val="NormalWeb"/>
            </w:pPr>
            <w:r>
              <w:t>47.3 (42.9–52.0)</w:t>
            </w:r>
          </w:p>
        </w:tc>
        <w:tc>
          <w:tcPr>
            <w:tcW w:w="0" w:type="auto"/>
            <w:tcMar>
              <w:top w:w="142" w:type="dxa"/>
              <w:left w:w="142" w:type="dxa"/>
              <w:bottom w:w="142" w:type="dxa"/>
              <w:right w:w="142" w:type="dxa"/>
            </w:tcMar>
            <w:hideMark/>
          </w:tcPr>
          <w:p w14:paraId="157696C3" w14:textId="77777777" w:rsidR="00AE0FE0" w:rsidRDefault="00AE0FE0">
            <w:pPr>
              <w:pStyle w:val="NormalWeb"/>
            </w:pPr>
            <w:r>
              <w:t>54.8 (50.0–59.9)</w:t>
            </w:r>
          </w:p>
        </w:tc>
      </w:tr>
      <w:tr w:rsidR="0011370B" w14:paraId="0A50ED56"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5887C55" w14:textId="77777777" w:rsidR="00AE0FE0" w:rsidRDefault="00AE0FE0">
            <w:pPr>
              <w:pStyle w:val="NormalWeb"/>
            </w:pPr>
            <w:r>
              <w:t>Rotavirus vaccine</w:t>
            </w:r>
          </w:p>
        </w:tc>
        <w:tc>
          <w:tcPr>
            <w:tcW w:w="0" w:type="auto"/>
            <w:tcMar>
              <w:top w:w="142" w:type="dxa"/>
              <w:left w:w="142" w:type="dxa"/>
              <w:bottom w:w="142" w:type="dxa"/>
              <w:right w:w="142" w:type="dxa"/>
            </w:tcMar>
            <w:hideMark/>
          </w:tcPr>
          <w:p w14:paraId="601672D7" w14:textId="77777777" w:rsidR="00AE0FE0" w:rsidRDefault="00AE0FE0">
            <w:pPr>
              <w:pStyle w:val="NormalWeb"/>
            </w:pPr>
            <w:r>
              <w:t>414</w:t>
            </w:r>
          </w:p>
        </w:tc>
        <w:tc>
          <w:tcPr>
            <w:tcW w:w="0" w:type="auto"/>
            <w:tcMar>
              <w:top w:w="142" w:type="dxa"/>
              <w:left w:w="142" w:type="dxa"/>
              <w:bottom w:w="142" w:type="dxa"/>
              <w:right w:w="142" w:type="dxa"/>
            </w:tcMar>
            <w:hideMark/>
          </w:tcPr>
          <w:p w14:paraId="58407CA7" w14:textId="77777777" w:rsidR="00AE0FE0" w:rsidRDefault="00AE0FE0">
            <w:pPr>
              <w:pStyle w:val="NormalWeb"/>
            </w:pPr>
            <w:r>
              <w:t>736</w:t>
            </w:r>
            <w:r w:rsidR="001B4F09">
              <w:t>,</w:t>
            </w:r>
            <w:r>
              <w:t>605</w:t>
            </w:r>
          </w:p>
        </w:tc>
        <w:tc>
          <w:tcPr>
            <w:tcW w:w="0" w:type="auto"/>
            <w:tcMar>
              <w:top w:w="142" w:type="dxa"/>
              <w:left w:w="142" w:type="dxa"/>
              <w:bottom w:w="142" w:type="dxa"/>
              <w:right w:w="142" w:type="dxa"/>
            </w:tcMar>
            <w:hideMark/>
          </w:tcPr>
          <w:p w14:paraId="3CFAE564" w14:textId="77777777" w:rsidR="00AE0FE0" w:rsidRDefault="00AE0FE0">
            <w:pPr>
              <w:pStyle w:val="NormalWeb"/>
            </w:pPr>
            <w:r>
              <w:t>56.2 (50.9–61.9)</w:t>
            </w:r>
          </w:p>
        </w:tc>
        <w:tc>
          <w:tcPr>
            <w:tcW w:w="0" w:type="auto"/>
            <w:tcMar>
              <w:top w:w="142" w:type="dxa"/>
              <w:left w:w="142" w:type="dxa"/>
              <w:bottom w:w="142" w:type="dxa"/>
              <w:right w:w="142" w:type="dxa"/>
            </w:tcMar>
            <w:hideMark/>
          </w:tcPr>
          <w:p w14:paraId="003EF530" w14:textId="77777777" w:rsidR="00AE0FE0" w:rsidRDefault="00AE0FE0">
            <w:pPr>
              <w:pStyle w:val="NormalWeb"/>
            </w:pPr>
            <w:r>
              <w:t>65.2 (59.4–71.4)</w:t>
            </w:r>
          </w:p>
        </w:tc>
      </w:tr>
      <w:tr w:rsidR="00A705E5" w14:paraId="12B6790F"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DADA6E0" w14:textId="77777777" w:rsidR="00AE0FE0" w:rsidRDefault="00AE0FE0">
            <w:pPr>
              <w:pStyle w:val="NormalWeb"/>
            </w:pPr>
            <w:r>
              <w:t>Measles-mumps-rubella-varicella</w:t>
            </w:r>
          </w:p>
        </w:tc>
        <w:tc>
          <w:tcPr>
            <w:tcW w:w="0" w:type="auto"/>
            <w:tcMar>
              <w:top w:w="142" w:type="dxa"/>
              <w:left w:w="142" w:type="dxa"/>
              <w:bottom w:w="142" w:type="dxa"/>
              <w:right w:w="142" w:type="dxa"/>
            </w:tcMar>
            <w:hideMark/>
          </w:tcPr>
          <w:p w14:paraId="69E7D527" w14:textId="77777777" w:rsidR="00AE0FE0" w:rsidRDefault="00AE0FE0">
            <w:pPr>
              <w:pStyle w:val="NormalWeb"/>
            </w:pPr>
            <w:r>
              <w:t>243</w:t>
            </w:r>
          </w:p>
        </w:tc>
        <w:tc>
          <w:tcPr>
            <w:tcW w:w="0" w:type="auto"/>
            <w:tcMar>
              <w:top w:w="142" w:type="dxa"/>
              <w:left w:w="142" w:type="dxa"/>
              <w:bottom w:w="142" w:type="dxa"/>
              <w:right w:w="142" w:type="dxa"/>
            </w:tcMar>
            <w:hideMark/>
          </w:tcPr>
          <w:p w14:paraId="7DE91866" w14:textId="77777777" w:rsidR="00AE0FE0" w:rsidRDefault="00AE0FE0">
            <w:pPr>
              <w:pStyle w:val="NormalWeb"/>
            </w:pPr>
            <w:r>
              <w:t>304</w:t>
            </w:r>
            <w:r w:rsidR="001B4F09">
              <w:t>,</w:t>
            </w:r>
            <w:r>
              <w:t>329</w:t>
            </w:r>
          </w:p>
        </w:tc>
        <w:tc>
          <w:tcPr>
            <w:tcW w:w="0" w:type="auto"/>
            <w:tcMar>
              <w:top w:w="142" w:type="dxa"/>
              <w:left w:w="142" w:type="dxa"/>
              <w:bottom w:w="142" w:type="dxa"/>
              <w:right w:w="142" w:type="dxa"/>
            </w:tcMar>
            <w:hideMark/>
          </w:tcPr>
          <w:p w14:paraId="7259FC16" w14:textId="77777777" w:rsidR="00AE0FE0" w:rsidRDefault="00AE0FE0">
            <w:pPr>
              <w:pStyle w:val="NormalWeb"/>
            </w:pPr>
            <w:r>
              <w:t>79.8 (70.1–90.5)</w:t>
            </w:r>
          </w:p>
        </w:tc>
        <w:tc>
          <w:tcPr>
            <w:tcW w:w="0" w:type="auto"/>
            <w:tcMar>
              <w:top w:w="142" w:type="dxa"/>
              <w:left w:w="142" w:type="dxa"/>
              <w:bottom w:w="142" w:type="dxa"/>
              <w:right w:w="142" w:type="dxa"/>
            </w:tcMar>
            <w:hideMark/>
          </w:tcPr>
          <w:p w14:paraId="0128BBBA" w14:textId="77777777" w:rsidR="00AE0FE0" w:rsidRDefault="00AE0FE0">
            <w:pPr>
              <w:pStyle w:val="NormalWeb"/>
            </w:pPr>
            <w:r>
              <w:t>77.0 (70.0–84.5)</w:t>
            </w:r>
          </w:p>
        </w:tc>
      </w:tr>
      <w:tr w:rsidR="0011370B" w14:paraId="76350453"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D4EE78C" w14:textId="77777777" w:rsidR="00AE0FE0" w:rsidRDefault="00AE0FE0">
            <w:pPr>
              <w:pStyle w:val="NormalWeb"/>
            </w:pPr>
            <w:r>
              <w:t>Measles-mumps-rubella</w:t>
            </w:r>
          </w:p>
        </w:tc>
        <w:tc>
          <w:tcPr>
            <w:tcW w:w="0" w:type="auto"/>
            <w:tcMar>
              <w:top w:w="142" w:type="dxa"/>
              <w:left w:w="142" w:type="dxa"/>
              <w:bottom w:w="142" w:type="dxa"/>
              <w:right w:w="142" w:type="dxa"/>
            </w:tcMar>
            <w:hideMark/>
          </w:tcPr>
          <w:p w14:paraId="5715ECEB" w14:textId="77777777" w:rsidR="00AE0FE0" w:rsidRDefault="00AE0FE0">
            <w:pPr>
              <w:pStyle w:val="NormalWeb"/>
            </w:pPr>
            <w:r>
              <w:t>218</w:t>
            </w:r>
          </w:p>
        </w:tc>
        <w:tc>
          <w:tcPr>
            <w:tcW w:w="0" w:type="auto"/>
            <w:tcMar>
              <w:top w:w="142" w:type="dxa"/>
              <w:left w:w="142" w:type="dxa"/>
              <w:bottom w:w="142" w:type="dxa"/>
              <w:right w:w="142" w:type="dxa"/>
            </w:tcMar>
            <w:hideMark/>
          </w:tcPr>
          <w:p w14:paraId="7F2EC9C3" w14:textId="77777777" w:rsidR="00AE0FE0" w:rsidRDefault="00AE0FE0">
            <w:pPr>
              <w:pStyle w:val="NormalWeb"/>
            </w:pPr>
            <w:r>
              <w:t>343</w:t>
            </w:r>
            <w:r w:rsidR="001B4F09">
              <w:t>,</w:t>
            </w:r>
            <w:r>
              <w:t>792</w:t>
            </w:r>
          </w:p>
        </w:tc>
        <w:tc>
          <w:tcPr>
            <w:tcW w:w="0" w:type="auto"/>
            <w:tcMar>
              <w:top w:w="142" w:type="dxa"/>
              <w:left w:w="142" w:type="dxa"/>
              <w:bottom w:w="142" w:type="dxa"/>
              <w:right w:w="142" w:type="dxa"/>
            </w:tcMar>
            <w:hideMark/>
          </w:tcPr>
          <w:p w14:paraId="40FF283D" w14:textId="77777777" w:rsidR="00AE0FE0" w:rsidRDefault="00AE0FE0">
            <w:pPr>
              <w:pStyle w:val="NormalWeb"/>
            </w:pPr>
            <w:r>
              <w:t>63.4 (55.3–72.4)</w:t>
            </w:r>
          </w:p>
        </w:tc>
        <w:tc>
          <w:tcPr>
            <w:tcW w:w="0" w:type="auto"/>
            <w:tcMar>
              <w:top w:w="142" w:type="dxa"/>
              <w:left w:w="142" w:type="dxa"/>
              <w:bottom w:w="142" w:type="dxa"/>
              <w:right w:w="142" w:type="dxa"/>
            </w:tcMar>
            <w:hideMark/>
          </w:tcPr>
          <w:p w14:paraId="17B7834E" w14:textId="77777777" w:rsidR="00AE0FE0" w:rsidRDefault="00AE0FE0">
            <w:pPr>
              <w:pStyle w:val="NormalWeb"/>
            </w:pPr>
            <w:r>
              <w:t>64.7 (56.0–74.3)</w:t>
            </w:r>
          </w:p>
        </w:tc>
      </w:tr>
      <w:tr w:rsidR="00A705E5" w14:paraId="6A1101D2"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AF3DECF" w14:textId="77777777" w:rsidR="00AE0FE0" w:rsidRDefault="00AE0FE0">
            <w:pPr>
              <w:pStyle w:val="NormalWeb"/>
            </w:pPr>
            <w:r>
              <w:t>Hib-</w:t>
            </w:r>
            <w:proofErr w:type="spellStart"/>
            <w:r>
              <w:t>MenC</w:t>
            </w:r>
            <w:proofErr w:type="spellEnd"/>
          </w:p>
        </w:tc>
        <w:tc>
          <w:tcPr>
            <w:tcW w:w="0" w:type="auto"/>
            <w:tcMar>
              <w:top w:w="142" w:type="dxa"/>
              <w:left w:w="142" w:type="dxa"/>
              <w:bottom w:w="142" w:type="dxa"/>
              <w:right w:w="142" w:type="dxa"/>
            </w:tcMar>
            <w:hideMark/>
          </w:tcPr>
          <w:p w14:paraId="28B79261" w14:textId="77777777" w:rsidR="00AE0FE0" w:rsidRDefault="00AE0FE0">
            <w:pPr>
              <w:pStyle w:val="NormalWeb"/>
            </w:pPr>
            <w:r>
              <w:t>152</w:t>
            </w:r>
          </w:p>
        </w:tc>
        <w:tc>
          <w:tcPr>
            <w:tcW w:w="0" w:type="auto"/>
            <w:tcMar>
              <w:top w:w="142" w:type="dxa"/>
              <w:left w:w="142" w:type="dxa"/>
              <w:bottom w:w="142" w:type="dxa"/>
              <w:right w:w="142" w:type="dxa"/>
            </w:tcMar>
            <w:hideMark/>
          </w:tcPr>
          <w:p w14:paraId="25774B5D" w14:textId="77777777" w:rsidR="00AE0FE0" w:rsidRDefault="00AE0FE0">
            <w:pPr>
              <w:pStyle w:val="NormalWeb"/>
            </w:pPr>
            <w:r>
              <w:t>307</w:t>
            </w:r>
            <w:r w:rsidR="001B4F09">
              <w:t>,</w:t>
            </w:r>
            <w:r>
              <w:t>332</w:t>
            </w:r>
          </w:p>
        </w:tc>
        <w:tc>
          <w:tcPr>
            <w:tcW w:w="0" w:type="auto"/>
            <w:tcMar>
              <w:top w:w="142" w:type="dxa"/>
              <w:left w:w="142" w:type="dxa"/>
              <w:bottom w:w="142" w:type="dxa"/>
              <w:right w:w="142" w:type="dxa"/>
            </w:tcMar>
            <w:hideMark/>
          </w:tcPr>
          <w:p w14:paraId="6C92E422" w14:textId="77777777" w:rsidR="00AE0FE0" w:rsidRDefault="00AE0FE0">
            <w:pPr>
              <w:pStyle w:val="NormalWeb"/>
            </w:pPr>
            <w:r>
              <w:t>49.5 (41.9–58.0)</w:t>
            </w:r>
          </w:p>
        </w:tc>
        <w:tc>
          <w:tcPr>
            <w:tcW w:w="0" w:type="auto"/>
            <w:tcMar>
              <w:top w:w="142" w:type="dxa"/>
              <w:left w:w="142" w:type="dxa"/>
              <w:bottom w:w="142" w:type="dxa"/>
              <w:right w:w="142" w:type="dxa"/>
            </w:tcMar>
            <w:hideMark/>
          </w:tcPr>
          <w:p w14:paraId="5A46D2C7" w14:textId="77777777" w:rsidR="00AE0FE0" w:rsidRDefault="00AE0FE0">
            <w:pPr>
              <w:pStyle w:val="NormalWeb"/>
            </w:pPr>
            <w:r>
              <w:t>33.3 (27.1–40.5)</w:t>
            </w:r>
          </w:p>
        </w:tc>
      </w:tr>
      <w:tr w:rsidR="0011370B" w14:paraId="47C5C9A9"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97FB3DA" w14:textId="77777777" w:rsidR="00AE0FE0" w:rsidRDefault="00AE0FE0">
            <w:pPr>
              <w:pStyle w:val="NormalWeb"/>
            </w:pPr>
            <w:r>
              <w:t>Seasonal influenza</w:t>
            </w:r>
          </w:p>
        </w:tc>
        <w:tc>
          <w:tcPr>
            <w:tcW w:w="0" w:type="auto"/>
            <w:tcMar>
              <w:top w:w="142" w:type="dxa"/>
              <w:left w:w="142" w:type="dxa"/>
              <w:bottom w:w="142" w:type="dxa"/>
              <w:right w:w="142" w:type="dxa"/>
            </w:tcMar>
            <w:hideMark/>
          </w:tcPr>
          <w:p w14:paraId="23236E84" w14:textId="77777777" w:rsidR="00AE0FE0" w:rsidRDefault="00AE0FE0">
            <w:pPr>
              <w:pStyle w:val="NormalWeb"/>
            </w:pPr>
            <w:r>
              <w:t>84</w:t>
            </w:r>
          </w:p>
        </w:tc>
        <w:tc>
          <w:tcPr>
            <w:tcW w:w="0" w:type="auto"/>
            <w:tcMar>
              <w:top w:w="142" w:type="dxa"/>
              <w:left w:w="142" w:type="dxa"/>
              <w:bottom w:w="142" w:type="dxa"/>
              <w:right w:w="142" w:type="dxa"/>
            </w:tcMar>
            <w:hideMark/>
          </w:tcPr>
          <w:p w14:paraId="215379E6" w14:textId="77777777" w:rsidR="00AE0FE0" w:rsidRDefault="00AE0FE0">
            <w:pPr>
              <w:pStyle w:val="NormalWeb"/>
            </w:pPr>
            <w:r>
              <w:t>77</w:t>
            </w:r>
            <w:r w:rsidR="001B4F09">
              <w:t>,</w:t>
            </w:r>
            <w:r>
              <w:t>042</w:t>
            </w:r>
          </w:p>
        </w:tc>
        <w:tc>
          <w:tcPr>
            <w:tcW w:w="0" w:type="auto"/>
            <w:tcMar>
              <w:top w:w="142" w:type="dxa"/>
              <w:left w:w="142" w:type="dxa"/>
              <w:bottom w:w="142" w:type="dxa"/>
              <w:right w:w="142" w:type="dxa"/>
            </w:tcMar>
            <w:hideMark/>
          </w:tcPr>
          <w:p w14:paraId="1A782C06" w14:textId="77777777" w:rsidR="00AE0FE0" w:rsidRDefault="00AE0FE0">
            <w:pPr>
              <w:pStyle w:val="NormalWeb"/>
            </w:pPr>
            <w:r>
              <w:t>109.0 (87.0–135.0)</w:t>
            </w:r>
          </w:p>
        </w:tc>
        <w:tc>
          <w:tcPr>
            <w:tcW w:w="0" w:type="auto"/>
            <w:tcMar>
              <w:top w:w="142" w:type="dxa"/>
              <w:left w:w="142" w:type="dxa"/>
              <w:bottom w:w="142" w:type="dxa"/>
              <w:right w:w="142" w:type="dxa"/>
            </w:tcMar>
            <w:hideMark/>
          </w:tcPr>
          <w:p w14:paraId="0F3D8FE4" w14:textId="77777777" w:rsidR="00AE0FE0" w:rsidRDefault="00AE0FE0">
            <w:pPr>
              <w:pStyle w:val="NormalWeb"/>
            </w:pPr>
            <w:r>
              <w:t>64.5 (48.0–84.8)</w:t>
            </w:r>
          </w:p>
        </w:tc>
      </w:tr>
      <w:tr w:rsidR="00A705E5" w14:paraId="20021CE4"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9D63C34" w14:textId="77777777" w:rsidR="00AE0FE0" w:rsidRDefault="00AE0FE0">
            <w:pPr>
              <w:pStyle w:val="NormalWeb"/>
            </w:pPr>
            <w:r>
              <w:t>Meningococcal B</w:t>
            </w:r>
          </w:p>
        </w:tc>
        <w:tc>
          <w:tcPr>
            <w:tcW w:w="0" w:type="auto"/>
            <w:tcMar>
              <w:top w:w="142" w:type="dxa"/>
              <w:left w:w="142" w:type="dxa"/>
              <w:bottom w:w="142" w:type="dxa"/>
              <w:right w:w="142" w:type="dxa"/>
            </w:tcMar>
            <w:hideMark/>
          </w:tcPr>
          <w:p w14:paraId="7AD04844" w14:textId="77777777" w:rsidR="00AE0FE0" w:rsidRDefault="00AE0FE0">
            <w:pPr>
              <w:pStyle w:val="NormalWeb"/>
            </w:pPr>
            <w:r>
              <w:t>57</w:t>
            </w:r>
          </w:p>
        </w:tc>
        <w:tc>
          <w:tcPr>
            <w:tcW w:w="0" w:type="auto"/>
            <w:tcMar>
              <w:top w:w="142" w:type="dxa"/>
              <w:left w:w="142" w:type="dxa"/>
              <w:bottom w:w="142" w:type="dxa"/>
              <w:right w:w="142" w:type="dxa"/>
            </w:tcMar>
            <w:hideMark/>
          </w:tcPr>
          <w:p w14:paraId="23714D72" w14:textId="77777777" w:rsidR="00AE0FE0" w:rsidRDefault="00AE0FE0">
            <w:pPr>
              <w:pStyle w:val="NormalWeb"/>
            </w:pPr>
            <w:r>
              <w:t>32</w:t>
            </w:r>
            <w:r w:rsidR="001B4F09">
              <w:t>,</w:t>
            </w:r>
            <w:r>
              <w:t>396</w:t>
            </w:r>
          </w:p>
        </w:tc>
        <w:tc>
          <w:tcPr>
            <w:tcW w:w="0" w:type="auto"/>
            <w:tcMar>
              <w:top w:w="142" w:type="dxa"/>
              <w:left w:w="142" w:type="dxa"/>
              <w:bottom w:w="142" w:type="dxa"/>
              <w:right w:w="142" w:type="dxa"/>
            </w:tcMar>
            <w:hideMark/>
          </w:tcPr>
          <w:p w14:paraId="4CB4C1E4" w14:textId="77777777" w:rsidR="00AE0FE0" w:rsidRDefault="00AE0FE0">
            <w:pPr>
              <w:pStyle w:val="NormalWeb"/>
            </w:pPr>
            <w:r>
              <w:t>175.9 (133.3–228.0)</w:t>
            </w:r>
          </w:p>
        </w:tc>
        <w:tc>
          <w:tcPr>
            <w:tcW w:w="0" w:type="auto"/>
            <w:tcMar>
              <w:top w:w="142" w:type="dxa"/>
              <w:left w:w="142" w:type="dxa"/>
              <w:bottom w:w="142" w:type="dxa"/>
              <w:right w:w="142" w:type="dxa"/>
            </w:tcMar>
            <w:hideMark/>
          </w:tcPr>
          <w:p w14:paraId="4D7F1980" w14:textId="77777777" w:rsidR="00AE0FE0" w:rsidRDefault="00AE0FE0">
            <w:pPr>
              <w:pStyle w:val="NormalWeb"/>
            </w:pPr>
            <w:r>
              <w:t>210.6 (150.4–286.8)</w:t>
            </w:r>
          </w:p>
        </w:tc>
      </w:tr>
      <w:tr w:rsidR="0011370B" w14:paraId="339514D1"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C1B250F" w14:textId="77777777" w:rsidR="00AE0FE0" w:rsidRDefault="00AE0FE0">
            <w:pPr>
              <w:pStyle w:val="NormalWeb"/>
            </w:pPr>
            <w:r>
              <w:t>Varicella</w:t>
            </w:r>
          </w:p>
        </w:tc>
        <w:tc>
          <w:tcPr>
            <w:tcW w:w="0" w:type="auto"/>
            <w:tcMar>
              <w:top w:w="142" w:type="dxa"/>
              <w:left w:w="142" w:type="dxa"/>
              <w:bottom w:w="142" w:type="dxa"/>
              <w:right w:w="142" w:type="dxa"/>
            </w:tcMar>
            <w:hideMark/>
          </w:tcPr>
          <w:p w14:paraId="086955D8" w14:textId="77777777" w:rsidR="00AE0FE0" w:rsidRDefault="00AE0FE0">
            <w:pPr>
              <w:pStyle w:val="NormalWeb"/>
            </w:pPr>
            <w:r>
              <w:t>14</w:t>
            </w:r>
          </w:p>
        </w:tc>
        <w:tc>
          <w:tcPr>
            <w:tcW w:w="0" w:type="auto"/>
            <w:tcMar>
              <w:top w:w="142" w:type="dxa"/>
              <w:left w:w="142" w:type="dxa"/>
              <w:bottom w:w="142" w:type="dxa"/>
              <w:right w:w="142" w:type="dxa"/>
            </w:tcMar>
            <w:hideMark/>
          </w:tcPr>
          <w:p w14:paraId="4C0EE515" w14:textId="77777777" w:rsidR="00AE0FE0" w:rsidRDefault="00AE0FE0">
            <w:pPr>
              <w:pStyle w:val="NormalWeb"/>
            </w:pPr>
            <w:r>
              <w:t>11</w:t>
            </w:r>
            <w:r w:rsidR="001B4F09">
              <w:t>,</w:t>
            </w:r>
            <w:r>
              <w:t>573</w:t>
            </w:r>
          </w:p>
        </w:tc>
        <w:tc>
          <w:tcPr>
            <w:tcW w:w="0" w:type="auto"/>
            <w:tcMar>
              <w:top w:w="142" w:type="dxa"/>
              <w:left w:w="142" w:type="dxa"/>
              <w:bottom w:w="142" w:type="dxa"/>
              <w:right w:w="142" w:type="dxa"/>
            </w:tcMar>
            <w:hideMark/>
          </w:tcPr>
          <w:p w14:paraId="72773782" w14:textId="77777777" w:rsidR="00AE0FE0" w:rsidRDefault="00AE0FE0">
            <w:pPr>
              <w:pStyle w:val="NormalWeb"/>
            </w:pPr>
            <w:r>
              <w:t>121.0 (66.1–203.0)</w:t>
            </w:r>
          </w:p>
        </w:tc>
        <w:tc>
          <w:tcPr>
            <w:tcW w:w="0" w:type="auto"/>
            <w:tcMar>
              <w:top w:w="142" w:type="dxa"/>
              <w:left w:w="142" w:type="dxa"/>
              <w:bottom w:w="142" w:type="dxa"/>
              <w:right w:w="142" w:type="dxa"/>
            </w:tcMar>
            <w:hideMark/>
          </w:tcPr>
          <w:p w14:paraId="6299711B" w14:textId="77777777" w:rsidR="00AE0FE0" w:rsidRDefault="00AE0FE0">
            <w:pPr>
              <w:pStyle w:val="NormalWeb"/>
            </w:pPr>
            <w:r>
              <w:t>76.2 (30.6–157.0)</w:t>
            </w:r>
          </w:p>
        </w:tc>
      </w:tr>
      <w:tr w:rsidR="00A705E5" w14:paraId="5678A963"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94C6100" w14:textId="77777777" w:rsidR="00AE0FE0" w:rsidRDefault="00AE0FE0">
            <w:pPr>
              <w:pStyle w:val="NormalWeb"/>
            </w:pPr>
            <w:r>
              <w:t>Hepatitis B</w:t>
            </w:r>
          </w:p>
        </w:tc>
        <w:tc>
          <w:tcPr>
            <w:tcW w:w="0" w:type="auto"/>
            <w:tcMar>
              <w:top w:w="142" w:type="dxa"/>
              <w:left w:w="142" w:type="dxa"/>
              <w:bottom w:w="142" w:type="dxa"/>
              <w:right w:w="142" w:type="dxa"/>
            </w:tcMar>
            <w:hideMark/>
          </w:tcPr>
          <w:p w14:paraId="02323D5B" w14:textId="77777777" w:rsidR="00AE0FE0" w:rsidRDefault="00AE0FE0">
            <w:pPr>
              <w:pStyle w:val="NormalWeb"/>
            </w:pPr>
            <w:r>
              <w:t>11</w:t>
            </w:r>
          </w:p>
        </w:tc>
        <w:tc>
          <w:tcPr>
            <w:tcW w:w="0" w:type="auto"/>
            <w:tcMar>
              <w:top w:w="142" w:type="dxa"/>
              <w:left w:w="142" w:type="dxa"/>
              <w:bottom w:w="142" w:type="dxa"/>
              <w:right w:w="142" w:type="dxa"/>
            </w:tcMar>
            <w:hideMark/>
          </w:tcPr>
          <w:p w14:paraId="5C688561" w14:textId="77777777" w:rsidR="00AE0FE0" w:rsidRDefault="00AE0FE0">
            <w:pPr>
              <w:pStyle w:val="NormalWeb"/>
            </w:pPr>
            <w:r>
              <w:t>45</w:t>
            </w:r>
            <w:r w:rsidR="001B4F09">
              <w:t>,</w:t>
            </w:r>
            <w:r>
              <w:t>229</w:t>
            </w:r>
          </w:p>
        </w:tc>
        <w:tc>
          <w:tcPr>
            <w:tcW w:w="0" w:type="auto"/>
            <w:tcMar>
              <w:top w:w="142" w:type="dxa"/>
              <w:left w:w="142" w:type="dxa"/>
              <w:bottom w:w="142" w:type="dxa"/>
              <w:right w:w="142" w:type="dxa"/>
            </w:tcMar>
            <w:hideMark/>
          </w:tcPr>
          <w:p w14:paraId="30D1B25C" w14:textId="77777777" w:rsidR="00AE0FE0" w:rsidRDefault="00AE0FE0">
            <w:pPr>
              <w:pStyle w:val="NormalWeb"/>
            </w:pPr>
            <w:r>
              <w:t>24.3 (12.1–43.5)</w:t>
            </w:r>
          </w:p>
        </w:tc>
        <w:tc>
          <w:tcPr>
            <w:tcW w:w="0" w:type="auto"/>
            <w:tcMar>
              <w:top w:w="142" w:type="dxa"/>
              <w:left w:w="142" w:type="dxa"/>
              <w:bottom w:w="142" w:type="dxa"/>
              <w:right w:w="142" w:type="dxa"/>
            </w:tcMar>
            <w:hideMark/>
          </w:tcPr>
          <w:p w14:paraId="77B42EE9" w14:textId="77777777" w:rsidR="00AE0FE0" w:rsidRDefault="00AE0FE0">
            <w:pPr>
              <w:pStyle w:val="NormalWeb"/>
            </w:pPr>
            <w:r>
              <w:t>–</w:t>
            </w:r>
          </w:p>
        </w:tc>
      </w:tr>
      <w:tr w:rsidR="0011370B" w14:paraId="34ABE1F4"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E0727D5" w14:textId="77777777" w:rsidR="00AE0FE0" w:rsidRDefault="00AE0FE0">
            <w:pPr>
              <w:pStyle w:val="NormalWeb"/>
            </w:pPr>
            <w:r>
              <w:t>Meningococcal C conjugate</w:t>
            </w:r>
          </w:p>
        </w:tc>
        <w:tc>
          <w:tcPr>
            <w:tcW w:w="0" w:type="auto"/>
            <w:tcMar>
              <w:top w:w="142" w:type="dxa"/>
              <w:left w:w="142" w:type="dxa"/>
              <w:bottom w:w="142" w:type="dxa"/>
              <w:right w:w="142" w:type="dxa"/>
            </w:tcMar>
            <w:hideMark/>
          </w:tcPr>
          <w:p w14:paraId="239013A9" w14:textId="77777777" w:rsidR="00AE0FE0" w:rsidRDefault="00AE0FE0">
            <w:pPr>
              <w:pStyle w:val="NormalWeb"/>
            </w:pPr>
            <w:r>
              <w:t>8</w:t>
            </w:r>
          </w:p>
        </w:tc>
        <w:tc>
          <w:tcPr>
            <w:tcW w:w="0" w:type="auto"/>
            <w:tcMar>
              <w:top w:w="142" w:type="dxa"/>
              <w:left w:w="142" w:type="dxa"/>
              <w:bottom w:w="142" w:type="dxa"/>
              <w:right w:w="142" w:type="dxa"/>
            </w:tcMar>
            <w:hideMark/>
          </w:tcPr>
          <w:p w14:paraId="694F08D8" w14:textId="77777777" w:rsidR="00AE0FE0" w:rsidRDefault="00AE0FE0">
            <w:pPr>
              <w:pStyle w:val="NormalWeb"/>
            </w:pPr>
            <w:r>
              <w:t>8</w:t>
            </w:r>
            <w:r w:rsidR="001B4F09">
              <w:t>,</w:t>
            </w:r>
            <w:r>
              <w:t>336</w:t>
            </w:r>
          </w:p>
        </w:tc>
        <w:tc>
          <w:tcPr>
            <w:tcW w:w="0" w:type="auto"/>
            <w:tcMar>
              <w:top w:w="142" w:type="dxa"/>
              <w:left w:w="142" w:type="dxa"/>
              <w:bottom w:w="142" w:type="dxa"/>
              <w:right w:w="142" w:type="dxa"/>
            </w:tcMar>
            <w:hideMark/>
          </w:tcPr>
          <w:p w14:paraId="18132721" w14:textId="77777777" w:rsidR="00AE0FE0" w:rsidRDefault="00AE0FE0">
            <w:pPr>
              <w:pStyle w:val="NormalWeb"/>
            </w:pPr>
            <w:r>
              <w:t>96.0 (41.4–189.1)</w:t>
            </w:r>
          </w:p>
        </w:tc>
        <w:tc>
          <w:tcPr>
            <w:tcW w:w="0" w:type="auto"/>
            <w:tcMar>
              <w:top w:w="142" w:type="dxa"/>
              <w:left w:w="142" w:type="dxa"/>
              <w:bottom w:w="142" w:type="dxa"/>
              <w:right w:w="142" w:type="dxa"/>
            </w:tcMar>
            <w:hideMark/>
          </w:tcPr>
          <w:p w14:paraId="31D0DC9B" w14:textId="77777777" w:rsidR="00AE0FE0" w:rsidRDefault="00AE0FE0">
            <w:pPr>
              <w:pStyle w:val="NormalWeb"/>
            </w:pPr>
            <w:r>
              <w:t>140.1 (56.3–288.7)</w:t>
            </w:r>
          </w:p>
        </w:tc>
      </w:tr>
      <w:tr w:rsidR="00A705E5" w14:paraId="191AB779"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1081798" w14:textId="77777777" w:rsidR="00AE0FE0" w:rsidRDefault="00AE0FE0">
            <w:pPr>
              <w:pStyle w:val="NormalWeb"/>
            </w:pPr>
            <w:r>
              <w:t>Haemophilus influenzae type b</w:t>
            </w:r>
          </w:p>
        </w:tc>
        <w:tc>
          <w:tcPr>
            <w:tcW w:w="0" w:type="auto"/>
            <w:tcMar>
              <w:top w:w="142" w:type="dxa"/>
              <w:left w:w="142" w:type="dxa"/>
              <w:bottom w:w="142" w:type="dxa"/>
              <w:right w:w="142" w:type="dxa"/>
            </w:tcMar>
            <w:hideMark/>
          </w:tcPr>
          <w:p w14:paraId="6E7E06C5" w14:textId="77777777" w:rsidR="00AE0FE0" w:rsidRDefault="00AE0FE0">
            <w:pPr>
              <w:pStyle w:val="NormalWeb"/>
            </w:pPr>
            <w:r>
              <w:t>5</w:t>
            </w:r>
          </w:p>
        </w:tc>
        <w:tc>
          <w:tcPr>
            <w:tcW w:w="0" w:type="auto"/>
            <w:tcMar>
              <w:top w:w="142" w:type="dxa"/>
              <w:left w:w="142" w:type="dxa"/>
              <w:bottom w:w="142" w:type="dxa"/>
              <w:right w:w="142" w:type="dxa"/>
            </w:tcMar>
            <w:hideMark/>
          </w:tcPr>
          <w:p w14:paraId="73D6AAA0" w14:textId="77777777" w:rsidR="00AE0FE0" w:rsidRDefault="00AE0FE0">
            <w:pPr>
              <w:pStyle w:val="NormalWeb"/>
            </w:pPr>
            <w:r>
              <w:t>9</w:t>
            </w:r>
            <w:r w:rsidR="001B4F09">
              <w:t>,</w:t>
            </w:r>
            <w:r>
              <w:t>478</w:t>
            </w:r>
          </w:p>
        </w:tc>
        <w:tc>
          <w:tcPr>
            <w:tcW w:w="0" w:type="auto"/>
            <w:tcMar>
              <w:top w:w="142" w:type="dxa"/>
              <w:left w:w="142" w:type="dxa"/>
              <w:bottom w:w="142" w:type="dxa"/>
              <w:right w:w="142" w:type="dxa"/>
            </w:tcMar>
            <w:hideMark/>
          </w:tcPr>
          <w:p w14:paraId="0D5CAE18" w14:textId="77777777" w:rsidR="00AE0FE0" w:rsidRDefault="00AE0FE0">
            <w:pPr>
              <w:pStyle w:val="NormalWeb"/>
            </w:pPr>
            <w:r>
              <w:t>52.8 (17.1–123.1)</w:t>
            </w:r>
          </w:p>
        </w:tc>
        <w:tc>
          <w:tcPr>
            <w:tcW w:w="0" w:type="auto"/>
            <w:tcMar>
              <w:top w:w="142" w:type="dxa"/>
              <w:left w:w="142" w:type="dxa"/>
              <w:bottom w:w="142" w:type="dxa"/>
              <w:right w:w="142" w:type="dxa"/>
            </w:tcMar>
            <w:hideMark/>
          </w:tcPr>
          <w:p w14:paraId="378F8CD6" w14:textId="77777777" w:rsidR="00AE0FE0" w:rsidRDefault="00AE0FE0">
            <w:pPr>
              <w:pStyle w:val="NormalWeb"/>
            </w:pPr>
            <w:r>
              <w:t>62.1 (20.2–144.9)</w:t>
            </w:r>
          </w:p>
        </w:tc>
      </w:tr>
      <w:tr w:rsidR="00C160AF" w14:paraId="741BF50F"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0FD6C9B" w14:textId="77777777" w:rsidR="00AE0FE0" w:rsidRDefault="00AE0FE0">
            <w:pPr>
              <w:pStyle w:val="NormalWeb"/>
            </w:pPr>
            <w:r>
              <w:t>7–17 years</w:t>
            </w:r>
          </w:p>
        </w:tc>
        <w:tc>
          <w:tcPr>
            <w:tcW w:w="0" w:type="auto"/>
            <w:gridSpan w:val="2"/>
            <w:tcMar>
              <w:top w:w="142" w:type="dxa"/>
              <w:left w:w="142" w:type="dxa"/>
              <w:bottom w:w="142" w:type="dxa"/>
              <w:right w:w="142" w:type="dxa"/>
            </w:tcMar>
            <w:hideMark/>
          </w:tcPr>
          <w:p w14:paraId="053C5360"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76572DEA"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09895203" w14:textId="77777777" w:rsidR="00AE0FE0" w:rsidRDefault="00AE0FE0">
            <w:pPr>
              <w:rPr>
                <w:rFonts w:eastAsia="Times New Roman"/>
                <w:sz w:val="24"/>
                <w:szCs w:val="24"/>
              </w:rPr>
            </w:pPr>
            <w:r>
              <w:rPr>
                <w:rFonts w:eastAsia="Times New Roman"/>
              </w:rPr>
              <w:t> </w:t>
            </w:r>
          </w:p>
        </w:tc>
      </w:tr>
      <w:tr w:rsidR="00A705E5" w14:paraId="26C35E9E"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F953496" w14:textId="77777777" w:rsidR="00AE0FE0" w:rsidRDefault="00AE0FE0">
            <w:pPr>
              <w:pStyle w:val="NormalWeb"/>
            </w:pPr>
            <w:r>
              <w:t>HPV</w:t>
            </w:r>
          </w:p>
        </w:tc>
        <w:tc>
          <w:tcPr>
            <w:tcW w:w="0" w:type="auto"/>
            <w:tcMar>
              <w:top w:w="142" w:type="dxa"/>
              <w:left w:w="142" w:type="dxa"/>
              <w:bottom w:w="142" w:type="dxa"/>
              <w:right w:w="142" w:type="dxa"/>
            </w:tcMar>
            <w:hideMark/>
          </w:tcPr>
          <w:p w14:paraId="4A0F4D50" w14:textId="77777777" w:rsidR="00AE0FE0" w:rsidRDefault="00AE0FE0">
            <w:pPr>
              <w:pStyle w:val="NormalWeb"/>
            </w:pPr>
            <w:r>
              <w:t>373</w:t>
            </w:r>
          </w:p>
        </w:tc>
        <w:tc>
          <w:tcPr>
            <w:tcW w:w="0" w:type="auto"/>
            <w:tcMar>
              <w:top w:w="142" w:type="dxa"/>
              <w:left w:w="142" w:type="dxa"/>
              <w:bottom w:w="142" w:type="dxa"/>
              <w:right w:w="142" w:type="dxa"/>
            </w:tcMar>
            <w:hideMark/>
          </w:tcPr>
          <w:p w14:paraId="4815C26A" w14:textId="77777777" w:rsidR="00AE0FE0" w:rsidRDefault="00AE0FE0">
            <w:pPr>
              <w:pStyle w:val="NormalWeb"/>
            </w:pPr>
            <w:r>
              <w:t>n/a</w:t>
            </w:r>
          </w:p>
        </w:tc>
        <w:tc>
          <w:tcPr>
            <w:tcW w:w="0" w:type="auto"/>
            <w:tcMar>
              <w:top w:w="142" w:type="dxa"/>
              <w:left w:w="142" w:type="dxa"/>
              <w:bottom w:w="142" w:type="dxa"/>
              <w:right w:w="142" w:type="dxa"/>
            </w:tcMar>
            <w:hideMark/>
          </w:tcPr>
          <w:p w14:paraId="05D039DF" w14:textId="77777777" w:rsidR="00AE0FE0" w:rsidRDefault="00AE0FE0">
            <w:pPr>
              <w:pStyle w:val="NormalWeb"/>
            </w:pPr>
            <w:r>
              <w:t>–</w:t>
            </w:r>
          </w:p>
        </w:tc>
        <w:tc>
          <w:tcPr>
            <w:tcW w:w="0" w:type="auto"/>
            <w:tcMar>
              <w:top w:w="142" w:type="dxa"/>
              <w:left w:w="142" w:type="dxa"/>
              <w:bottom w:w="142" w:type="dxa"/>
              <w:right w:w="142" w:type="dxa"/>
            </w:tcMar>
            <w:hideMark/>
          </w:tcPr>
          <w:p w14:paraId="2048DFEE" w14:textId="77777777" w:rsidR="00AE0FE0" w:rsidRDefault="00AE0FE0">
            <w:pPr>
              <w:pStyle w:val="NormalWeb"/>
            </w:pPr>
            <w:r>
              <w:t>–</w:t>
            </w:r>
          </w:p>
        </w:tc>
      </w:tr>
      <w:tr w:rsidR="0011370B" w14:paraId="68D73AE5"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0118CDF" w14:textId="77777777" w:rsidR="00AE0FE0" w:rsidRDefault="00AE0FE0">
            <w:pPr>
              <w:pStyle w:val="NormalWeb"/>
            </w:pPr>
            <w:proofErr w:type="spellStart"/>
            <w:r>
              <w:lastRenderedPageBreak/>
              <w:t>dTpa</w:t>
            </w:r>
            <w:proofErr w:type="spellEnd"/>
          </w:p>
        </w:tc>
        <w:tc>
          <w:tcPr>
            <w:tcW w:w="0" w:type="auto"/>
            <w:tcMar>
              <w:top w:w="142" w:type="dxa"/>
              <w:left w:w="142" w:type="dxa"/>
              <w:bottom w:w="142" w:type="dxa"/>
              <w:right w:w="142" w:type="dxa"/>
            </w:tcMar>
            <w:hideMark/>
          </w:tcPr>
          <w:p w14:paraId="2C5606B4" w14:textId="77777777" w:rsidR="00AE0FE0" w:rsidRDefault="00AE0FE0">
            <w:pPr>
              <w:pStyle w:val="NormalWeb"/>
            </w:pPr>
            <w:r>
              <w:t>212</w:t>
            </w:r>
          </w:p>
        </w:tc>
        <w:tc>
          <w:tcPr>
            <w:tcW w:w="0" w:type="auto"/>
            <w:tcMar>
              <w:top w:w="142" w:type="dxa"/>
              <w:left w:w="142" w:type="dxa"/>
              <w:bottom w:w="142" w:type="dxa"/>
              <w:right w:w="142" w:type="dxa"/>
            </w:tcMar>
            <w:hideMark/>
          </w:tcPr>
          <w:p w14:paraId="7B4BEA00" w14:textId="77777777" w:rsidR="00AE0FE0" w:rsidRDefault="00AE0FE0">
            <w:pPr>
              <w:pStyle w:val="NormalWeb"/>
            </w:pPr>
            <w:r>
              <w:t>n/a</w:t>
            </w:r>
          </w:p>
        </w:tc>
        <w:tc>
          <w:tcPr>
            <w:tcW w:w="0" w:type="auto"/>
            <w:tcMar>
              <w:top w:w="142" w:type="dxa"/>
              <w:left w:w="142" w:type="dxa"/>
              <w:bottom w:w="142" w:type="dxa"/>
              <w:right w:w="142" w:type="dxa"/>
            </w:tcMar>
            <w:hideMark/>
          </w:tcPr>
          <w:p w14:paraId="2A5CEE33" w14:textId="77777777" w:rsidR="00AE0FE0" w:rsidRDefault="00AE0FE0">
            <w:pPr>
              <w:pStyle w:val="NormalWeb"/>
            </w:pPr>
            <w:r>
              <w:t>–</w:t>
            </w:r>
          </w:p>
        </w:tc>
        <w:tc>
          <w:tcPr>
            <w:tcW w:w="0" w:type="auto"/>
            <w:tcMar>
              <w:top w:w="142" w:type="dxa"/>
              <w:left w:w="142" w:type="dxa"/>
              <w:bottom w:w="142" w:type="dxa"/>
              <w:right w:w="142" w:type="dxa"/>
            </w:tcMar>
            <w:hideMark/>
          </w:tcPr>
          <w:p w14:paraId="4A2AD918" w14:textId="77777777" w:rsidR="00AE0FE0" w:rsidRDefault="00AE0FE0">
            <w:pPr>
              <w:pStyle w:val="NormalWeb"/>
            </w:pPr>
            <w:r>
              <w:t>–</w:t>
            </w:r>
          </w:p>
        </w:tc>
      </w:tr>
      <w:tr w:rsidR="00A705E5" w14:paraId="21DBC500"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3FB407B" w14:textId="77777777" w:rsidR="00AE0FE0" w:rsidRDefault="00AE0FE0">
            <w:pPr>
              <w:pStyle w:val="NormalWeb"/>
            </w:pPr>
            <w:r>
              <w:t>Varicella</w:t>
            </w:r>
          </w:p>
        </w:tc>
        <w:tc>
          <w:tcPr>
            <w:tcW w:w="0" w:type="auto"/>
            <w:tcMar>
              <w:top w:w="142" w:type="dxa"/>
              <w:left w:w="142" w:type="dxa"/>
              <w:bottom w:w="142" w:type="dxa"/>
              <w:right w:w="142" w:type="dxa"/>
            </w:tcMar>
            <w:hideMark/>
          </w:tcPr>
          <w:p w14:paraId="78E567A0" w14:textId="77777777" w:rsidR="00AE0FE0" w:rsidRDefault="00AE0FE0">
            <w:pPr>
              <w:pStyle w:val="NormalWeb"/>
            </w:pPr>
            <w:r>
              <w:t>116</w:t>
            </w:r>
          </w:p>
        </w:tc>
        <w:tc>
          <w:tcPr>
            <w:tcW w:w="0" w:type="auto"/>
            <w:tcMar>
              <w:top w:w="142" w:type="dxa"/>
              <w:left w:w="142" w:type="dxa"/>
              <w:bottom w:w="142" w:type="dxa"/>
              <w:right w:w="142" w:type="dxa"/>
            </w:tcMar>
            <w:hideMark/>
          </w:tcPr>
          <w:p w14:paraId="13C56721" w14:textId="77777777" w:rsidR="00AE0FE0" w:rsidRDefault="00AE0FE0">
            <w:pPr>
              <w:pStyle w:val="NormalWeb"/>
            </w:pPr>
            <w:r>
              <w:t>n/a</w:t>
            </w:r>
          </w:p>
        </w:tc>
        <w:tc>
          <w:tcPr>
            <w:tcW w:w="0" w:type="auto"/>
            <w:tcMar>
              <w:top w:w="142" w:type="dxa"/>
              <w:left w:w="142" w:type="dxa"/>
              <w:bottom w:w="142" w:type="dxa"/>
              <w:right w:w="142" w:type="dxa"/>
            </w:tcMar>
            <w:hideMark/>
          </w:tcPr>
          <w:p w14:paraId="17121629" w14:textId="77777777" w:rsidR="00AE0FE0" w:rsidRDefault="00AE0FE0">
            <w:pPr>
              <w:pStyle w:val="NormalWeb"/>
            </w:pPr>
            <w:r>
              <w:t>–</w:t>
            </w:r>
          </w:p>
        </w:tc>
        <w:tc>
          <w:tcPr>
            <w:tcW w:w="0" w:type="auto"/>
            <w:tcMar>
              <w:top w:w="142" w:type="dxa"/>
              <w:left w:w="142" w:type="dxa"/>
              <w:bottom w:w="142" w:type="dxa"/>
              <w:right w:w="142" w:type="dxa"/>
            </w:tcMar>
            <w:hideMark/>
          </w:tcPr>
          <w:p w14:paraId="2BE8ED13" w14:textId="77777777" w:rsidR="00AE0FE0" w:rsidRDefault="00AE0FE0">
            <w:pPr>
              <w:pStyle w:val="NormalWeb"/>
            </w:pPr>
            <w:r>
              <w:t>–</w:t>
            </w:r>
          </w:p>
        </w:tc>
      </w:tr>
      <w:tr w:rsidR="0011370B" w14:paraId="0C3EBFE7"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7215557" w14:textId="77777777" w:rsidR="00AE0FE0" w:rsidRDefault="00AE0FE0">
            <w:pPr>
              <w:pStyle w:val="NormalWeb"/>
            </w:pPr>
            <w:r>
              <w:t>Seasonal influenza</w:t>
            </w:r>
          </w:p>
        </w:tc>
        <w:tc>
          <w:tcPr>
            <w:tcW w:w="0" w:type="auto"/>
            <w:tcMar>
              <w:top w:w="142" w:type="dxa"/>
              <w:left w:w="142" w:type="dxa"/>
              <w:bottom w:w="142" w:type="dxa"/>
              <w:right w:w="142" w:type="dxa"/>
            </w:tcMar>
            <w:hideMark/>
          </w:tcPr>
          <w:p w14:paraId="24D390E5" w14:textId="77777777" w:rsidR="00AE0FE0" w:rsidRDefault="00AE0FE0">
            <w:pPr>
              <w:pStyle w:val="NormalWeb"/>
            </w:pPr>
            <w:r>
              <w:t>30</w:t>
            </w:r>
          </w:p>
        </w:tc>
        <w:tc>
          <w:tcPr>
            <w:tcW w:w="0" w:type="auto"/>
            <w:tcMar>
              <w:top w:w="142" w:type="dxa"/>
              <w:left w:w="142" w:type="dxa"/>
              <w:bottom w:w="142" w:type="dxa"/>
              <w:right w:w="142" w:type="dxa"/>
            </w:tcMar>
            <w:hideMark/>
          </w:tcPr>
          <w:p w14:paraId="636A740F" w14:textId="77777777" w:rsidR="00AE0FE0" w:rsidRDefault="00AE0FE0">
            <w:pPr>
              <w:pStyle w:val="NormalWeb"/>
            </w:pPr>
            <w:r>
              <w:t>n/a</w:t>
            </w:r>
          </w:p>
        </w:tc>
        <w:tc>
          <w:tcPr>
            <w:tcW w:w="0" w:type="auto"/>
            <w:tcMar>
              <w:top w:w="142" w:type="dxa"/>
              <w:left w:w="142" w:type="dxa"/>
              <w:bottom w:w="142" w:type="dxa"/>
              <w:right w:w="142" w:type="dxa"/>
            </w:tcMar>
            <w:hideMark/>
          </w:tcPr>
          <w:p w14:paraId="05F35F9C" w14:textId="77777777" w:rsidR="00AE0FE0" w:rsidRDefault="00AE0FE0">
            <w:pPr>
              <w:pStyle w:val="NormalWeb"/>
            </w:pPr>
            <w:r>
              <w:t>–</w:t>
            </w:r>
          </w:p>
        </w:tc>
        <w:tc>
          <w:tcPr>
            <w:tcW w:w="0" w:type="auto"/>
            <w:tcMar>
              <w:top w:w="142" w:type="dxa"/>
              <w:left w:w="142" w:type="dxa"/>
              <w:bottom w:w="142" w:type="dxa"/>
              <w:right w:w="142" w:type="dxa"/>
            </w:tcMar>
            <w:hideMark/>
          </w:tcPr>
          <w:p w14:paraId="64A79652" w14:textId="77777777" w:rsidR="00AE0FE0" w:rsidRDefault="00AE0FE0">
            <w:pPr>
              <w:pStyle w:val="NormalWeb"/>
            </w:pPr>
            <w:r>
              <w:t>–</w:t>
            </w:r>
          </w:p>
        </w:tc>
      </w:tr>
      <w:tr w:rsidR="00A705E5" w14:paraId="42AABF3D"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E54BAE9" w14:textId="77777777" w:rsidR="00AE0FE0" w:rsidRDefault="00AE0FE0">
            <w:pPr>
              <w:pStyle w:val="NormalWeb"/>
            </w:pPr>
            <w:r>
              <w:t>Hepatitis B</w:t>
            </w:r>
          </w:p>
        </w:tc>
        <w:tc>
          <w:tcPr>
            <w:tcW w:w="0" w:type="auto"/>
            <w:tcMar>
              <w:top w:w="142" w:type="dxa"/>
              <w:left w:w="142" w:type="dxa"/>
              <w:bottom w:w="142" w:type="dxa"/>
              <w:right w:w="142" w:type="dxa"/>
            </w:tcMar>
            <w:hideMark/>
          </w:tcPr>
          <w:p w14:paraId="73936D1C" w14:textId="77777777" w:rsidR="00AE0FE0" w:rsidRDefault="00AE0FE0">
            <w:pPr>
              <w:pStyle w:val="NormalWeb"/>
            </w:pPr>
            <w:r>
              <w:t>23</w:t>
            </w:r>
          </w:p>
        </w:tc>
        <w:tc>
          <w:tcPr>
            <w:tcW w:w="0" w:type="auto"/>
            <w:tcMar>
              <w:top w:w="142" w:type="dxa"/>
              <w:left w:w="142" w:type="dxa"/>
              <w:bottom w:w="142" w:type="dxa"/>
              <w:right w:w="142" w:type="dxa"/>
            </w:tcMar>
            <w:hideMark/>
          </w:tcPr>
          <w:p w14:paraId="79CDBDA9" w14:textId="77777777" w:rsidR="00AE0FE0" w:rsidRDefault="00AE0FE0">
            <w:pPr>
              <w:pStyle w:val="NormalWeb"/>
            </w:pPr>
            <w:r>
              <w:t>n/a</w:t>
            </w:r>
          </w:p>
        </w:tc>
        <w:tc>
          <w:tcPr>
            <w:tcW w:w="0" w:type="auto"/>
            <w:tcMar>
              <w:top w:w="142" w:type="dxa"/>
              <w:left w:w="142" w:type="dxa"/>
              <w:bottom w:w="142" w:type="dxa"/>
              <w:right w:w="142" w:type="dxa"/>
            </w:tcMar>
            <w:hideMark/>
          </w:tcPr>
          <w:p w14:paraId="64F1EB36" w14:textId="77777777" w:rsidR="00AE0FE0" w:rsidRDefault="00AE0FE0">
            <w:pPr>
              <w:pStyle w:val="NormalWeb"/>
            </w:pPr>
            <w:r>
              <w:t>–</w:t>
            </w:r>
          </w:p>
        </w:tc>
        <w:tc>
          <w:tcPr>
            <w:tcW w:w="0" w:type="auto"/>
            <w:tcMar>
              <w:top w:w="142" w:type="dxa"/>
              <w:left w:w="142" w:type="dxa"/>
              <w:bottom w:w="142" w:type="dxa"/>
              <w:right w:w="142" w:type="dxa"/>
            </w:tcMar>
            <w:hideMark/>
          </w:tcPr>
          <w:p w14:paraId="2FD96955" w14:textId="77777777" w:rsidR="00AE0FE0" w:rsidRDefault="00AE0FE0">
            <w:pPr>
              <w:pStyle w:val="NormalWeb"/>
            </w:pPr>
            <w:r>
              <w:t>–</w:t>
            </w:r>
          </w:p>
        </w:tc>
      </w:tr>
      <w:tr w:rsidR="0011370B" w14:paraId="2671E438"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B776D70" w14:textId="77777777" w:rsidR="00AE0FE0" w:rsidRDefault="00AE0FE0">
            <w:pPr>
              <w:pStyle w:val="NormalWeb"/>
            </w:pPr>
            <w:r>
              <w:t>Measles-mumps-rubella</w:t>
            </w:r>
          </w:p>
        </w:tc>
        <w:tc>
          <w:tcPr>
            <w:tcW w:w="0" w:type="auto"/>
            <w:tcMar>
              <w:top w:w="142" w:type="dxa"/>
              <w:left w:w="142" w:type="dxa"/>
              <w:bottom w:w="142" w:type="dxa"/>
              <w:right w:w="142" w:type="dxa"/>
            </w:tcMar>
            <w:hideMark/>
          </w:tcPr>
          <w:p w14:paraId="1FAE3935" w14:textId="77777777" w:rsidR="00AE0FE0" w:rsidRDefault="00AE0FE0">
            <w:pPr>
              <w:pStyle w:val="NormalWeb"/>
            </w:pPr>
            <w:r>
              <w:t>22</w:t>
            </w:r>
          </w:p>
        </w:tc>
        <w:tc>
          <w:tcPr>
            <w:tcW w:w="0" w:type="auto"/>
            <w:tcMar>
              <w:top w:w="142" w:type="dxa"/>
              <w:left w:w="142" w:type="dxa"/>
              <w:bottom w:w="142" w:type="dxa"/>
              <w:right w:w="142" w:type="dxa"/>
            </w:tcMar>
            <w:hideMark/>
          </w:tcPr>
          <w:p w14:paraId="79D55FB9" w14:textId="77777777" w:rsidR="00AE0FE0" w:rsidRDefault="00AE0FE0">
            <w:pPr>
              <w:pStyle w:val="NormalWeb"/>
            </w:pPr>
            <w:r>
              <w:t>n/a</w:t>
            </w:r>
          </w:p>
        </w:tc>
        <w:tc>
          <w:tcPr>
            <w:tcW w:w="0" w:type="auto"/>
            <w:tcMar>
              <w:top w:w="142" w:type="dxa"/>
              <w:left w:w="142" w:type="dxa"/>
              <w:bottom w:w="142" w:type="dxa"/>
              <w:right w:w="142" w:type="dxa"/>
            </w:tcMar>
            <w:hideMark/>
          </w:tcPr>
          <w:p w14:paraId="09C62243" w14:textId="77777777" w:rsidR="00AE0FE0" w:rsidRDefault="00AE0FE0">
            <w:pPr>
              <w:pStyle w:val="NormalWeb"/>
            </w:pPr>
            <w:r>
              <w:t>–</w:t>
            </w:r>
          </w:p>
        </w:tc>
        <w:tc>
          <w:tcPr>
            <w:tcW w:w="0" w:type="auto"/>
            <w:tcMar>
              <w:top w:w="142" w:type="dxa"/>
              <w:left w:w="142" w:type="dxa"/>
              <w:bottom w:w="142" w:type="dxa"/>
              <w:right w:w="142" w:type="dxa"/>
            </w:tcMar>
            <w:hideMark/>
          </w:tcPr>
          <w:p w14:paraId="111D271B" w14:textId="77777777" w:rsidR="00AE0FE0" w:rsidRDefault="00AE0FE0">
            <w:pPr>
              <w:pStyle w:val="NormalWeb"/>
            </w:pPr>
            <w:r>
              <w:t>–</w:t>
            </w:r>
          </w:p>
        </w:tc>
      </w:tr>
      <w:tr w:rsidR="00A705E5" w14:paraId="5BF0D6C1"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A4CEEAA" w14:textId="77777777" w:rsidR="00AE0FE0" w:rsidRDefault="00AE0FE0">
            <w:pPr>
              <w:pStyle w:val="NormalWeb"/>
            </w:pPr>
            <w:proofErr w:type="spellStart"/>
            <w:r>
              <w:t>dTpa_ipv</w:t>
            </w:r>
            <w:proofErr w:type="spellEnd"/>
          </w:p>
        </w:tc>
        <w:tc>
          <w:tcPr>
            <w:tcW w:w="0" w:type="auto"/>
            <w:tcMar>
              <w:top w:w="142" w:type="dxa"/>
              <w:left w:w="142" w:type="dxa"/>
              <w:bottom w:w="142" w:type="dxa"/>
              <w:right w:w="142" w:type="dxa"/>
            </w:tcMar>
            <w:hideMark/>
          </w:tcPr>
          <w:p w14:paraId="746CE40B" w14:textId="77777777" w:rsidR="00AE0FE0" w:rsidRDefault="00AE0FE0">
            <w:pPr>
              <w:pStyle w:val="NormalWeb"/>
            </w:pPr>
            <w:r>
              <w:t>17</w:t>
            </w:r>
          </w:p>
        </w:tc>
        <w:tc>
          <w:tcPr>
            <w:tcW w:w="0" w:type="auto"/>
            <w:tcMar>
              <w:top w:w="142" w:type="dxa"/>
              <w:left w:w="142" w:type="dxa"/>
              <w:bottom w:w="142" w:type="dxa"/>
              <w:right w:w="142" w:type="dxa"/>
            </w:tcMar>
            <w:hideMark/>
          </w:tcPr>
          <w:p w14:paraId="1075769B" w14:textId="77777777" w:rsidR="00AE0FE0" w:rsidRDefault="00AE0FE0">
            <w:pPr>
              <w:pStyle w:val="NormalWeb"/>
            </w:pPr>
            <w:r>
              <w:t>n/a</w:t>
            </w:r>
          </w:p>
        </w:tc>
        <w:tc>
          <w:tcPr>
            <w:tcW w:w="0" w:type="auto"/>
            <w:tcMar>
              <w:top w:w="142" w:type="dxa"/>
              <w:left w:w="142" w:type="dxa"/>
              <w:bottom w:w="142" w:type="dxa"/>
              <w:right w:w="142" w:type="dxa"/>
            </w:tcMar>
            <w:hideMark/>
          </w:tcPr>
          <w:p w14:paraId="0553CE7C" w14:textId="77777777" w:rsidR="00AE0FE0" w:rsidRDefault="00AE0FE0">
            <w:pPr>
              <w:pStyle w:val="NormalWeb"/>
            </w:pPr>
            <w:r>
              <w:t>–</w:t>
            </w:r>
          </w:p>
        </w:tc>
        <w:tc>
          <w:tcPr>
            <w:tcW w:w="0" w:type="auto"/>
            <w:tcMar>
              <w:top w:w="142" w:type="dxa"/>
              <w:left w:w="142" w:type="dxa"/>
              <w:bottom w:w="142" w:type="dxa"/>
              <w:right w:w="142" w:type="dxa"/>
            </w:tcMar>
            <w:hideMark/>
          </w:tcPr>
          <w:p w14:paraId="7B252B08" w14:textId="77777777" w:rsidR="00AE0FE0" w:rsidRDefault="00AE0FE0">
            <w:pPr>
              <w:pStyle w:val="NormalWeb"/>
            </w:pPr>
            <w:r>
              <w:t>–</w:t>
            </w:r>
          </w:p>
        </w:tc>
      </w:tr>
      <w:tr w:rsidR="0011370B" w14:paraId="610CD934"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16B85E7" w14:textId="77777777" w:rsidR="00AE0FE0" w:rsidRDefault="00AE0FE0">
            <w:pPr>
              <w:pStyle w:val="NormalWeb"/>
            </w:pPr>
            <w:r>
              <w:t>23vPPV</w:t>
            </w:r>
          </w:p>
        </w:tc>
        <w:tc>
          <w:tcPr>
            <w:tcW w:w="0" w:type="auto"/>
            <w:tcMar>
              <w:top w:w="142" w:type="dxa"/>
              <w:left w:w="142" w:type="dxa"/>
              <w:bottom w:w="142" w:type="dxa"/>
              <w:right w:w="142" w:type="dxa"/>
            </w:tcMar>
            <w:hideMark/>
          </w:tcPr>
          <w:p w14:paraId="54FCB5F3" w14:textId="77777777" w:rsidR="00AE0FE0" w:rsidRDefault="00AE0FE0">
            <w:pPr>
              <w:pStyle w:val="NormalWeb"/>
            </w:pPr>
            <w:r>
              <w:t>17</w:t>
            </w:r>
          </w:p>
        </w:tc>
        <w:tc>
          <w:tcPr>
            <w:tcW w:w="0" w:type="auto"/>
            <w:tcMar>
              <w:top w:w="142" w:type="dxa"/>
              <w:left w:w="142" w:type="dxa"/>
              <w:bottom w:w="142" w:type="dxa"/>
              <w:right w:w="142" w:type="dxa"/>
            </w:tcMar>
            <w:hideMark/>
          </w:tcPr>
          <w:p w14:paraId="7DDD0C9B" w14:textId="77777777" w:rsidR="00AE0FE0" w:rsidRDefault="00AE0FE0">
            <w:pPr>
              <w:pStyle w:val="NormalWeb"/>
            </w:pPr>
            <w:r>
              <w:t>n/a</w:t>
            </w:r>
          </w:p>
        </w:tc>
        <w:tc>
          <w:tcPr>
            <w:tcW w:w="0" w:type="auto"/>
            <w:tcMar>
              <w:top w:w="142" w:type="dxa"/>
              <w:left w:w="142" w:type="dxa"/>
              <w:bottom w:w="142" w:type="dxa"/>
              <w:right w:w="142" w:type="dxa"/>
            </w:tcMar>
            <w:hideMark/>
          </w:tcPr>
          <w:p w14:paraId="243994A4" w14:textId="77777777" w:rsidR="00AE0FE0" w:rsidRDefault="00AE0FE0">
            <w:pPr>
              <w:pStyle w:val="NormalWeb"/>
            </w:pPr>
            <w:r>
              <w:t>–</w:t>
            </w:r>
          </w:p>
        </w:tc>
        <w:tc>
          <w:tcPr>
            <w:tcW w:w="0" w:type="auto"/>
            <w:tcMar>
              <w:top w:w="142" w:type="dxa"/>
              <w:left w:w="142" w:type="dxa"/>
              <w:bottom w:w="142" w:type="dxa"/>
              <w:right w:w="142" w:type="dxa"/>
            </w:tcMar>
            <w:hideMark/>
          </w:tcPr>
          <w:p w14:paraId="500814A5" w14:textId="77777777" w:rsidR="00AE0FE0" w:rsidRDefault="00AE0FE0">
            <w:pPr>
              <w:pStyle w:val="NormalWeb"/>
            </w:pPr>
            <w:r>
              <w:t>–</w:t>
            </w:r>
          </w:p>
        </w:tc>
      </w:tr>
      <w:tr w:rsidR="00A705E5" w14:paraId="32D8DDB6"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4F582DF" w14:textId="77777777" w:rsidR="00AE0FE0" w:rsidRDefault="00AE0FE0">
            <w:pPr>
              <w:pStyle w:val="NormalWeb"/>
            </w:pPr>
            <w:r>
              <w:t>Measles-mumps-rubella-varicella</w:t>
            </w:r>
          </w:p>
        </w:tc>
        <w:tc>
          <w:tcPr>
            <w:tcW w:w="0" w:type="auto"/>
            <w:tcMar>
              <w:top w:w="142" w:type="dxa"/>
              <w:left w:w="142" w:type="dxa"/>
              <w:bottom w:w="142" w:type="dxa"/>
              <w:right w:w="142" w:type="dxa"/>
            </w:tcMar>
            <w:hideMark/>
          </w:tcPr>
          <w:p w14:paraId="19AA7CD5" w14:textId="77777777" w:rsidR="00AE0FE0" w:rsidRDefault="00AE0FE0">
            <w:pPr>
              <w:pStyle w:val="NormalWeb"/>
            </w:pPr>
            <w:r>
              <w:t>16</w:t>
            </w:r>
          </w:p>
        </w:tc>
        <w:tc>
          <w:tcPr>
            <w:tcW w:w="0" w:type="auto"/>
            <w:tcMar>
              <w:top w:w="142" w:type="dxa"/>
              <w:left w:w="142" w:type="dxa"/>
              <w:bottom w:w="142" w:type="dxa"/>
              <w:right w:w="142" w:type="dxa"/>
            </w:tcMar>
            <w:hideMark/>
          </w:tcPr>
          <w:p w14:paraId="3C83A65C" w14:textId="77777777" w:rsidR="00AE0FE0" w:rsidRDefault="00AE0FE0">
            <w:pPr>
              <w:pStyle w:val="NormalWeb"/>
            </w:pPr>
            <w:r>
              <w:t>n/a</w:t>
            </w:r>
          </w:p>
        </w:tc>
        <w:tc>
          <w:tcPr>
            <w:tcW w:w="0" w:type="auto"/>
            <w:tcMar>
              <w:top w:w="142" w:type="dxa"/>
              <w:left w:w="142" w:type="dxa"/>
              <w:bottom w:w="142" w:type="dxa"/>
              <w:right w:w="142" w:type="dxa"/>
            </w:tcMar>
            <w:hideMark/>
          </w:tcPr>
          <w:p w14:paraId="2191ECFE" w14:textId="77777777" w:rsidR="00AE0FE0" w:rsidRDefault="00AE0FE0">
            <w:pPr>
              <w:pStyle w:val="NormalWeb"/>
            </w:pPr>
            <w:r>
              <w:t>–</w:t>
            </w:r>
          </w:p>
        </w:tc>
        <w:tc>
          <w:tcPr>
            <w:tcW w:w="0" w:type="auto"/>
            <w:tcMar>
              <w:top w:w="142" w:type="dxa"/>
              <w:left w:w="142" w:type="dxa"/>
              <w:bottom w:w="142" w:type="dxa"/>
              <w:right w:w="142" w:type="dxa"/>
            </w:tcMar>
            <w:hideMark/>
          </w:tcPr>
          <w:p w14:paraId="763D9061" w14:textId="77777777" w:rsidR="00AE0FE0" w:rsidRDefault="00AE0FE0">
            <w:pPr>
              <w:pStyle w:val="NormalWeb"/>
            </w:pPr>
            <w:r>
              <w:t>–</w:t>
            </w:r>
          </w:p>
        </w:tc>
      </w:tr>
      <w:tr w:rsidR="0011370B" w14:paraId="3EFFDD16"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4BE6E5A" w14:textId="77777777" w:rsidR="00AE0FE0" w:rsidRDefault="00AE0FE0">
            <w:pPr>
              <w:pStyle w:val="NormalWeb"/>
            </w:pPr>
            <w:r>
              <w:t>Meningococcal C conjugate</w:t>
            </w:r>
          </w:p>
        </w:tc>
        <w:tc>
          <w:tcPr>
            <w:tcW w:w="0" w:type="auto"/>
            <w:tcMar>
              <w:top w:w="142" w:type="dxa"/>
              <w:left w:w="142" w:type="dxa"/>
              <w:bottom w:w="142" w:type="dxa"/>
              <w:right w:w="142" w:type="dxa"/>
            </w:tcMar>
            <w:hideMark/>
          </w:tcPr>
          <w:p w14:paraId="589C475D" w14:textId="77777777" w:rsidR="00AE0FE0" w:rsidRDefault="00AE0FE0">
            <w:pPr>
              <w:pStyle w:val="NormalWeb"/>
            </w:pPr>
            <w:r>
              <w:t>8</w:t>
            </w:r>
          </w:p>
        </w:tc>
        <w:tc>
          <w:tcPr>
            <w:tcW w:w="0" w:type="auto"/>
            <w:tcMar>
              <w:top w:w="142" w:type="dxa"/>
              <w:left w:w="142" w:type="dxa"/>
              <w:bottom w:w="142" w:type="dxa"/>
              <w:right w:w="142" w:type="dxa"/>
            </w:tcMar>
            <w:hideMark/>
          </w:tcPr>
          <w:p w14:paraId="7E6A9E5D" w14:textId="77777777" w:rsidR="00AE0FE0" w:rsidRDefault="00AE0FE0">
            <w:pPr>
              <w:pStyle w:val="NormalWeb"/>
            </w:pPr>
            <w:r>
              <w:t>n/a</w:t>
            </w:r>
          </w:p>
        </w:tc>
        <w:tc>
          <w:tcPr>
            <w:tcW w:w="0" w:type="auto"/>
            <w:tcMar>
              <w:top w:w="142" w:type="dxa"/>
              <w:left w:w="142" w:type="dxa"/>
              <w:bottom w:w="142" w:type="dxa"/>
              <w:right w:w="142" w:type="dxa"/>
            </w:tcMar>
            <w:hideMark/>
          </w:tcPr>
          <w:p w14:paraId="5B4A3EFC" w14:textId="77777777" w:rsidR="00AE0FE0" w:rsidRDefault="00AE0FE0">
            <w:pPr>
              <w:pStyle w:val="NormalWeb"/>
            </w:pPr>
            <w:r>
              <w:t>–</w:t>
            </w:r>
          </w:p>
        </w:tc>
        <w:tc>
          <w:tcPr>
            <w:tcW w:w="0" w:type="auto"/>
            <w:tcMar>
              <w:top w:w="142" w:type="dxa"/>
              <w:left w:w="142" w:type="dxa"/>
              <w:bottom w:w="142" w:type="dxa"/>
              <w:right w:w="142" w:type="dxa"/>
            </w:tcMar>
            <w:hideMark/>
          </w:tcPr>
          <w:p w14:paraId="4A5F2449" w14:textId="77777777" w:rsidR="00AE0FE0" w:rsidRDefault="00AE0FE0">
            <w:pPr>
              <w:pStyle w:val="NormalWeb"/>
            </w:pPr>
            <w:r>
              <w:t>–</w:t>
            </w:r>
          </w:p>
        </w:tc>
      </w:tr>
      <w:tr w:rsidR="00A705E5" w14:paraId="60E5BC9A"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8D1634A" w14:textId="77777777" w:rsidR="00AE0FE0" w:rsidRDefault="00AE0FE0">
            <w:pPr>
              <w:pStyle w:val="NormalWeb"/>
            </w:pPr>
            <w:r>
              <w:t>Meningococcal B</w:t>
            </w:r>
          </w:p>
        </w:tc>
        <w:tc>
          <w:tcPr>
            <w:tcW w:w="0" w:type="auto"/>
            <w:tcMar>
              <w:top w:w="142" w:type="dxa"/>
              <w:left w:w="142" w:type="dxa"/>
              <w:bottom w:w="142" w:type="dxa"/>
              <w:right w:w="142" w:type="dxa"/>
            </w:tcMar>
            <w:hideMark/>
          </w:tcPr>
          <w:p w14:paraId="13DB06F8" w14:textId="77777777" w:rsidR="00AE0FE0" w:rsidRDefault="00AE0FE0">
            <w:pPr>
              <w:pStyle w:val="NormalWeb"/>
            </w:pPr>
            <w:r>
              <w:t>4</w:t>
            </w:r>
          </w:p>
        </w:tc>
        <w:tc>
          <w:tcPr>
            <w:tcW w:w="0" w:type="auto"/>
            <w:tcMar>
              <w:top w:w="142" w:type="dxa"/>
              <w:left w:w="142" w:type="dxa"/>
              <w:bottom w:w="142" w:type="dxa"/>
              <w:right w:w="142" w:type="dxa"/>
            </w:tcMar>
            <w:hideMark/>
          </w:tcPr>
          <w:p w14:paraId="54A71FF3" w14:textId="77777777" w:rsidR="00AE0FE0" w:rsidRDefault="00AE0FE0">
            <w:pPr>
              <w:pStyle w:val="NormalWeb"/>
            </w:pPr>
            <w:r>
              <w:t>n/a</w:t>
            </w:r>
          </w:p>
        </w:tc>
        <w:tc>
          <w:tcPr>
            <w:tcW w:w="0" w:type="auto"/>
            <w:tcMar>
              <w:top w:w="142" w:type="dxa"/>
              <w:left w:w="142" w:type="dxa"/>
              <w:bottom w:w="142" w:type="dxa"/>
              <w:right w:w="142" w:type="dxa"/>
            </w:tcMar>
            <w:hideMark/>
          </w:tcPr>
          <w:p w14:paraId="2A818E89" w14:textId="77777777" w:rsidR="00AE0FE0" w:rsidRDefault="00AE0FE0">
            <w:pPr>
              <w:pStyle w:val="NormalWeb"/>
            </w:pPr>
            <w:r>
              <w:t>–</w:t>
            </w:r>
          </w:p>
        </w:tc>
        <w:tc>
          <w:tcPr>
            <w:tcW w:w="0" w:type="auto"/>
            <w:tcMar>
              <w:top w:w="142" w:type="dxa"/>
              <w:left w:w="142" w:type="dxa"/>
              <w:bottom w:w="142" w:type="dxa"/>
              <w:right w:w="142" w:type="dxa"/>
            </w:tcMar>
            <w:hideMark/>
          </w:tcPr>
          <w:p w14:paraId="4745EEC4" w14:textId="77777777" w:rsidR="00AE0FE0" w:rsidRDefault="00AE0FE0">
            <w:pPr>
              <w:pStyle w:val="NormalWeb"/>
            </w:pPr>
            <w:r>
              <w:t>–</w:t>
            </w:r>
          </w:p>
        </w:tc>
      </w:tr>
      <w:tr w:rsidR="0011370B" w14:paraId="7ADCEC46"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8815342" w14:textId="77777777" w:rsidR="00AE0FE0" w:rsidRDefault="00AE0FE0">
            <w:pPr>
              <w:pStyle w:val="NormalWeb"/>
            </w:pPr>
            <w:r>
              <w:t>18–64 years</w:t>
            </w:r>
          </w:p>
        </w:tc>
        <w:tc>
          <w:tcPr>
            <w:tcW w:w="0" w:type="auto"/>
            <w:tcMar>
              <w:top w:w="142" w:type="dxa"/>
              <w:left w:w="142" w:type="dxa"/>
              <w:bottom w:w="142" w:type="dxa"/>
              <w:right w:w="142" w:type="dxa"/>
            </w:tcMar>
            <w:hideMark/>
          </w:tcPr>
          <w:p w14:paraId="4463F9B8"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4A6FF384"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43DDE977"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33526441" w14:textId="77777777" w:rsidR="00AE0FE0" w:rsidRDefault="00AE0FE0">
            <w:pPr>
              <w:rPr>
                <w:rFonts w:eastAsia="Times New Roman"/>
                <w:sz w:val="24"/>
                <w:szCs w:val="24"/>
              </w:rPr>
            </w:pPr>
            <w:r>
              <w:rPr>
                <w:rFonts w:eastAsia="Times New Roman"/>
              </w:rPr>
              <w:t> </w:t>
            </w:r>
          </w:p>
        </w:tc>
      </w:tr>
      <w:tr w:rsidR="00A705E5" w14:paraId="3E803F83"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8613165" w14:textId="77777777" w:rsidR="00AE0FE0" w:rsidRDefault="00AE0FE0">
            <w:pPr>
              <w:pStyle w:val="NormalWeb"/>
            </w:pPr>
            <w:r>
              <w:t>Seasonal influenza</w:t>
            </w:r>
          </w:p>
        </w:tc>
        <w:tc>
          <w:tcPr>
            <w:tcW w:w="0" w:type="auto"/>
            <w:tcMar>
              <w:top w:w="142" w:type="dxa"/>
              <w:left w:w="142" w:type="dxa"/>
              <w:bottom w:w="142" w:type="dxa"/>
              <w:right w:w="142" w:type="dxa"/>
            </w:tcMar>
            <w:hideMark/>
          </w:tcPr>
          <w:p w14:paraId="13B09BD4" w14:textId="77777777" w:rsidR="00AE0FE0" w:rsidRDefault="00AE0FE0">
            <w:pPr>
              <w:pStyle w:val="NormalWeb"/>
            </w:pPr>
            <w:r>
              <w:t>412</w:t>
            </w:r>
          </w:p>
        </w:tc>
        <w:tc>
          <w:tcPr>
            <w:tcW w:w="0" w:type="auto"/>
            <w:tcMar>
              <w:top w:w="142" w:type="dxa"/>
              <w:left w:w="142" w:type="dxa"/>
              <w:bottom w:w="142" w:type="dxa"/>
              <w:right w:w="142" w:type="dxa"/>
            </w:tcMar>
            <w:hideMark/>
          </w:tcPr>
          <w:p w14:paraId="7956C6F7" w14:textId="77777777" w:rsidR="00AE0FE0" w:rsidRDefault="00AE0FE0">
            <w:pPr>
              <w:pStyle w:val="NormalWeb"/>
            </w:pPr>
            <w:r>
              <w:t>n/a</w:t>
            </w:r>
          </w:p>
        </w:tc>
        <w:tc>
          <w:tcPr>
            <w:tcW w:w="0" w:type="auto"/>
            <w:tcMar>
              <w:top w:w="142" w:type="dxa"/>
              <w:left w:w="142" w:type="dxa"/>
              <w:bottom w:w="142" w:type="dxa"/>
              <w:right w:w="142" w:type="dxa"/>
            </w:tcMar>
            <w:hideMark/>
          </w:tcPr>
          <w:p w14:paraId="111BDF5B" w14:textId="77777777" w:rsidR="00AE0FE0" w:rsidRDefault="00AE0FE0">
            <w:pPr>
              <w:pStyle w:val="NormalWeb"/>
            </w:pPr>
            <w:r>
              <w:t>–</w:t>
            </w:r>
          </w:p>
        </w:tc>
        <w:tc>
          <w:tcPr>
            <w:tcW w:w="0" w:type="auto"/>
            <w:tcMar>
              <w:top w:w="142" w:type="dxa"/>
              <w:left w:w="142" w:type="dxa"/>
              <w:bottom w:w="142" w:type="dxa"/>
              <w:right w:w="142" w:type="dxa"/>
            </w:tcMar>
            <w:hideMark/>
          </w:tcPr>
          <w:p w14:paraId="75544FA4" w14:textId="77777777" w:rsidR="00AE0FE0" w:rsidRDefault="00AE0FE0">
            <w:pPr>
              <w:pStyle w:val="NormalWeb"/>
            </w:pPr>
            <w:r>
              <w:t>–</w:t>
            </w:r>
          </w:p>
        </w:tc>
      </w:tr>
      <w:tr w:rsidR="0011370B" w14:paraId="13B4289C"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9116505"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0B5D6841" w14:textId="77777777" w:rsidR="00AE0FE0" w:rsidRDefault="00AE0FE0">
            <w:pPr>
              <w:pStyle w:val="NormalWeb"/>
            </w:pPr>
            <w:r>
              <w:t>106</w:t>
            </w:r>
          </w:p>
        </w:tc>
        <w:tc>
          <w:tcPr>
            <w:tcW w:w="0" w:type="auto"/>
            <w:tcMar>
              <w:top w:w="142" w:type="dxa"/>
              <w:left w:w="142" w:type="dxa"/>
              <w:bottom w:w="142" w:type="dxa"/>
              <w:right w:w="142" w:type="dxa"/>
            </w:tcMar>
            <w:hideMark/>
          </w:tcPr>
          <w:p w14:paraId="19754D9F" w14:textId="77777777" w:rsidR="00AE0FE0" w:rsidRDefault="00AE0FE0">
            <w:pPr>
              <w:pStyle w:val="NormalWeb"/>
            </w:pPr>
            <w:r>
              <w:t>n/a</w:t>
            </w:r>
          </w:p>
        </w:tc>
        <w:tc>
          <w:tcPr>
            <w:tcW w:w="0" w:type="auto"/>
            <w:tcMar>
              <w:top w:w="142" w:type="dxa"/>
              <w:left w:w="142" w:type="dxa"/>
              <w:bottom w:w="142" w:type="dxa"/>
              <w:right w:w="142" w:type="dxa"/>
            </w:tcMar>
            <w:hideMark/>
          </w:tcPr>
          <w:p w14:paraId="442F9598" w14:textId="77777777" w:rsidR="00AE0FE0" w:rsidRDefault="00AE0FE0">
            <w:pPr>
              <w:pStyle w:val="NormalWeb"/>
            </w:pPr>
            <w:r>
              <w:t>–</w:t>
            </w:r>
          </w:p>
        </w:tc>
        <w:tc>
          <w:tcPr>
            <w:tcW w:w="0" w:type="auto"/>
            <w:tcMar>
              <w:top w:w="142" w:type="dxa"/>
              <w:left w:w="142" w:type="dxa"/>
              <w:bottom w:w="142" w:type="dxa"/>
              <w:right w:w="142" w:type="dxa"/>
            </w:tcMar>
            <w:hideMark/>
          </w:tcPr>
          <w:p w14:paraId="708AB0F9" w14:textId="77777777" w:rsidR="00AE0FE0" w:rsidRDefault="00AE0FE0">
            <w:pPr>
              <w:pStyle w:val="NormalWeb"/>
            </w:pPr>
            <w:r>
              <w:t>–</w:t>
            </w:r>
          </w:p>
        </w:tc>
      </w:tr>
      <w:tr w:rsidR="00A705E5" w14:paraId="2BC52B23"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186AEBC" w14:textId="77777777" w:rsidR="00AE0FE0" w:rsidRDefault="00AE0FE0">
            <w:pPr>
              <w:pStyle w:val="NormalWeb"/>
            </w:pPr>
            <w:r>
              <w:t>23vPPV</w:t>
            </w:r>
          </w:p>
        </w:tc>
        <w:tc>
          <w:tcPr>
            <w:tcW w:w="0" w:type="auto"/>
            <w:tcMar>
              <w:top w:w="142" w:type="dxa"/>
              <w:left w:w="142" w:type="dxa"/>
              <w:bottom w:w="142" w:type="dxa"/>
              <w:right w:w="142" w:type="dxa"/>
            </w:tcMar>
            <w:hideMark/>
          </w:tcPr>
          <w:p w14:paraId="26EA0F68" w14:textId="77777777" w:rsidR="00AE0FE0" w:rsidRDefault="00AE0FE0">
            <w:pPr>
              <w:pStyle w:val="NormalWeb"/>
            </w:pPr>
            <w:r>
              <w:t>59</w:t>
            </w:r>
          </w:p>
        </w:tc>
        <w:tc>
          <w:tcPr>
            <w:tcW w:w="0" w:type="auto"/>
            <w:tcMar>
              <w:top w:w="142" w:type="dxa"/>
              <w:left w:w="142" w:type="dxa"/>
              <w:bottom w:w="142" w:type="dxa"/>
              <w:right w:w="142" w:type="dxa"/>
            </w:tcMar>
            <w:hideMark/>
          </w:tcPr>
          <w:p w14:paraId="7C5DC998" w14:textId="77777777" w:rsidR="00AE0FE0" w:rsidRDefault="00AE0FE0">
            <w:pPr>
              <w:pStyle w:val="NormalWeb"/>
            </w:pPr>
            <w:r>
              <w:t>n/a</w:t>
            </w:r>
          </w:p>
        </w:tc>
        <w:tc>
          <w:tcPr>
            <w:tcW w:w="0" w:type="auto"/>
            <w:tcMar>
              <w:top w:w="142" w:type="dxa"/>
              <w:left w:w="142" w:type="dxa"/>
              <w:bottom w:w="142" w:type="dxa"/>
              <w:right w:w="142" w:type="dxa"/>
            </w:tcMar>
            <w:hideMark/>
          </w:tcPr>
          <w:p w14:paraId="350BB622" w14:textId="77777777" w:rsidR="00AE0FE0" w:rsidRDefault="00AE0FE0">
            <w:pPr>
              <w:pStyle w:val="NormalWeb"/>
            </w:pPr>
            <w:r>
              <w:t>–</w:t>
            </w:r>
          </w:p>
        </w:tc>
        <w:tc>
          <w:tcPr>
            <w:tcW w:w="0" w:type="auto"/>
            <w:tcMar>
              <w:top w:w="142" w:type="dxa"/>
              <w:left w:w="142" w:type="dxa"/>
              <w:bottom w:w="142" w:type="dxa"/>
              <w:right w:w="142" w:type="dxa"/>
            </w:tcMar>
            <w:hideMark/>
          </w:tcPr>
          <w:p w14:paraId="1D56F36C" w14:textId="77777777" w:rsidR="00AE0FE0" w:rsidRDefault="00AE0FE0">
            <w:pPr>
              <w:pStyle w:val="NormalWeb"/>
            </w:pPr>
            <w:r>
              <w:t>–</w:t>
            </w:r>
          </w:p>
        </w:tc>
      </w:tr>
      <w:tr w:rsidR="0011370B" w14:paraId="7A103DF3"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6149A55" w14:textId="77777777" w:rsidR="00AE0FE0" w:rsidRDefault="00AE0FE0">
            <w:pPr>
              <w:pStyle w:val="NormalWeb"/>
            </w:pPr>
            <w:r>
              <w:t>Hepatitis B</w:t>
            </w:r>
          </w:p>
        </w:tc>
        <w:tc>
          <w:tcPr>
            <w:tcW w:w="0" w:type="auto"/>
            <w:tcMar>
              <w:top w:w="142" w:type="dxa"/>
              <w:left w:w="142" w:type="dxa"/>
              <w:bottom w:w="142" w:type="dxa"/>
              <w:right w:w="142" w:type="dxa"/>
            </w:tcMar>
            <w:hideMark/>
          </w:tcPr>
          <w:p w14:paraId="1F7186B2" w14:textId="77777777" w:rsidR="00AE0FE0" w:rsidRDefault="00AE0FE0">
            <w:pPr>
              <w:pStyle w:val="NormalWeb"/>
            </w:pPr>
            <w:r>
              <w:t>33</w:t>
            </w:r>
          </w:p>
        </w:tc>
        <w:tc>
          <w:tcPr>
            <w:tcW w:w="0" w:type="auto"/>
            <w:tcMar>
              <w:top w:w="142" w:type="dxa"/>
              <w:left w:w="142" w:type="dxa"/>
              <w:bottom w:w="142" w:type="dxa"/>
              <w:right w:w="142" w:type="dxa"/>
            </w:tcMar>
            <w:hideMark/>
          </w:tcPr>
          <w:p w14:paraId="61493001" w14:textId="77777777" w:rsidR="00AE0FE0" w:rsidRDefault="00AE0FE0">
            <w:pPr>
              <w:pStyle w:val="NormalWeb"/>
            </w:pPr>
            <w:r>
              <w:t>n/a</w:t>
            </w:r>
          </w:p>
        </w:tc>
        <w:tc>
          <w:tcPr>
            <w:tcW w:w="0" w:type="auto"/>
            <w:tcMar>
              <w:top w:w="142" w:type="dxa"/>
              <w:left w:w="142" w:type="dxa"/>
              <w:bottom w:w="142" w:type="dxa"/>
              <w:right w:w="142" w:type="dxa"/>
            </w:tcMar>
            <w:hideMark/>
          </w:tcPr>
          <w:p w14:paraId="4FC3924B" w14:textId="77777777" w:rsidR="00AE0FE0" w:rsidRDefault="00AE0FE0">
            <w:pPr>
              <w:pStyle w:val="NormalWeb"/>
            </w:pPr>
            <w:r>
              <w:t>–</w:t>
            </w:r>
          </w:p>
        </w:tc>
        <w:tc>
          <w:tcPr>
            <w:tcW w:w="0" w:type="auto"/>
            <w:tcMar>
              <w:top w:w="142" w:type="dxa"/>
              <w:left w:w="142" w:type="dxa"/>
              <w:bottom w:w="142" w:type="dxa"/>
              <w:right w:w="142" w:type="dxa"/>
            </w:tcMar>
            <w:hideMark/>
          </w:tcPr>
          <w:p w14:paraId="1CD031B9" w14:textId="77777777" w:rsidR="00AE0FE0" w:rsidRDefault="00AE0FE0">
            <w:pPr>
              <w:pStyle w:val="NormalWeb"/>
            </w:pPr>
            <w:r>
              <w:t>–</w:t>
            </w:r>
          </w:p>
        </w:tc>
      </w:tr>
      <w:tr w:rsidR="00A705E5" w14:paraId="20717A83"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C2598E0" w14:textId="77777777" w:rsidR="00AE0FE0" w:rsidRDefault="00AE0FE0">
            <w:pPr>
              <w:pStyle w:val="NormalWeb"/>
            </w:pPr>
            <w:r>
              <w:t>MMR</w:t>
            </w:r>
          </w:p>
        </w:tc>
        <w:tc>
          <w:tcPr>
            <w:tcW w:w="0" w:type="auto"/>
            <w:tcMar>
              <w:top w:w="142" w:type="dxa"/>
              <w:left w:w="142" w:type="dxa"/>
              <w:bottom w:w="142" w:type="dxa"/>
              <w:right w:w="142" w:type="dxa"/>
            </w:tcMar>
            <w:hideMark/>
          </w:tcPr>
          <w:p w14:paraId="29669E1F" w14:textId="77777777" w:rsidR="00AE0FE0" w:rsidRDefault="00AE0FE0">
            <w:pPr>
              <w:pStyle w:val="NormalWeb"/>
            </w:pPr>
            <w:r>
              <w:t>31</w:t>
            </w:r>
          </w:p>
        </w:tc>
        <w:tc>
          <w:tcPr>
            <w:tcW w:w="0" w:type="auto"/>
            <w:tcMar>
              <w:top w:w="142" w:type="dxa"/>
              <w:left w:w="142" w:type="dxa"/>
              <w:bottom w:w="142" w:type="dxa"/>
              <w:right w:w="142" w:type="dxa"/>
            </w:tcMar>
            <w:hideMark/>
          </w:tcPr>
          <w:p w14:paraId="60CCCF72" w14:textId="77777777" w:rsidR="00AE0FE0" w:rsidRDefault="00AE0FE0">
            <w:pPr>
              <w:pStyle w:val="NormalWeb"/>
            </w:pPr>
            <w:r>
              <w:t>n/a</w:t>
            </w:r>
          </w:p>
        </w:tc>
        <w:tc>
          <w:tcPr>
            <w:tcW w:w="0" w:type="auto"/>
            <w:tcMar>
              <w:top w:w="142" w:type="dxa"/>
              <w:left w:w="142" w:type="dxa"/>
              <w:bottom w:w="142" w:type="dxa"/>
              <w:right w:w="142" w:type="dxa"/>
            </w:tcMar>
            <w:hideMark/>
          </w:tcPr>
          <w:p w14:paraId="2C3F2D7E" w14:textId="77777777" w:rsidR="00AE0FE0" w:rsidRDefault="00AE0FE0">
            <w:pPr>
              <w:pStyle w:val="NormalWeb"/>
            </w:pPr>
            <w:r>
              <w:t>–</w:t>
            </w:r>
          </w:p>
        </w:tc>
        <w:tc>
          <w:tcPr>
            <w:tcW w:w="0" w:type="auto"/>
            <w:tcMar>
              <w:top w:w="142" w:type="dxa"/>
              <w:left w:w="142" w:type="dxa"/>
              <w:bottom w:w="142" w:type="dxa"/>
              <w:right w:w="142" w:type="dxa"/>
            </w:tcMar>
            <w:hideMark/>
          </w:tcPr>
          <w:p w14:paraId="0EC115E4" w14:textId="77777777" w:rsidR="00AE0FE0" w:rsidRDefault="00AE0FE0">
            <w:pPr>
              <w:pStyle w:val="NormalWeb"/>
            </w:pPr>
            <w:r>
              <w:t>–</w:t>
            </w:r>
          </w:p>
        </w:tc>
      </w:tr>
      <w:tr w:rsidR="0011370B" w14:paraId="14ADCD21"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C75AD49" w14:textId="77777777" w:rsidR="00AE0FE0" w:rsidRDefault="00AE0FE0">
            <w:pPr>
              <w:pStyle w:val="NormalWeb"/>
            </w:pPr>
            <w:r>
              <w:t>Varicella</w:t>
            </w:r>
          </w:p>
        </w:tc>
        <w:tc>
          <w:tcPr>
            <w:tcW w:w="0" w:type="auto"/>
            <w:tcMar>
              <w:top w:w="142" w:type="dxa"/>
              <w:left w:w="142" w:type="dxa"/>
              <w:bottom w:w="142" w:type="dxa"/>
              <w:right w:w="142" w:type="dxa"/>
            </w:tcMar>
            <w:hideMark/>
          </w:tcPr>
          <w:p w14:paraId="09859E1E" w14:textId="77777777" w:rsidR="00AE0FE0" w:rsidRDefault="00AE0FE0">
            <w:pPr>
              <w:pStyle w:val="NormalWeb"/>
            </w:pPr>
            <w:r>
              <w:t>13</w:t>
            </w:r>
          </w:p>
        </w:tc>
        <w:tc>
          <w:tcPr>
            <w:tcW w:w="0" w:type="auto"/>
            <w:tcMar>
              <w:top w:w="142" w:type="dxa"/>
              <w:left w:w="142" w:type="dxa"/>
              <w:bottom w:w="142" w:type="dxa"/>
              <w:right w:w="142" w:type="dxa"/>
            </w:tcMar>
            <w:hideMark/>
          </w:tcPr>
          <w:p w14:paraId="660F9B25" w14:textId="77777777" w:rsidR="00AE0FE0" w:rsidRDefault="00AE0FE0">
            <w:pPr>
              <w:pStyle w:val="NormalWeb"/>
            </w:pPr>
            <w:r>
              <w:t>n/a</w:t>
            </w:r>
          </w:p>
        </w:tc>
        <w:tc>
          <w:tcPr>
            <w:tcW w:w="0" w:type="auto"/>
            <w:tcMar>
              <w:top w:w="142" w:type="dxa"/>
              <w:left w:w="142" w:type="dxa"/>
              <w:bottom w:w="142" w:type="dxa"/>
              <w:right w:w="142" w:type="dxa"/>
            </w:tcMar>
            <w:hideMark/>
          </w:tcPr>
          <w:p w14:paraId="7FBFC7C2" w14:textId="77777777" w:rsidR="00AE0FE0" w:rsidRDefault="00AE0FE0">
            <w:pPr>
              <w:pStyle w:val="NormalWeb"/>
            </w:pPr>
            <w:r>
              <w:t>–</w:t>
            </w:r>
          </w:p>
        </w:tc>
        <w:tc>
          <w:tcPr>
            <w:tcW w:w="0" w:type="auto"/>
            <w:tcMar>
              <w:top w:w="142" w:type="dxa"/>
              <w:left w:w="142" w:type="dxa"/>
              <w:bottom w:w="142" w:type="dxa"/>
              <w:right w:w="142" w:type="dxa"/>
            </w:tcMar>
            <w:hideMark/>
          </w:tcPr>
          <w:p w14:paraId="7B5F5E33" w14:textId="77777777" w:rsidR="00AE0FE0" w:rsidRDefault="00AE0FE0">
            <w:pPr>
              <w:pStyle w:val="NormalWeb"/>
            </w:pPr>
            <w:r>
              <w:t>–</w:t>
            </w:r>
          </w:p>
        </w:tc>
      </w:tr>
      <w:tr w:rsidR="00A705E5" w14:paraId="67A90C5B"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AA3358A" w14:textId="77777777" w:rsidR="00AE0FE0" w:rsidRDefault="00AE0FE0">
            <w:pPr>
              <w:pStyle w:val="NormalWeb"/>
            </w:pPr>
            <w:r>
              <w:t>Q fever</w:t>
            </w:r>
          </w:p>
        </w:tc>
        <w:tc>
          <w:tcPr>
            <w:tcW w:w="0" w:type="auto"/>
            <w:tcMar>
              <w:top w:w="142" w:type="dxa"/>
              <w:left w:w="142" w:type="dxa"/>
              <w:bottom w:w="142" w:type="dxa"/>
              <w:right w:w="142" w:type="dxa"/>
            </w:tcMar>
            <w:hideMark/>
          </w:tcPr>
          <w:p w14:paraId="1249E513" w14:textId="77777777" w:rsidR="00AE0FE0" w:rsidRDefault="00AE0FE0">
            <w:pPr>
              <w:pStyle w:val="NormalWeb"/>
            </w:pPr>
            <w:r>
              <w:t>8</w:t>
            </w:r>
          </w:p>
        </w:tc>
        <w:tc>
          <w:tcPr>
            <w:tcW w:w="0" w:type="auto"/>
            <w:tcMar>
              <w:top w:w="142" w:type="dxa"/>
              <w:left w:w="142" w:type="dxa"/>
              <w:bottom w:w="142" w:type="dxa"/>
              <w:right w:w="142" w:type="dxa"/>
            </w:tcMar>
            <w:hideMark/>
          </w:tcPr>
          <w:p w14:paraId="37E5B9A2" w14:textId="77777777" w:rsidR="00AE0FE0" w:rsidRDefault="00AE0FE0">
            <w:pPr>
              <w:pStyle w:val="NormalWeb"/>
            </w:pPr>
            <w:r>
              <w:t>n/a</w:t>
            </w:r>
          </w:p>
        </w:tc>
        <w:tc>
          <w:tcPr>
            <w:tcW w:w="0" w:type="auto"/>
            <w:tcMar>
              <w:top w:w="142" w:type="dxa"/>
              <w:left w:w="142" w:type="dxa"/>
              <w:bottom w:w="142" w:type="dxa"/>
              <w:right w:w="142" w:type="dxa"/>
            </w:tcMar>
            <w:hideMark/>
          </w:tcPr>
          <w:p w14:paraId="030F4A61" w14:textId="77777777" w:rsidR="00AE0FE0" w:rsidRDefault="00AE0FE0">
            <w:pPr>
              <w:pStyle w:val="NormalWeb"/>
            </w:pPr>
            <w:r>
              <w:t>–</w:t>
            </w:r>
          </w:p>
        </w:tc>
        <w:tc>
          <w:tcPr>
            <w:tcW w:w="0" w:type="auto"/>
            <w:tcMar>
              <w:top w:w="142" w:type="dxa"/>
              <w:left w:w="142" w:type="dxa"/>
              <w:bottom w:w="142" w:type="dxa"/>
              <w:right w:w="142" w:type="dxa"/>
            </w:tcMar>
            <w:hideMark/>
          </w:tcPr>
          <w:p w14:paraId="7CA52C7F" w14:textId="77777777" w:rsidR="00AE0FE0" w:rsidRDefault="00AE0FE0">
            <w:pPr>
              <w:pStyle w:val="NormalWeb"/>
            </w:pPr>
            <w:r>
              <w:t>–</w:t>
            </w:r>
          </w:p>
        </w:tc>
      </w:tr>
      <w:tr w:rsidR="0011370B" w14:paraId="40C2F474"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B4BF884" w14:textId="77777777" w:rsidR="00AE0FE0" w:rsidRDefault="00AE0FE0">
            <w:pPr>
              <w:pStyle w:val="NormalWeb"/>
            </w:pPr>
            <w:proofErr w:type="spellStart"/>
            <w:r>
              <w:t>dTpa_ipv</w:t>
            </w:r>
            <w:proofErr w:type="spellEnd"/>
          </w:p>
        </w:tc>
        <w:tc>
          <w:tcPr>
            <w:tcW w:w="0" w:type="auto"/>
            <w:tcMar>
              <w:top w:w="142" w:type="dxa"/>
              <w:left w:w="142" w:type="dxa"/>
              <w:bottom w:w="142" w:type="dxa"/>
              <w:right w:w="142" w:type="dxa"/>
            </w:tcMar>
            <w:hideMark/>
          </w:tcPr>
          <w:p w14:paraId="0C89CAA8" w14:textId="77777777" w:rsidR="00AE0FE0" w:rsidRDefault="00AE0FE0">
            <w:pPr>
              <w:pStyle w:val="NormalWeb"/>
            </w:pPr>
            <w:r>
              <w:t>4</w:t>
            </w:r>
          </w:p>
        </w:tc>
        <w:tc>
          <w:tcPr>
            <w:tcW w:w="0" w:type="auto"/>
            <w:tcMar>
              <w:top w:w="142" w:type="dxa"/>
              <w:left w:w="142" w:type="dxa"/>
              <w:bottom w:w="142" w:type="dxa"/>
              <w:right w:w="142" w:type="dxa"/>
            </w:tcMar>
            <w:hideMark/>
          </w:tcPr>
          <w:p w14:paraId="1D303552" w14:textId="77777777" w:rsidR="00AE0FE0" w:rsidRDefault="00AE0FE0">
            <w:pPr>
              <w:pStyle w:val="NormalWeb"/>
            </w:pPr>
            <w:r>
              <w:t>n/a</w:t>
            </w:r>
          </w:p>
        </w:tc>
        <w:tc>
          <w:tcPr>
            <w:tcW w:w="0" w:type="auto"/>
            <w:tcMar>
              <w:top w:w="142" w:type="dxa"/>
              <w:left w:w="142" w:type="dxa"/>
              <w:bottom w:w="142" w:type="dxa"/>
              <w:right w:w="142" w:type="dxa"/>
            </w:tcMar>
            <w:hideMark/>
          </w:tcPr>
          <w:p w14:paraId="5D7A5DA9" w14:textId="77777777" w:rsidR="00AE0FE0" w:rsidRDefault="00AE0FE0">
            <w:pPr>
              <w:pStyle w:val="NormalWeb"/>
            </w:pPr>
            <w:r>
              <w:t>–</w:t>
            </w:r>
          </w:p>
        </w:tc>
        <w:tc>
          <w:tcPr>
            <w:tcW w:w="0" w:type="auto"/>
            <w:tcMar>
              <w:top w:w="142" w:type="dxa"/>
              <w:left w:w="142" w:type="dxa"/>
              <w:bottom w:w="142" w:type="dxa"/>
              <w:right w:w="142" w:type="dxa"/>
            </w:tcMar>
            <w:hideMark/>
          </w:tcPr>
          <w:p w14:paraId="3A67F230" w14:textId="77777777" w:rsidR="00AE0FE0" w:rsidRDefault="00AE0FE0">
            <w:pPr>
              <w:pStyle w:val="NormalWeb"/>
            </w:pPr>
            <w:r>
              <w:t>–</w:t>
            </w:r>
          </w:p>
        </w:tc>
      </w:tr>
      <w:tr w:rsidR="00A705E5" w14:paraId="1E256A7C"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228D7E4" w14:textId="77777777" w:rsidR="00AE0FE0" w:rsidRDefault="00AE0FE0">
            <w:pPr>
              <w:pStyle w:val="NormalWeb"/>
            </w:pPr>
            <w:r>
              <w:t>Meningococcal B</w:t>
            </w:r>
          </w:p>
        </w:tc>
        <w:tc>
          <w:tcPr>
            <w:tcW w:w="0" w:type="auto"/>
            <w:tcMar>
              <w:top w:w="142" w:type="dxa"/>
              <w:left w:w="142" w:type="dxa"/>
              <w:bottom w:w="142" w:type="dxa"/>
              <w:right w:w="142" w:type="dxa"/>
            </w:tcMar>
            <w:hideMark/>
          </w:tcPr>
          <w:p w14:paraId="43EEFFD3" w14:textId="77777777" w:rsidR="00AE0FE0" w:rsidRDefault="00AE0FE0">
            <w:pPr>
              <w:pStyle w:val="NormalWeb"/>
            </w:pPr>
            <w:r>
              <w:t>4</w:t>
            </w:r>
          </w:p>
        </w:tc>
        <w:tc>
          <w:tcPr>
            <w:tcW w:w="0" w:type="auto"/>
            <w:tcMar>
              <w:top w:w="142" w:type="dxa"/>
              <w:left w:w="142" w:type="dxa"/>
              <w:bottom w:w="142" w:type="dxa"/>
              <w:right w:w="142" w:type="dxa"/>
            </w:tcMar>
            <w:hideMark/>
          </w:tcPr>
          <w:p w14:paraId="42D90BC2" w14:textId="77777777" w:rsidR="00AE0FE0" w:rsidRDefault="00AE0FE0">
            <w:pPr>
              <w:pStyle w:val="NormalWeb"/>
            </w:pPr>
            <w:r>
              <w:t>n/a</w:t>
            </w:r>
          </w:p>
        </w:tc>
        <w:tc>
          <w:tcPr>
            <w:tcW w:w="0" w:type="auto"/>
            <w:tcMar>
              <w:top w:w="142" w:type="dxa"/>
              <w:left w:w="142" w:type="dxa"/>
              <w:bottom w:w="142" w:type="dxa"/>
              <w:right w:w="142" w:type="dxa"/>
            </w:tcMar>
            <w:hideMark/>
          </w:tcPr>
          <w:p w14:paraId="1BA4DD9B" w14:textId="77777777" w:rsidR="00AE0FE0" w:rsidRDefault="00AE0FE0">
            <w:pPr>
              <w:pStyle w:val="NormalWeb"/>
            </w:pPr>
            <w:r>
              <w:t>–</w:t>
            </w:r>
          </w:p>
        </w:tc>
        <w:tc>
          <w:tcPr>
            <w:tcW w:w="0" w:type="auto"/>
            <w:tcMar>
              <w:top w:w="142" w:type="dxa"/>
              <w:left w:w="142" w:type="dxa"/>
              <w:bottom w:w="142" w:type="dxa"/>
              <w:right w:w="142" w:type="dxa"/>
            </w:tcMar>
            <w:hideMark/>
          </w:tcPr>
          <w:p w14:paraId="1ED64BC4" w14:textId="77777777" w:rsidR="00AE0FE0" w:rsidRDefault="00AE0FE0">
            <w:pPr>
              <w:pStyle w:val="NormalWeb"/>
            </w:pPr>
            <w:r>
              <w:t>–</w:t>
            </w:r>
          </w:p>
        </w:tc>
      </w:tr>
      <w:tr w:rsidR="0011370B" w14:paraId="19563F42"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C72C714" w14:textId="77777777" w:rsidR="00AE0FE0" w:rsidRDefault="00AE0FE0">
            <w:pPr>
              <w:pStyle w:val="NormalWeb"/>
            </w:pPr>
            <w:r>
              <w:t>≥65 years</w:t>
            </w:r>
          </w:p>
        </w:tc>
        <w:tc>
          <w:tcPr>
            <w:tcW w:w="0" w:type="auto"/>
            <w:tcMar>
              <w:top w:w="142" w:type="dxa"/>
              <w:left w:w="142" w:type="dxa"/>
              <w:bottom w:w="142" w:type="dxa"/>
              <w:right w:w="142" w:type="dxa"/>
            </w:tcMar>
            <w:hideMark/>
          </w:tcPr>
          <w:p w14:paraId="7A4C0E4C"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52CD771D"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2F5F76F7"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7C63BCFD" w14:textId="77777777" w:rsidR="00AE0FE0" w:rsidRDefault="00AE0FE0">
            <w:pPr>
              <w:rPr>
                <w:rFonts w:eastAsia="Times New Roman"/>
                <w:sz w:val="24"/>
                <w:szCs w:val="24"/>
              </w:rPr>
            </w:pPr>
            <w:r>
              <w:rPr>
                <w:rFonts w:eastAsia="Times New Roman"/>
              </w:rPr>
              <w:t> </w:t>
            </w:r>
          </w:p>
        </w:tc>
      </w:tr>
      <w:tr w:rsidR="00A705E5" w14:paraId="5A90B6D4"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CC57882" w14:textId="77777777" w:rsidR="00AE0FE0" w:rsidRDefault="00AE0FE0">
            <w:pPr>
              <w:pStyle w:val="NormalWeb"/>
            </w:pPr>
            <w:r>
              <w:t>Zoster</w:t>
            </w:r>
          </w:p>
        </w:tc>
        <w:tc>
          <w:tcPr>
            <w:tcW w:w="0" w:type="auto"/>
            <w:tcMar>
              <w:top w:w="142" w:type="dxa"/>
              <w:left w:w="142" w:type="dxa"/>
              <w:bottom w:w="142" w:type="dxa"/>
              <w:right w:w="142" w:type="dxa"/>
            </w:tcMar>
            <w:hideMark/>
          </w:tcPr>
          <w:p w14:paraId="5EACC92C" w14:textId="77777777" w:rsidR="00AE0FE0" w:rsidRDefault="00AE0FE0">
            <w:pPr>
              <w:pStyle w:val="NormalWeb"/>
            </w:pPr>
            <w:r>
              <w:t>154</w:t>
            </w:r>
          </w:p>
        </w:tc>
        <w:tc>
          <w:tcPr>
            <w:tcW w:w="0" w:type="auto"/>
            <w:tcMar>
              <w:top w:w="142" w:type="dxa"/>
              <w:left w:w="142" w:type="dxa"/>
              <w:bottom w:w="142" w:type="dxa"/>
              <w:right w:w="142" w:type="dxa"/>
            </w:tcMar>
            <w:hideMark/>
          </w:tcPr>
          <w:p w14:paraId="25AE94CC" w14:textId="77777777" w:rsidR="00AE0FE0" w:rsidRDefault="00AE0FE0">
            <w:pPr>
              <w:pStyle w:val="NormalWeb"/>
            </w:pPr>
            <w:r>
              <w:t>n/a</w:t>
            </w:r>
          </w:p>
        </w:tc>
        <w:tc>
          <w:tcPr>
            <w:tcW w:w="0" w:type="auto"/>
            <w:tcMar>
              <w:top w:w="142" w:type="dxa"/>
              <w:left w:w="142" w:type="dxa"/>
              <w:bottom w:w="142" w:type="dxa"/>
              <w:right w:w="142" w:type="dxa"/>
            </w:tcMar>
            <w:hideMark/>
          </w:tcPr>
          <w:p w14:paraId="358F1A98" w14:textId="77777777" w:rsidR="00AE0FE0" w:rsidRDefault="00AE0FE0">
            <w:pPr>
              <w:pStyle w:val="NormalWeb"/>
            </w:pPr>
            <w:r>
              <w:t>–</w:t>
            </w:r>
          </w:p>
        </w:tc>
        <w:tc>
          <w:tcPr>
            <w:tcW w:w="0" w:type="auto"/>
            <w:tcMar>
              <w:top w:w="142" w:type="dxa"/>
              <w:left w:w="142" w:type="dxa"/>
              <w:bottom w:w="142" w:type="dxa"/>
              <w:right w:w="142" w:type="dxa"/>
            </w:tcMar>
            <w:hideMark/>
          </w:tcPr>
          <w:p w14:paraId="4DFC13CE" w14:textId="77777777" w:rsidR="00AE0FE0" w:rsidRDefault="00AE0FE0">
            <w:pPr>
              <w:pStyle w:val="NormalWeb"/>
            </w:pPr>
            <w:r>
              <w:t>–</w:t>
            </w:r>
          </w:p>
        </w:tc>
      </w:tr>
      <w:tr w:rsidR="0011370B" w14:paraId="6D34C045"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CC2B98E" w14:textId="77777777" w:rsidR="00AE0FE0" w:rsidRDefault="00AE0FE0">
            <w:pPr>
              <w:pStyle w:val="NormalWeb"/>
            </w:pPr>
            <w:r>
              <w:t>23vPPV</w:t>
            </w:r>
          </w:p>
        </w:tc>
        <w:tc>
          <w:tcPr>
            <w:tcW w:w="0" w:type="auto"/>
            <w:tcMar>
              <w:top w:w="142" w:type="dxa"/>
              <w:left w:w="142" w:type="dxa"/>
              <w:bottom w:w="142" w:type="dxa"/>
              <w:right w:w="142" w:type="dxa"/>
            </w:tcMar>
            <w:hideMark/>
          </w:tcPr>
          <w:p w14:paraId="555574EB" w14:textId="77777777" w:rsidR="00AE0FE0" w:rsidRDefault="00AE0FE0">
            <w:pPr>
              <w:pStyle w:val="NormalWeb"/>
            </w:pPr>
            <w:r>
              <w:t>132</w:t>
            </w:r>
          </w:p>
        </w:tc>
        <w:tc>
          <w:tcPr>
            <w:tcW w:w="0" w:type="auto"/>
            <w:tcMar>
              <w:top w:w="142" w:type="dxa"/>
              <w:left w:w="142" w:type="dxa"/>
              <w:bottom w:w="142" w:type="dxa"/>
              <w:right w:w="142" w:type="dxa"/>
            </w:tcMar>
            <w:hideMark/>
          </w:tcPr>
          <w:p w14:paraId="4A7350C9" w14:textId="77777777" w:rsidR="00AE0FE0" w:rsidRDefault="00AE0FE0">
            <w:pPr>
              <w:pStyle w:val="NormalWeb"/>
            </w:pPr>
            <w:r>
              <w:t>n/a</w:t>
            </w:r>
          </w:p>
        </w:tc>
        <w:tc>
          <w:tcPr>
            <w:tcW w:w="0" w:type="auto"/>
            <w:tcMar>
              <w:top w:w="142" w:type="dxa"/>
              <w:left w:w="142" w:type="dxa"/>
              <w:bottom w:w="142" w:type="dxa"/>
              <w:right w:w="142" w:type="dxa"/>
            </w:tcMar>
            <w:hideMark/>
          </w:tcPr>
          <w:p w14:paraId="44EEFAB2" w14:textId="77777777" w:rsidR="00AE0FE0" w:rsidRDefault="00AE0FE0">
            <w:pPr>
              <w:pStyle w:val="NormalWeb"/>
            </w:pPr>
            <w:r>
              <w:t>–</w:t>
            </w:r>
          </w:p>
        </w:tc>
        <w:tc>
          <w:tcPr>
            <w:tcW w:w="0" w:type="auto"/>
            <w:tcMar>
              <w:top w:w="142" w:type="dxa"/>
              <w:left w:w="142" w:type="dxa"/>
              <w:bottom w:w="142" w:type="dxa"/>
              <w:right w:w="142" w:type="dxa"/>
            </w:tcMar>
            <w:hideMark/>
          </w:tcPr>
          <w:p w14:paraId="1F146A0A" w14:textId="77777777" w:rsidR="00AE0FE0" w:rsidRDefault="00AE0FE0">
            <w:pPr>
              <w:pStyle w:val="NormalWeb"/>
            </w:pPr>
            <w:r>
              <w:t>–</w:t>
            </w:r>
          </w:p>
        </w:tc>
      </w:tr>
      <w:tr w:rsidR="00A705E5" w14:paraId="3A60265D" w14:textId="77777777" w:rsidTr="00CB2C9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BC11194" w14:textId="77777777" w:rsidR="00AE0FE0" w:rsidRDefault="00AE0FE0">
            <w:pPr>
              <w:pStyle w:val="NormalWeb"/>
            </w:pPr>
            <w:r>
              <w:lastRenderedPageBreak/>
              <w:t>Seasonal influenza</w:t>
            </w:r>
          </w:p>
        </w:tc>
        <w:tc>
          <w:tcPr>
            <w:tcW w:w="0" w:type="auto"/>
            <w:tcMar>
              <w:top w:w="142" w:type="dxa"/>
              <w:left w:w="142" w:type="dxa"/>
              <w:bottom w:w="142" w:type="dxa"/>
              <w:right w:w="142" w:type="dxa"/>
            </w:tcMar>
            <w:hideMark/>
          </w:tcPr>
          <w:p w14:paraId="58CC0DA4" w14:textId="77777777" w:rsidR="00AE0FE0" w:rsidRDefault="00AE0FE0">
            <w:pPr>
              <w:pStyle w:val="NormalWeb"/>
            </w:pPr>
            <w:r>
              <w:t>129</w:t>
            </w:r>
          </w:p>
        </w:tc>
        <w:tc>
          <w:tcPr>
            <w:tcW w:w="0" w:type="auto"/>
            <w:tcMar>
              <w:top w:w="142" w:type="dxa"/>
              <w:left w:w="142" w:type="dxa"/>
              <w:bottom w:w="142" w:type="dxa"/>
              <w:right w:w="142" w:type="dxa"/>
            </w:tcMar>
            <w:hideMark/>
          </w:tcPr>
          <w:p w14:paraId="2734333B" w14:textId="77777777" w:rsidR="00AE0FE0" w:rsidRDefault="00AE0FE0">
            <w:pPr>
              <w:pStyle w:val="NormalWeb"/>
            </w:pPr>
            <w:r>
              <w:t>n/a</w:t>
            </w:r>
          </w:p>
        </w:tc>
        <w:tc>
          <w:tcPr>
            <w:tcW w:w="0" w:type="auto"/>
            <w:tcMar>
              <w:top w:w="142" w:type="dxa"/>
              <w:left w:w="142" w:type="dxa"/>
              <w:bottom w:w="142" w:type="dxa"/>
              <w:right w:w="142" w:type="dxa"/>
            </w:tcMar>
            <w:hideMark/>
          </w:tcPr>
          <w:p w14:paraId="189E326E" w14:textId="77777777" w:rsidR="00AE0FE0" w:rsidRDefault="00AE0FE0">
            <w:pPr>
              <w:pStyle w:val="NormalWeb"/>
            </w:pPr>
            <w:r>
              <w:t>–</w:t>
            </w:r>
          </w:p>
        </w:tc>
        <w:tc>
          <w:tcPr>
            <w:tcW w:w="0" w:type="auto"/>
            <w:tcMar>
              <w:top w:w="142" w:type="dxa"/>
              <w:left w:w="142" w:type="dxa"/>
              <w:bottom w:w="142" w:type="dxa"/>
              <w:right w:w="142" w:type="dxa"/>
            </w:tcMar>
            <w:hideMark/>
          </w:tcPr>
          <w:p w14:paraId="08017131" w14:textId="77777777" w:rsidR="00AE0FE0" w:rsidRDefault="00AE0FE0">
            <w:pPr>
              <w:pStyle w:val="NormalWeb"/>
            </w:pPr>
            <w:r>
              <w:t>–</w:t>
            </w:r>
          </w:p>
        </w:tc>
      </w:tr>
      <w:tr w:rsidR="0011370B" w14:paraId="070F3439" w14:textId="77777777" w:rsidTr="00CB2C9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5AC9528"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18E2CB11" w14:textId="77777777" w:rsidR="00AE0FE0" w:rsidRDefault="00AE0FE0">
            <w:pPr>
              <w:pStyle w:val="NormalWeb"/>
            </w:pPr>
            <w:r>
              <w:t>14</w:t>
            </w:r>
          </w:p>
        </w:tc>
        <w:tc>
          <w:tcPr>
            <w:tcW w:w="0" w:type="auto"/>
            <w:tcMar>
              <w:top w:w="142" w:type="dxa"/>
              <w:left w:w="142" w:type="dxa"/>
              <w:bottom w:w="142" w:type="dxa"/>
              <w:right w:w="142" w:type="dxa"/>
            </w:tcMar>
            <w:hideMark/>
          </w:tcPr>
          <w:p w14:paraId="4F95131B" w14:textId="77777777" w:rsidR="00AE0FE0" w:rsidRDefault="00AE0FE0">
            <w:pPr>
              <w:pStyle w:val="NormalWeb"/>
            </w:pPr>
            <w:r>
              <w:t>n/a</w:t>
            </w:r>
          </w:p>
        </w:tc>
        <w:tc>
          <w:tcPr>
            <w:tcW w:w="0" w:type="auto"/>
            <w:tcMar>
              <w:top w:w="142" w:type="dxa"/>
              <w:left w:w="142" w:type="dxa"/>
              <w:bottom w:w="142" w:type="dxa"/>
              <w:right w:w="142" w:type="dxa"/>
            </w:tcMar>
            <w:hideMark/>
          </w:tcPr>
          <w:p w14:paraId="250ADB09" w14:textId="77777777" w:rsidR="00AE0FE0" w:rsidRDefault="00AE0FE0">
            <w:pPr>
              <w:pStyle w:val="NormalWeb"/>
            </w:pPr>
            <w:r>
              <w:t>–</w:t>
            </w:r>
          </w:p>
        </w:tc>
        <w:tc>
          <w:tcPr>
            <w:tcW w:w="0" w:type="auto"/>
            <w:tcMar>
              <w:top w:w="142" w:type="dxa"/>
              <w:left w:w="142" w:type="dxa"/>
              <w:bottom w:w="142" w:type="dxa"/>
              <w:right w:w="142" w:type="dxa"/>
            </w:tcMar>
            <w:hideMark/>
          </w:tcPr>
          <w:p w14:paraId="2C81B526" w14:textId="77777777" w:rsidR="00AE0FE0" w:rsidRDefault="00AE0FE0">
            <w:pPr>
              <w:pStyle w:val="NormalWeb"/>
            </w:pPr>
            <w:r>
              <w:t>–</w:t>
            </w:r>
          </w:p>
        </w:tc>
      </w:tr>
    </w:tbl>
    <w:p w14:paraId="6D5311C5" w14:textId="77777777" w:rsidR="00AE0FE0" w:rsidRDefault="00AE0FE0" w:rsidP="005460A7">
      <w:pPr>
        <w:pStyle w:val="CDIfootnotes"/>
      </w:pPr>
      <w:r>
        <w:rPr>
          <w:vertAlign w:val="superscript"/>
        </w:rPr>
        <w:t>*</w:t>
      </w:r>
      <w:r>
        <w:t xml:space="preserve"> Records where at least one of the vaccines shown in the table was suspected of involvement in the reported adverse event.</w:t>
      </w:r>
      <w:r w:rsidR="00CB0324">
        <w:br/>
      </w:r>
      <w:r>
        <w:rPr>
          <w:vertAlign w:val="superscript"/>
        </w:rPr>
        <w:t>†</w:t>
      </w:r>
      <w:r>
        <w:t xml:space="preserve"> Number of AEFI records in which the vaccine was coded as ‘suspected’ of involvement in the reported adverse event and the vaccination was administered between 1 January and 31 December 2016. More than one vaccine may be coded as ‘suspected’ if several were administered at the same time.</w:t>
      </w:r>
      <w:r w:rsidR="00CB0324">
        <w:br/>
      </w:r>
      <w:r>
        <w:rPr>
          <w:vertAlign w:val="superscript"/>
        </w:rPr>
        <w:t>‡</w:t>
      </w:r>
      <w:r>
        <w:t xml:space="preserve"> Number of vaccine doses recorded on the AIR/ACIR and administered between 1 January and 31 December 2016.</w:t>
      </w:r>
      <w:r w:rsidR="00CB0324">
        <w:br/>
      </w:r>
      <w:r>
        <w:rPr>
          <w:vertAlign w:val="superscript"/>
        </w:rPr>
        <w:t>§</w:t>
      </w:r>
      <w:r>
        <w:t xml:space="preserve"> The estimated reporting rate per 100,000 vaccine doses recorded.</w:t>
      </w:r>
      <w:r w:rsidR="00CB0324">
        <w:br/>
      </w:r>
      <w:r w:rsidR="00694369">
        <w:rPr>
          <w:vertAlign w:val="superscript"/>
        </w:rPr>
        <w:t>N/A</w:t>
      </w:r>
      <w:r>
        <w:t xml:space="preserve"> Not </w:t>
      </w:r>
      <w:proofErr w:type="gramStart"/>
      <w:r>
        <w:t>applicable</w:t>
      </w:r>
      <w:proofErr w:type="gramEnd"/>
    </w:p>
    <w:p w14:paraId="26DDB312" w14:textId="77777777" w:rsidR="00AE0FE0" w:rsidRDefault="00AE0FE0">
      <w:pPr>
        <w:pStyle w:val="NormalWeb"/>
      </w:pPr>
      <w:r>
        <w:t xml:space="preserve">For children &lt;7 years of age, rates for varicella, Hib and </w:t>
      </w:r>
      <w:proofErr w:type="spellStart"/>
      <w:r>
        <w:t>MenC</w:t>
      </w:r>
      <w:proofErr w:type="spellEnd"/>
      <w:r>
        <w:t xml:space="preserve"> should be interpreted with caution since these monovalent vaccines were replaced by combination vaccines in July 2013 and hence very few doses were recorded in 2016.</w:t>
      </w:r>
    </w:p>
    <w:p w14:paraId="222B80CC" w14:textId="77777777" w:rsidR="00AE0FE0" w:rsidRPr="003A6918" w:rsidRDefault="00AE0FE0" w:rsidP="003A6918">
      <w:pPr>
        <w:pStyle w:val="Heading2"/>
      </w:pPr>
      <w:r w:rsidRPr="003A6918">
        <w:rPr>
          <w:rStyle w:val="Strong"/>
          <w:b/>
          <w:bCs/>
        </w:rPr>
        <w:t>Geographical distribution</w:t>
      </w:r>
      <w:r w:rsidRPr="003A6918">
        <w:t xml:space="preserve"> </w:t>
      </w:r>
    </w:p>
    <w:p w14:paraId="79F8E1FB" w14:textId="77777777" w:rsidR="00AE0FE0" w:rsidRDefault="00AE0FE0">
      <w:pPr>
        <w:pStyle w:val="NormalWeb"/>
      </w:pPr>
      <w:r>
        <w:t xml:space="preserve">Population-based reporting patterns varied between states and territories during 2016 (Table 3). Reporting rates were not significantly different (with overlapping confidence intervals) across most jurisdictions in 2016 compared with 2015. </w:t>
      </w:r>
      <w:r>
        <w:rPr>
          <w:vertAlign w:val="superscript"/>
        </w:rPr>
        <w:t>33</w:t>
      </w:r>
      <w:r>
        <w:t xml:space="preserve"> </w:t>
      </w:r>
    </w:p>
    <w:p w14:paraId="5C024C26" w14:textId="77777777" w:rsidR="00AE0FE0" w:rsidRDefault="00AE0FE0" w:rsidP="00694369">
      <w:pPr>
        <w:pStyle w:val="CDIFigures"/>
      </w:pPr>
      <w:r>
        <w:t xml:space="preserve">Table 3: Adverse events following immunisation (AEFI) records, ADRS database, January to December 2016, by </w:t>
      </w:r>
      <w:proofErr w:type="gramStart"/>
      <w:r>
        <w:t>jurisdiction</w:t>
      </w:r>
      <w:proofErr w:type="gramEnd"/>
    </w:p>
    <w:tbl>
      <w:tblPr>
        <w:tblStyle w:val="CDI-StandardTable"/>
        <w:tblW w:w="0" w:type="auto"/>
        <w:tblLook w:val="04A0" w:firstRow="1" w:lastRow="0" w:firstColumn="1" w:lastColumn="0" w:noHBand="0" w:noVBand="1"/>
        <w:tblCaption w:val="Table 3: Adverse events following immunisation (AEFI) records, ADRS database, January to December 2016, by jurisdiction"/>
        <w:tblDescription w:val="Table 3 shows adverse events following immunisation (AEFI), 2016, &#10;by state or territory.&#10;"/>
      </w:tblPr>
      <w:tblGrid>
        <w:gridCol w:w="2268"/>
        <w:gridCol w:w="1275"/>
        <w:gridCol w:w="1275"/>
        <w:gridCol w:w="1139"/>
        <w:gridCol w:w="1314"/>
        <w:gridCol w:w="1263"/>
        <w:gridCol w:w="2216"/>
      </w:tblGrid>
      <w:tr w:rsidR="00AE0FE0" w14:paraId="71F88D4A" w14:textId="77777777" w:rsidTr="007B28D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Mar>
              <w:top w:w="142" w:type="dxa"/>
              <w:left w:w="142" w:type="dxa"/>
              <w:bottom w:w="142" w:type="dxa"/>
              <w:right w:w="142" w:type="dxa"/>
            </w:tcMar>
            <w:hideMark/>
          </w:tcPr>
          <w:p w14:paraId="5F303248" w14:textId="77777777" w:rsidR="00AE0FE0" w:rsidRPr="00A8671A" w:rsidRDefault="00AE0FE0">
            <w:pPr>
              <w:pStyle w:val="NormalWeb"/>
              <w:rPr>
                <w:color w:val="FFFFFF" w:themeColor="background1"/>
              </w:rPr>
            </w:pPr>
            <w:r w:rsidRPr="00A8671A">
              <w:rPr>
                <w:color w:val="FFFFFF" w:themeColor="background1"/>
              </w:rPr>
              <w:t>State or territory</w:t>
            </w:r>
          </w:p>
        </w:tc>
        <w:tc>
          <w:tcPr>
            <w:tcW w:w="0" w:type="auto"/>
            <w:vMerge w:val="restart"/>
            <w:tcMar>
              <w:top w:w="142" w:type="dxa"/>
              <w:left w:w="142" w:type="dxa"/>
              <w:bottom w:w="142" w:type="dxa"/>
              <w:right w:w="142" w:type="dxa"/>
            </w:tcMar>
            <w:hideMark/>
          </w:tcPr>
          <w:p w14:paraId="5705E43F" w14:textId="77777777" w:rsidR="00AE0FE0" w:rsidRPr="00A8671A" w:rsidRDefault="00AE0FE0">
            <w:pPr>
              <w:pStyle w:val="NormalWeb"/>
              <w:rPr>
                <w:color w:val="FFFFFF" w:themeColor="background1"/>
              </w:rPr>
            </w:pPr>
            <w:r w:rsidRPr="00A8671A">
              <w:rPr>
                <w:color w:val="FFFFFF" w:themeColor="background1"/>
              </w:rPr>
              <w:t>AEFI records</w:t>
            </w:r>
          </w:p>
          <w:p w14:paraId="18123AE7" w14:textId="77777777" w:rsidR="00AE0FE0" w:rsidRPr="00A8671A" w:rsidRDefault="00AE0FE0">
            <w:pPr>
              <w:pStyle w:val="NormalWeb"/>
              <w:rPr>
                <w:color w:val="FFFFFF" w:themeColor="background1"/>
              </w:rPr>
            </w:pPr>
            <w:r w:rsidRPr="00A8671A">
              <w:rPr>
                <w:color w:val="FFFFFF" w:themeColor="background1"/>
              </w:rPr>
              <w:t>n</w:t>
            </w:r>
          </w:p>
        </w:tc>
        <w:tc>
          <w:tcPr>
            <w:tcW w:w="0" w:type="auto"/>
            <w:vMerge w:val="restart"/>
            <w:tcMar>
              <w:top w:w="142" w:type="dxa"/>
              <w:left w:w="142" w:type="dxa"/>
              <w:bottom w:w="142" w:type="dxa"/>
              <w:right w:w="142" w:type="dxa"/>
            </w:tcMar>
            <w:hideMark/>
          </w:tcPr>
          <w:p w14:paraId="0E6A669E" w14:textId="77777777" w:rsidR="00AE0FE0" w:rsidRPr="00A8671A" w:rsidRDefault="00AE0FE0">
            <w:pPr>
              <w:pStyle w:val="NormalWeb"/>
              <w:rPr>
                <w:color w:val="FFFFFF" w:themeColor="background1"/>
              </w:rPr>
            </w:pPr>
            <w:r w:rsidRPr="00A8671A">
              <w:rPr>
                <w:color w:val="FFFFFF" w:themeColor="background1"/>
              </w:rPr>
              <w:t>AEFI records</w:t>
            </w:r>
          </w:p>
          <w:p w14:paraId="22EF85CE" w14:textId="77777777" w:rsidR="00AE0FE0" w:rsidRPr="00A8671A" w:rsidRDefault="00AE0FE0">
            <w:pPr>
              <w:pStyle w:val="NormalWeb"/>
              <w:rPr>
                <w:color w:val="FFFFFF" w:themeColor="background1"/>
              </w:rPr>
            </w:pPr>
            <w:r w:rsidRPr="00A8671A">
              <w:rPr>
                <w:color w:val="FFFFFF" w:themeColor="background1"/>
              </w:rPr>
              <w:t>(%)</w:t>
            </w:r>
          </w:p>
        </w:tc>
        <w:tc>
          <w:tcPr>
            <w:tcW w:w="0" w:type="auto"/>
            <w:gridSpan w:val="4"/>
            <w:tcMar>
              <w:top w:w="142" w:type="dxa"/>
              <w:left w:w="142" w:type="dxa"/>
              <w:bottom w:w="142" w:type="dxa"/>
              <w:right w:w="142" w:type="dxa"/>
            </w:tcMar>
            <w:hideMark/>
          </w:tcPr>
          <w:p w14:paraId="59ECF179" w14:textId="77777777" w:rsidR="00AE0FE0" w:rsidRPr="00A8671A" w:rsidRDefault="00AE0FE0">
            <w:pPr>
              <w:pStyle w:val="NormalWeb"/>
              <w:rPr>
                <w:color w:val="FFFFFF" w:themeColor="background1"/>
              </w:rPr>
            </w:pPr>
            <w:r w:rsidRPr="00A8671A">
              <w:rPr>
                <w:color w:val="FFFFFF" w:themeColor="background1"/>
              </w:rPr>
              <w:t>Annual reporting rate per 100,000 population</w:t>
            </w:r>
            <w:r w:rsidRPr="00196897">
              <w:rPr>
                <w:color w:val="FFFFFF" w:themeColor="background1"/>
                <w:vertAlign w:val="superscript"/>
              </w:rPr>
              <w:t>*</w:t>
            </w:r>
          </w:p>
        </w:tc>
      </w:tr>
      <w:tr w:rsidR="007B28D0" w14:paraId="3DA048E6" w14:textId="77777777" w:rsidTr="007B28D0">
        <w:trPr>
          <w:cnfStyle w:val="100000000000" w:firstRow="1" w:lastRow="0" w:firstColumn="0" w:lastColumn="0" w:oddVBand="0" w:evenVBand="0" w:oddHBand="0" w:evenHBand="0" w:firstRowFirstColumn="0" w:firstRowLastColumn="0" w:lastRowFirstColumn="0" w:lastRowLastColumn="0"/>
          <w:tblHeader/>
        </w:trPr>
        <w:tc>
          <w:tcPr>
            <w:tcW w:w="0" w:type="auto"/>
            <w:vMerge/>
            <w:tcMar>
              <w:top w:w="142" w:type="dxa"/>
              <w:left w:w="142" w:type="dxa"/>
              <w:bottom w:w="142" w:type="dxa"/>
              <w:right w:w="142" w:type="dxa"/>
            </w:tcMar>
            <w:hideMark/>
          </w:tcPr>
          <w:p w14:paraId="67514405" w14:textId="77777777" w:rsidR="00AE0FE0" w:rsidRPr="00A8671A" w:rsidRDefault="00AE0FE0">
            <w:pPr>
              <w:rPr>
                <w:color w:val="FFFFFF" w:themeColor="background1"/>
                <w:sz w:val="24"/>
                <w:szCs w:val="24"/>
              </w:rPr>
            </w:pPr>
          </w:p>
        </w:tc>
        <w:tc>
          <w:tcPr>
            <w:tcW w:w="0" w:type="auto"/>
            <w:vMerge/>
            <w:tcMar>
              <w:top w:w="142" w:type="dxa"/>
              <w:left w:w="142" w:type="dxa"/>
              <w:bottom w:w="142" w:type="dxa"/>
              <w:right w:w="142" w:type="dxa"/>
            </w:tcMar>
            <w:hideMark/>
          </w:tcPr>
          <w:p w14:paraId="33AB62A3" w14:textId="77777777" w:rsidR="00AE0FE0" w:rsidRPr="00A8671A" w:rsidRDefault="00AE0FE0">
            <w:pPr>
              <w:rPr>
                <w:color w:val="FFFFFF" w:themeColor="background1"/>
                <w:sz w:val="24"/>
                <w:szCs w:val="24"/>
              </w:rPr>
            </w:pPr>
          </w:p>
        </w:tc>
        <w:tc>
          <w:tcPr>
            <w:tcW w:w="0" w:type="auto"/>
            <w:vMerge/>
            <w:tcMar>
              <w:top w:w="142" w:type="dxa"/>
              <w:left w:w="142" w:type="dxa"/>
              <w:bottom w:w="142" w:type="dxa"/>
              <w:right w:w="142" w:type="dxa"/>
            </w:tcMar>
            <w:hideMark/>
          </w:tcPr>
          <w:p w14:paraId="50F3D37E" w14:textId="77777777" w:rsidR="00AE0FE0" w:rsidRPr="00A8671A" w:rsidRDefault="00AE0FE0">
            <w:pPr>
              <w:rPr>
                <w:color w:val="FFFFFF" w:themeColor="background1"/>
                <w:sz w:val="24"/>
                <w:szCs w:val="24"/>
              </w:rPr>
            </w:pPr>
          </w:p>
        </w:tc>
        <w:tc>
          <w:tcPr>
            <w:tcW w:w="0" w:type="auto"/>
            <w:tcMar>
              <w:top w:w="142" w:type="dxa"/>
              <w:left w:w="142" w:type="dxa"/>
              <w:bottom w:w="142" w:type="dxa"/>
              <w:right w:w="142" w:type="dxa"/>
            </w:tcMar>
            <w:hideMark/>
          </w:tcPr>
          <w:p w14:paraId="35055F2B" w14:textId="77777777" w:rsidR="00AE0FE0" w:rsidRPr="00A8671A" w:rsidRDefault="00AE0FE0" w:rsidP="00196897">
            <w:pPr>
              <w:pStyle w:val="NormalWeb"/>
              <w:rPr>
                <w:color w:val="FFFFFF" w:themeColor="background1"/>
              </w:rPr>
            </w:pPr>
            <w:r w:rsidRPr="00A8671A">
              <w:rPr>
                <w:color w:val="FFFFFF" w:themeColor="background1"/>
              </w:rPr>
              <w:t>‘Serious’</w:t>
            </w:r>
            <w:r w:rsidRPr="00196897">
              <w:rPr>
                <w:color w:val="FFFFFF" w:themeColor="background1"/>
                <w:vertAlign w:val="superscript"/>
              </w:rPr>
              <w:t>†</w:t>
            </w:r>
          </w:p>
        </w:tc>
        <w:tc>
          <w:tcPr>
            <w:tcW w:w="0" w:type="auto"/>
            <w:tcMar>
              <w:top w:w="142" w:type="dxa"/>
              <w:left w:w="142" w:type="dxa"/>
              <w:bottom w:w="142" w:type="dxa"/>
              <w:right w:w="142" w:type="dxa"/>
            </w:tcMar>
            <w:hideMark/>
          </w:tcPr>
          <w:p w14:paraId="2A20B8A8" w14:textId="77777777" w:rsidR="00AE0FE0" w:rsidRPr="00A8671A" w:rsidRDefault="00AE0FE0">
            <w:pPr>
              <w:pStyle w:val="NormalWeb"/>
              <w:rPr>
                <w:color w:val="FFFFFF" w:themeColor="background1"/>
              </w:rPr>
            </w:pPr>
            <w:r w:rsidRPr="00A8671A">
              <w:rPr>
                <w:color w:val="FFFFFF" w:themeColor="background1"/>
              </w:rPr>
              <w:t>Aged &lt;7 years</w:t>
            </w:r>
          </w:p>
        </w:tc>
        <w:tc>
          <w:tcPr>
            <w:tcW w:w="0" w:type="auto"/>
            <w:tcMar>
              <w:top w:w="142" w:type="dxa"/>
              <w:left w:w="142" w:type="dxa"/>
              <w:bottom w:w="142" w:type="dxa"/>
              <w:right w:w="142" w:type="dxa"/>
            </w:tcMar>
            <w:hideMark/>
          </w:tcPr>
          <w:p w14:paraId="4458DC2C" w14:textId="77777777" w:rsidR="00AE0FE0" w:rsidRPr="00A8671A" w:rsidRDefault="00AE0FE0">
            <w:pPr>
              <w:pStyle w:val="NormalWeb"/>
              <w:rPr>
                <w:color w:val="FFFFFF" w:themeColor="background1"/>
              </w:rPr>
            </w:pPr>
            <w:r w:rsidRPr="00A8671A">
              <w:rPr>
                <w:color w:val="FFFFFF" w:themeColor="background1"/>
              </w:rPr>
              <w:t>Overall Rate</w:t>
            </w:r>
          </w:p>
        </w:tc>
        <w:tc>
          <w:tcPr>
            <w:tcW w:w="0" w:type="auto"/>
            <w:tcMar>
              <w:top w:w="142" w:type="dxa"/>
              <w:left w:w="142" w:type="dxa"/>
              <w:bottom w:w="142" w:type="dxa"/>
              <w:right w:w="142" w:type="dxa"/>
            </w:tcMar>
            <w:hideMark/>
          </w:tcPr>
          <w:p w14:paraId="20036757" w14:textId="77777777" w:rsidR="00AE0FE0" w:rsidRPr="00A8671A" w:rsidRDefault="00AE0FE0">
            <w:pPr>
              <w:pStyle w:val="NormalWeb"/>
              <w:rPr>
                <w:color w:val="FFFFFF" w:themeColor="background1"/>
              </w:rPr>
            </w:pPr>
            <w:r w:rsidRPr="00A8671A">
              <w:rPr>
                <w:color w:val="FFFFFF" w:themeColor="background1"/>
              </w:rPr>
              <w:t>(95% Confidence Interval)</w:t>
            </w:r>
          </w:p>
        </w:tc>
      </w:tr>
      <w:tr w:rsidR="00A705E5" w14:paraId="08186BB1" w14:textId="77777777" w:rsidTr="007B28D0">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91986A8" w14:textId="77777777" w:rsidR="00AE0FE0" w:rsidRDefault="00AE0FE0">
            <w:pPr>
              <w:pStyle w:val="NormalWeb"/>
            </w:pPr>
            <w:r>
              <w:t>Australian Capital Territory</w:t>
            </w:r>
          </w:p>
        </w:tc>
        <w:tc>
          <w:tcPr>
            <w:tcW w:w="0" w:type="auto"/>
            <w:tcMar>
              <w:top w:w="142" w:type="dxa"/>
              <w:left w:w="142" w:type="dxa"/>
              <w:bottom w:w="142" w:type="dxa"/>
              <w:right w:w="142" w:type="dxa"/>
            </w:tcMar>
            <w:hideMark/>
          </w:tcPr>
          <w:p w14:paraId="734FB278" w14:textId="77777777" w:rsidR="00AE0FE0" w:rsidRDefault="00AE0FE0">
            <w:pPr>
              <w:pStyle w:val="NormalWeb"/>
            </w:pPr>
            <w:r>
              <w:t>87</w:t>
            </w:r>
          </w:p>
        </w:tc>
        <w:tc>
          <w:tcPr>
            <w:tcW w:w="0" w:type="auto"/>
            <w:tcMar>
              <w:top w:w="142" w:type="dxa"/>
              <w:left w:w="142" w:type="dxa"/>
              <w:bottom w:w="142" w:type="dxa"/>
              <w:right w:w="142" w:type="dxa"/>
            </w:tcMar>
            <w:hideMark/>
          </w:tcPr>
          <w:p w14:paraId="537EA4D2" w14:textId="77777777" w:rsidR="00AE0FE0" w:rsidRDefault="00AE0FE0">
            <w:pPr>
              <w:pStyle w:val="NormalWeb"/>
            </w:pPr>
            <w:r>
              <w:t>(2.6)</w:t>
            </w:r>
          </w:p>
        </w:tc>
        <w:tc>
          <w:tcPr>
            <w:tcW w:w="0" w:type="auto"/>
            <w:tcMar>
              <w:top w:w="142" w:type="dxa"/>
              <w:left w:w="142" w:type="dxa"/>
              <w:bottom w:w="142" w:type="dxa"/>
              <w:right w:w="142" w:type="dxa"/>
            </w:tcMar>
            <w:hideMark/>
          </w:tcPr>
          <w:p w14:paraId="3C85F69D" w14:textId="77777777" w:rsidR="00AE0FE0" w:rsidRDefault="00AE0FE0">
            <w:pPr>
              <w:pStyle w:val="NormalWeb"/>
            </w:pPr>
            <w:r>
              <w:t>2.7</w:t>
            </w:r>
          </w:p>
        </w:tc>
        <w:tc>
          <w:tcPr>
            <w:tcW w:w="0" w:type="auto"/>
            <w:tcMar>
              <w:top w:w="142" w:type="dxa"/>
              <w:left w:w="142" w:type="dxa"/>
              <w:bottom w:w="142" w:type="dxa"/>
              <w:right w:w="142" w:type="dxa"/>
            </w:tcMar>
            <w:hideMark/>
          </w:tcPr>
          <w:p w14:paraId="7A52B535" w14:textId="77777777" w:rsidR="00AE0FE0" w:rsidRDefault="00AE0FE0">
            <w:pPr>
              <w:pStyle w:val="NormalWeb"/>
            </w:pPr>
            <w:r>
              <w:t>61.5</w:t>
            </w:r>
          </w:p>
        </w:tc>
        <w:tc>
          <w:tcPr>
            <w:tcW w:w="0" w:type="auto"/>
            <w:tcMar>
              <w:top w:w="142" w:type="dxa"/>
              <w:left w:w="142" w:type="dxa"/>
              <w:bottom w:w="142" w:type="dxa"/>
              <w:right w:w="142" w:type="dxa"/>
            </w:tcMar>
            <w:hideMark/>
          </w:tcPr>
          <w:p w14:paraId="51FE99BB" w14:textId="77777777" w:rsidR="00AE0FE0" w:rsidRDefault="00AE0FE0">
            <w:pPr>
              <w:pStyle w:val="NormalWeb"/>
            </w:pPr>
            <w:r>
              <w:t>21.6</w:t>
            </w:r>
          </w:p>
        </w:tc>
        <w:tc>
          <w:tcPr>
            <w:tcW w:w="0" w:type="auto"/>
            <w:tcMar>
              <w:top w:w="142" w:type="dxa"/>
              <w:left w:w="142" w:type="dxa"/>
              <w:bottom w:w="142" w:type="dxa"/>
              <w:right w:w="142" w:type="dxa"/>
            </w:tcMar>
            <w:hideMark/>
          </w:tcPr>
          <w:p w14:paraId="2F5C6EEE" w14:textId="77777777" w:rsidR="00AE0FE0" w:rsidRDefault="00AE0FE0">
            <w:pPr>
              <w:pStyle w:val="NormalWeb"/>
            </w:pPr>
            <w:r>
              <w:t>(17.3 – 26.6)</w:t>
            </w:r>
          </w:p>
        </w:tc>
      </w:tr>
      <w:tr w:rsidR="007B28D0" w14:paraId="75A29C58" w14:textId="77777777" w:rsidTr="007B28D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BE826DD" w14:textId="77777777" w:rsidR="00AE0FE0" w:rsidRDefault="00AE0FE0">
            <w:pPr>
              <w:pStyle w:val="NormalWeb"/>
            </w:pPr>
            <w:r>
              <w:t>New South Wales</w:t>
            </w:r>
          </w:p>
        </w:tc>
        <w:tc>
          <w:tcPr>
            <w:tcW w:w="0" w:type="auto"/>
            <w:tcMar>
              <w:top w:w="142" w:type="dxa"/>
              <w:left w:w="142" w:type="dxa"/>
              <w:bottom w:w="142" w:type="dxa"/>
              <w:right w:w="142" w:type="dxa"/>
            </w:tcMar>
            <w:hideMark/>
          </w:tcPr>
          <w:p w14:paraId="0427C3A8" w14:textId="77777777" w:rsidR="00AE0FE0" w:rsidRDefault="00AE0FE0">
            <w:pPr>
              <w:pStyle w:val="NormalWeb"/>
            </w:pPr>
            <w:r>
              <w:t>632</w:t>
            </w:r>
          </w:p>
        </w:tc>
        <w:tc>
          <w:tcPr>
            <w:tcW w:w="0" w:type="auto"/>
            <w:tcMar>
              <w:top w:w="142" w:type="dxa"/>
              <w:left w:w="142" w:type="dxa"/>
              <w:bottom w:w="142" w:type="dxa"/>
              <w:right w:w="142" w:type="dxa"/>
            </w:tcMar>
            <w:hideMark/>
          </w:tcPr>
          <w:p w14:paraId="0489AF92" w14:textId="77777777" w:rsidR="00AE0FE0" w:rsidRDefault="00AE0FE0">
            <w:pPr>
              <w:pStyle w:val="NormalWeb"/>
            </w:pPr>
            <w:r>
              <w:t>(18.6)</w:t>
            </w:r>
          </w:p>
        </w:tc>
        <w:tc>
          <w:tcPr>
            <w:tcW w:w="0" w:type="auto"/>
            <w:tcMar>
              <w:top w:w="142" w:type="dxa"/>
              <w:left w:w="142" w:type="dxa"/>
              <w:bottom w:w="142" w:type="dxa"/>
              <w:right w:w="142" w:type="dxa"/>
            </w:tcMar>
            <w:hideMark/>
          </w:tcPr>
          <w:p w14:paraId="3121159C" w14:textId="77777777" w:rsidR="00AE0FE0" w:rsidRDefault="00AE0FE0">
            <w:pPr>
              <w:pStyle w:val="NormalWeb"/>
            </w:pPr>
            <w:r>
              <w:t>1.0</w:t>
            </w:r>
          </w:p>
        </w:tc>
        <w:tc>
          <w:tcPr>
            <w:tcW w:w="0" w:type="auto"/>
            <w:tcMar>
              <w:top w:w="142" w:type="dxa"/>
              <w:left w:w="142" w:type="dxa"/>
              <w:bottom w:w="142" w:type="dxa"/>
              <w:right w:w="142" w:type="dxa"/>
            </w:tcMar>
            <w:hideMark/>
          </w:tcPr>
          <w:p w14:paraId="5D46C388" w14:textId="77777777" w:rsidR="00AE0FE0" w:rsidRDefault="00AE0FE0">
            <w:pPr>
              <w:pStyle w:val="NormalWeb"/>
            </w:pPr>
            <w:r>
              <w:t>32.0</w:t>
            </w:r>
          </w:p>
        </w:tc>
        <w:tc>
          <w:tcPr>
            <w:tcW w:w="0" w:type="auto"/>
            <w:tcMar>
              <w:top w:w="142" w:type="dxa"/>
              <w:left w:w="142" w:type="dxa"/>
              <w:bottom w:w="142" w:type="dxa"/>
              <w:right w:w="142" w:type="dxa"/>
            </w:tcMar>
            <w:hideMark/>
          </w:tcPr>
          <w:p w14:paraId="7EC82BA4" w14:textId="77777777" w:rsidR="00AE0FE0" w:rsidRDefault="00AE0FE0">
            <w:pPr>
              <w:pStyle w:val="NormalWeb"/>
            </w:pPr>
            <w:r>
              <w:t>8.2</w:t>
            </w:r>
          </w:p>
        </w:tc>
        <w:tc>
          <w:tcPr>
            <w:tcW w:w="0" w:type="auto"/>
            <w:tcMar>
              <w:top w:w="142" w:type="dxa"/>
              <w:left w:w="142" w:type="dxa"/>
              <w:bottom w:w="142" w:type="dxa"/>
              <w:right w:w="142" w:type="dxa"/>
            </w:tcMar>
            <w:hideMark/>
          </w:tcPr>
          <w:p w14:paraId="603F40B7" w14:textId="77777777" w:rsidR="00AE0FE0" w:rsidRDefault="00AE0FE0">
            <w:pPr>
              <w:pStyle w:val="NormalWeb"/>
            </w:pPr>
            <w:r>
              <w:t>(7.5 – 8.8)</w:t>
            </w:r>
          </w:p>
        </w:tc>
      </w:tr>
      <w:tr w:rsidR="00A705E5" w14:paraId="74C739DE" w14:textId="77777777" w:rsidTr="007B28D0">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A54E370" w14:textId="77777777" w:rsidR="00AE0FE0" w:rsidRDefault="00AE0FE0">
            <w:pPr>
              <w:pStyle w:val="NormalWeb"/>
            </w:pPr>
            <w:r>
              <w:t>Northern Territory</w:t>
            </w:r>
          </w:p>
        </w:tc>
        <w:tc>
          <w:tcPr>
            <w:tcW w:w="0" w:type="auto"/>
            <w:tcMar>
              <w:top w:w="142" w:type="dxa"/>
              <w:left w:w="142" w:type="dxa"/>
              <w:bottom w:w="142" w:type="dxa"/>
              <w:right w:w="142" w:type="dxa"/>
            </w:tcMar>
            <w:hideMark/>
          </w:tcPr>
          <w:p w14:paraId="25A6291D" w14:textId="77777777" w:rsidR="00AE0FE0" w:rsidRDefault="00AE0FE0">
            <w:pPr>
              <w:pStyle w:val="NormalWeb"/>
            </w:pPr>
            <w:r>
              <w:t>57</w:t>
            </w:r>
          </w:p>
        </w:tc>
        <w:tc>
          <w:tcPr>
            <w:tcW w:w="0" w:type="auto"/>
            <w:tcMar>
              <w:top w:w="142" w:type="dxa"/>
              <w:left w:w="142" w:type="dxa"/>
              <w:bottom w:w="142" w:type="dxa"/>
              <w:right w:w="142" w:type="dxa"/>
            </w:tcMar>
            <w:hideMark/>
          </w:tcPr>
          <w:p w14:paraId="728406E3" w14:textId="77777777" w:rsidR="00AE0FE0" w:rsidRDefault="00AE0FE0">
            <w:pPr>
              <w:pStyle w:val="NormalWeb"/>
            </w:pPr>
            <w:r>
              <w:t>(1.7)</w:t>
            </w:r>
          </w:p>
        </w:tc>
        <w:tc>
          <w:tcPr>
            <w:tcW w:w="0" w:type="auto"/>
            <w:tcMar>
              <w:top w:w="142" w:type="dxa"/>
              <w:left w:w="142" w:type="dxa"/>
              <w:bottom w:w="142" w:type="dxa"/>
              <w:right w:w="142" w:type="dxa"/>
            </w:tcMar>
            <w:hideMark/>
          </w:tcPr>
          <w:p w14:paraId="4E092BFF" w14:textId="77777777" w:rsidR="00AE0FE0" w:rsidRDefault="00AE0FE0">
            <w:pPr>
              <w:pStyle w:val="NormalWeb"/>
            </w:pPr>
            <w:r>
              <w:t>2.4</w:t>
            </w:r>
          </w:p>
        </w:tc>
        <w:tc>
          <w:tcPr>
            <w:tcW w:w="0" w:type="auto"/>
            <w:tcMar>
              <w:top w:w="142" w:type="dxa"/>
              <w:left w:w="142" w:type="dxa"/>
              <w:bottom w:w="142" w:type="dxa"/>
              <w:right w:w="142" w:type="dxa"/>
            </w:tcMar>
            <w:hideMark/>
          </w:tcPr>
          <w:p w14:paraId="50E9C774" w14:textId="77777777" w:rsidR="00AE0FE0" w:rsidRDefault="00AE0FE0">
            <w:pPr>
              <w:pStyle w:val="NormalWeb"/>
            </w:pPr>
            <w:r>
              <w:t>100.5</w:t>
            </w:r>
          </w:p>
        </w:tc>
        <w:tc>
          <w:tcPr>
            <w:tcW w:w="0" w:type="auto"/>
            <w:tcMar>
              <w:top w:w="142" w:type="dxa"/>
              <w:left w:w="142" w:type="dxa"/>
              <w:bottom w:w="142" w:type="dxa"/>
              <w:right w:w="142" w:type="dxa"/>
            </w:tcMar>
            <w:hideMark/>
          </w:tcPr>
          <w:p w14:paraId="3395839C" w14:textId="77777777" w:rsidR="00AE0FE0" w:rsidRDefault="00AE0FE0">
            <w:pPr>
              <w:pStyle w:val="NormalWeb"/>
            </w:pPr>
            <w:r>
              <w:t>23.2</w:t>
            </w:r>
          </w:p>
        </w:tc>
        <w:tc>
          <w:tcPr>
            <w:tcW w:w="0" w:type="auto"/>
            <w:tcMar>
              <w:top w:w="142" w:type="dxa"/>
              <w:left w:w="142" w:type="dxa"/>
              <w:bottom w:w="142" w:type="dxa"/>
              <w:right w:w="142" w:type="dxa"/>
            </w:tcMar>
            <w:hideMark/>
          </w:tcPr>
          <w:p w14:paraId="09E6C2AE" w14:textId="77777777" w:rsidR="00AE0FE0" w:rsidRDefault="00AE0FE0">
            <w:pPr>
              <w:pStyle w:val="NormalWeb"/>
            </w:pPr>
            <w:r>
              <w:t>(17.6 – 30.1)</w:t>
            </w:r>
          </w:p>
        </w:tc>
      </w:tr>
      <w:tr w:rsidR="007B28D0" w14:paraId="1D2E03AB" w14:textId="77777777" w:rsidTr="007B28D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A03DD61" w14:textId="77777777" w:rsidR="00AE0FE0" w:rsidRDefault="00AE0FE0">
            <w:pPr>
              <w:pStyle w:val="NormalWeb"/>
            </w:pPr>
            <w:r>
              <w:t>Queensland</w:t>
            </w:r>
          </w:p>
        </w:tc>
        <w:tc>
          <w:tcPr>
            <w:tcW w:w="0" w:type="auto"/>
            <w:tcMar>
              <w:top w:w="142" w:type="dxa"/>
              <w:left w:w="142" w:type="dxa"/>
              <w:bottom w:w="142" w:type="dxa"/>
              <w:right w:w="142" w:type="dxa"/>
            </w:tcMar>
            <w:hideMark/>
          </w:tcPr>
          <w:p w14:paraId="2150A317" w14:textId="77777777" w:rsidR="00AE0FE0" w:rsidRDefault="00AE0FE0">
            <w:pPr>
              <w:pStyle w:val="NormalWeb"/>
            </w:pPr>
            <w:r>
              <w:t>647</w:t>
            </w:r>
          </w:p>
        </w:tc>
        <w:tc>
          <w:tcPr>
            <w:tcW w:w="0" w:type="auto"/>
            <w:tcMar>
              <w:top w:w="142" w:type="dxa"/>
              <w:left w:w="142" w:type="dxa"/>
              <w:bottom w:w="142" w:type="dxa"/>
              <w:right w:w="142" w:type="dxa"/>
            </w:tcMar>
            <w:hideMark/>
          </w:tcPr>
          <w:p w14:paraId="2D8D5C75" w14:textId="77777777" w:rsidR="00AE0FE0" w:rsidRDefault="00AE0FE0">
            <w:pPr>
              <w:pStyle w:val="NormalWeb"/>
            </w:pPr>
            <w:r>
              <w:t>(19.0)</w:t>
            </w:r>
          </w:p>
        </w:tc>
        <w:tc>
          <w:tcPr>
            <w:tcW w:w="0" w:type="auto"/>
            <w:tcMar>
              <w:top w:w="142" w:type="dxa"/>
              <w:left w:w="142" w:type="dxa"/>
              <w:bottom w:w="142" w:type="dxa"/>
              <w:right w:w="142" w:type="dxa"/>
            </w:tcMar>
            <w:hideMark/>
          </w:tcPr>
          <w:p w14:paraId="2320C9B3" w14:textId="77777777" w:rsidR="00AE0FE0" w:rsidRDefault="00AE0FE0">
            <w:pPr>
              <w:pStyle w:val="NormalWeb"/>
            </w:pPr>
            <w:r>
              <w:t>1.3</w:t>
            </w:r>
          </w:p>
        </w:tc>
        <w:tc>
          <w:tcPr>
            <w:tcW w:w="0" w:type="auto"/>
            <w:tcMar>
              <w:top w:w="142" w:type="dxa"/>
              <w:left w:w="142" w:type="dxa"/>
              <w:bottom w:w="142" w:type="dxa"/>
              <w:right w:w="142" w:type="dxa"/>
            </w:tcMar>
            <w:hideMark/>
          </w:tcPr>
          <w:p w14:paraId="3BE69FA9" w14:textId="77777777" w:rsidR="00AE0FE0" w:rsidRDefault="00AE0FE0">
            <w:pPr>
              <w:pStyle w:val="NormalWeb"/>
            </w:pPr>
            <w:r>
              <w:t>67.2</w:t>
            </w:r>
          </w:p>
        </w:tc>
        <w:tc>
          <w:tcPr>
            <w:tcW w:w="0" w:type="auto"/>
            <w:tcMar>
              <w:top w:w="142" w:type="dxa"/>
              <w:left w:w="142" w:type="dxa"/>
              <w:bottom w:w="142" w:type="dxa"/>
              <w:right w:w="142" w:type="dxa"/>
            </w:tcMar>
            <w:hideMark/>
          </w:tcPr>
          <w:p w14:paraId="1987E2C0" w14:textId="77777777" w:rsidR="00AE0FE0" w:rsidRDefault="00AE0FE0">
            <w:pPr>
              <w:pStyle w:val="NormalWeb"/>
            </w:pPr>
            <w:r>
              <w:t>13.3</w:t>
            </w:r>
          </w:p>
        </w:tc>
        <w:tc>
          <w:tcPr>
            <w:tcW w:w="0" w:type="auto"/>
            <w:tcMar>
              <w:top w:w="142" w:type="dxa"/>
              <w:left w:w="142" w:type="dxa"/>
              <w:bottom w:w="142" w:type="dxa"/>
              <w:right w:w="142" w:type="dxa"/>
            </w:tcMar>
            <w:hideMark/>
          </w:tcPr>
          <w:p w14:paraId="0D1296C0" w14:textId="77777777" w:rsidR="00AE0FE0" w:rsidRDefault="00AE0FE0">
            <w:pPr>
              <w:pStyle w:val="NormalWeb"/>
            </w:pPr>
            <w:r>
              <w:t>(12.3 – 14.4)</w:t>
            </w:r>
          </w:p>
        </w:tc>
      </w:tr>
      <w:tr w:rsidR="00A705E5" w14:paraId="593F828B" w14:textId="77777777" w:rsidTr="007B28D0">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94F6847" w14:textId="77777777" w:rsidR="00AE0FE0" w:rsidRDefault="00AE0FE0">
            <w:pPr>
              <w:pStyle w:val="NormalWeb"/>
            </w:pPr>
            <w:r>
              <w:t>South Australia</w:t>
            </w:r>
          </w:p>
        </w:tc>
        <w:tc>
          <w:tcPr>
            <w:tcW w:w="0" w:type="auto"/>
            <w:tcMar>
              <w:top w:w="142" w:type="dxa"/>
              <w:left w:w="142" w:type="dxa"/>
              <w:bottom w:w="142" w:type="dxa"/>
              <w:right w:w="142" w:type="dxa"/>
            </w:tcMar>
            <w:hideMark/>
          </w:tcPr>
          <w:p w14:paraId="46602543" w14:textId="77777777" w:rsidR="00AE0FE0" w:rsidRDefault="00AE0FE0">
            <w:pPr>
              <w:pStyle w:val="NormalWeb"/>
            </w:pPr>
            <w:r>
              <w:t>279</w:t>
            </w:r>
          </w:p>
        </w:tc>
        <w:tc>
          <w:tcPr>
            <w:tcW w:w="0" w:type="auto"/>
            <w:tcMar>
              <w:top w:w="142" w:type="dxa"/>
              <w:left w:w="142" w:type="dxa"/>
              <w:bottom w:w="142" w:type="dxa"/>
              <w:right w:w="142" w:type="dxa"/>
            </w:tcMar>
            <w:hideMark/>
          </w:tcPr>
          <w:p w14:paraId="71826164" w14:textId="77777777" w:rsidR="00AE0FE0" w:rsidRDefault="00AE0FE0">
            <w:pPr>
              <w:pStyle w:val="NormalWeb"/>
            </w:pPr>
            <w:r>
              <w:t>(8.2)</w:t>
            </w:r>
          </w:p>
        </w:tc>
        <w:tc>
          <w:tcPr>
            <w:tcW w:w="0" w:type="auto"/>
            <w:tcMar>
              <w:top w:w="142" w:type="dxa"/>
              <w:left w:w="142" w:type="dxa"/>
              <w:bottom w:w="142" w:type="dxa"/>
              <w:right w:w="142" w:type="dxa"/>
            </w:tcMar>
            <w:hideMark/>
          </w:tcPr>
          <w:p w14:paraId="31DF224E" w14:textId="77777777" w:rsidR="00AE0FE0" w:rsidRDefault="00AE0FE0">
            <w:pPr>
              <w:pStyle w:val="NormalWeb"/>
            </w:pPr>
            <w:r>
              <w:t>1.1</w:t>
            </w:r>
          </w:p>
        </w:tc>
        <w:tc>
          <w:tcPr>
            <w:tcW w:w="0" w:type="auto"/>
            <w:tcMar>
              <w:top w:w="142" w:type="dxa"/>
              <w:left w:w="142" w:type="dxa"/>
              <w:bottom w:w="142" w:type="dxa"/>
              <w:right w:w="142" w:type="dxa"/>
            </w:tcMar>
            <w:hideMark/>
          </w:tcPr>
          <w:p w14:paraId="5833D03E" w14:textId="77777777" w:rsidR="00AE0FE0" w:rsidRDefault="00AE0FE0">
            <w:pPr>
              <w:pStyle w:val="NormalWeb"/>
            </w:pPr>
            <w:r>
              <w:t>83.6</w:t>
            </w:r>
          </w:p>
        </w:tc>
        <w:tc>
          <w:tcPr>
            <w:tcW w:w="0" w:type="auto"/>
            <w:tcMar>
              <w:top w:w="142" w:type="dxa"/>
              <w:left w:w="142" w:type="dxa"/>
              <w:bottom w:w="142" w:type="dxa"/>
              <w:right w:w="142" w:type="dxa"/>
            </w:tcMar>
            <w:hideMark/>
          </w:tcPr>
          <w:p w14:paraId="56C8C66B" w14:textId="77777777" w:rsidR="00AE0FE0" w:rsidRDefault="00AE0FE0">
            <w:pPr>
              <w:pStyle w:val="NormalWeb"/>
            </w:pPr>
            <w:r>
              <w:t>16.3</w:t>
            </w:r>
          </w:p>
        </w:tc>
        <w:tc>
          <w:tcPr>
            <w:tcW w:w="0" w:type="auto"/>
            <w:tcMar>
              <w:top w:w="142" w:type="dxa"/>
              <w:left w:w="142" w:type="dxa"/>
              <w:bottom w:w="142" w:type="dxa"/>
              <w:right w:w="142" w:type="dxa"/>
            </w:tcMar>
            <w:hideMark/>
          </w:tcPr>
          <w:p w14:paraId="6F70E649" w14:textId="77777777" w:rsidR="00AE0FE0" w:rsidRDefault="00AE0FE0">
            <w:pPr>
              <w:pStyle w:val="NormalWeb"/>
            </w:pPr>
            <w:r>
              <w:t>(14.4 – 18.3)</w:t>
            </w:r>
          </w:p>
        </w:tc>
      </w:tr>
      <w:tr w:rsidR="007B28D0" w14:paraId="06EAA004" w14:textId="77777777" w:rsidTr="007B28D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47FEA6E" w14:textId="77777777" w:rsidR="00AE0FE0" w:rsidRDefault="00AE0FE0">
            <w:pPr>
              <w:pStyle w:val="NormalWeb"/>
            </w:pPr>
            <w:r>
              <w:t>Tasmania</w:t>
            </w:r>
          </w:p>
        </w:tc>
        <w:tc>
          <w:tcPr>
            <w:tcW w:w="0" w:type="auto"/>
            <w:tcMar>
              <w:top w:w="142" w:type="dxa"/>
              <w:left w:w="142" w:type="dxa"/>
              <w:bottom w:w="142" w:type="dxa"/>
              <w:right w:w="142" w:type="dxa"/>
            </w:tcMar>
            <w:hideMark/>
          </w:tcPr>
          <w:p w14:paraId="6A51794A" w14:textId="77777777" w:rsidR="00AE0FE0" w:rsidRDefault="00AE0FE0">
            <w:pPr>
              <w:pStyle w:val="NormalWeb"/>
            </w:pPr>
            <w:r>
              <w:t>40</w:t>
            </w:r>
          </w:p>
        </w:tc>
        <w:tc>
          <w:tcPr>
            <w:tcW w:w="0" w:type="auto"/>
            <w:tcMar>
              <w:top w:w="142" w:type="dxa"/>
              <w:left w:w="142" w:type="dxa"/>
              <w:bottom w:w="142" w:type="dxa"/>
              <w:right w:w="142" w:type="dxa"/>
            </w:tcMar>
            <w:hideMark/>
          </w:tcPr>
          <w:p w14:paraId="52A70B7C" w14:textId="77777777" w:rsidR="00AE0FE0" w:rsidRDefault="00AE0FE0">
            <w:pPr>
              <w:pStyle w:val="NormalWeb"/>
            </w:pPr>
            <w:r>
              <w:t>(1.2)</w:t>
            </w:r>
          </w:p>
        </w:tc>
        <w:tc>
          <w:tcPr>
            <w:tcW w:w="0" w:type="auto"/>
            <w:tcMar>
              <w:top w:w="142" w:type="dxa"/>
              <w:left w:w="142" w:type="dxa"/>
              <w:bottom w:w="142" w:type="dxa"/>
              <w:right w:w="142" w:type="dxa"/>
            </w:tcMar>
            <w:hideMark/>
          </w:tcPr>
          <w:p w14:paraId="6D707AB2" w14:textId="77777777" w:rsidR="00AE0FE0" w:rsidRDefault="00AE0FE0">
            <w:pPr>
              <w:pStyle w:val="NormalWeb"/>
            </w:pPr>
            <w:r>
              <w:t>0.8</w:t>
            </w:r>
          </w:p>
        </w:tc>
        <w:tc>
          <w:tcPr>
            <w:tcW w:w="0" w:type="auto"/>
            <w:tcMar>
              <w:top w:w="142" w:type="dxa"/>
              <w:left w:w="142" w:type="dxa"/>
              <w:bottom w:w="142" w:type="dxa"/>
              <w:right w:w="142" w:type="dxa"/>
            </w:tcMar>
            <w:hideMark/>
          </w:tcPr>
          <w:p w14:paraId="0F1FF906" w14:textId="77777777" w:rsidR="00AE0FE0" w:rsidRDefault="00AE0FE0">
            <w:pPr>
              <w:pStyle w:val="NormalWeb"/>
            </w:pPr>
            <w:r>
              <w:t>39.7</w:t>
            </w:r>
          </w:p>
        </w:tc>
        <w:tc>
          <w:tcPr>
            <w:tcW w:w="0" w:type="auto"/>
            <w:tcMar>
              <w:top w:w="142" w:type="dxa"/>
              <w:left w:w="142" w:type="dxa"/>
              <w:bottom w:w="142" w:type="dxa"/>
              <w:right w:w="142" w:type="dxa"/>
            </w:tcMar>
            <w:hideMark/>
          </w:tcPr>
          <w:p w14:paraId="58A1267B" w14:textId="77777777" w:rsidR="00AE0FE0" w:rsidRDefault="00AE0FE0">
            <w:pPr>
              <w:pStyle w:val="NormalWeb"/>
            </w:pPr>
            <w:r>
              <w:t>7.7</w:t>
            </w:r>
          </w:p>
        </w:tc>
        <w:tc>
          <w:tcPr>
            <w:tcW w:w="0" w:type="auto"/>
            <w:tcMar>
              <w:top w:w="142" w:type="dxa"/>
              <w:left w:w="142" w:type="dxa"/>
              <w:bottom w:w="142" w:type="dxa"/>
              <w:right w:w="142" w:type="dxa"/>
            </w:tcMar>
            <w:hideMark/>
          </w:tcPr>
          <w:p w14:paraId="394E2B94" w14:textId="77777777" w:rsidR="00AE0FE0" w:rsidRDefault="00AE0FE0">
            <w:pPr>
              <w:pStyle w:val="NormalWeb"/>
            </w:pPr>
            <w:r>
              <w:t>(5.5 – 10.5)</w:t>
            </w:r>
          </w:p>
        </w:tc>
      </w:tr>
      <w:tr w:rsidR="00A705E5" w14:paraId="642B6FF8" w14:textId="77777777" w:rsidTr="007B28D0">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209655C" w14:textId="77777777" w:rsidR="00AE0FE0" w:rsidRDefault="00AE0FE0">
            <w:pPr>
              <w:pStyle w:val="NormalWeb"/>
            </w:pPr>
            <w:r>
              <w:t>Victoria</w:t>
            </w:r>
          </w:p>
        </w:tc>
        <w:tc>
          <w:tcPr>
            <w:tcW w:w="0" w:type="auto"/>
            <w:tcMar>
              <w:top w:w="142" w:type="dxa"/>
              <w:left w:w="142" w:type="dxa"/>
              <w:bottom w:w="142" w:type="dxa"/>
              <w:right w:w="142" w:type="dxa"/>
            </w:tcMar>
            <w:hideMark/>
          </w:tcPr>
          <w:p w14:paraId="6D826531" w14:textId="77777777" w:rsidR="00AE0FE0" w:rsidRDefault="00AE0FE0">
            <w:pPr>
              <w:pStyle w:val="NormalWeb"/>
            </w:pPr>
            <w:r>
              <w:t>1</w:t>
            </w:r>
            <w:r w:rsidR="00E65A3E">
              <w:t>,</w:t>
            </w:r>
            <w:r>
              <w:t>303</w:t>
            </w:r>
          </w:p>
        </w:tc>
        <w:tc>
          <w:tcPr>
            <w:tcW w:w="0" w:type="auto"/>
            <w:tcMar>
              <w:top w:w="142" w:type="dxa"/>
              <w:left w:w="142" w:type="dxa"/>
              <w:bottom w:w="142" w:type="dxa"/>
              <w:right w:w="142" w:type="dxa"/>
            </w:tcMar>
            <w:hideMark/>
          </w:tcPr>
          <w:p w14:paraId="3E7102DC" w14:textId="77777777" w:rsidR="00AE0FE0" w:rsidRDefault="00AE0FE0">
            <w:pPr>
              <w:pStyle w:val="NormalWeb"/>
            </w:pPr>
            <w:r>
              <w:t>(38.2)</w:t>
            </w:r>
          </w:p>
        </w:tc>
        <w:tc>
          <w:tcPr>
            <w:tcW w:w="0" w:type="auto"/>
            <w:tcMar>
              <w:top w:w="142" w:type="dxa"/>
              <w:left w:w="142" w:type="dxa"/>
              <w:bottom w:w="142" w:type="dxa"/>
              <w:right w:w="142" w:type="dxa"/>
            </w:tcMar>
            <w:hideMark/>
          </w:tcPr>
          <w:p w14:paraId="108787B8" w14:textId="77777777" w:rsidR="00AE0FE0" w:rsidRDefault="00AE0FE0">
            <w:pPr>
              <w:pStyle w:val="NormalWeb"/>
            </w:pPr>
            <w:r>
              <w:t>1.8</w:t>
            </w:r>
          </w:p>
        </w:tc>
        <w:tc>
          <w:tcPr>
            <w:tcW w:w="0" w:type="auto"/>
            <w:tcMar>
              <w:top w:w="142" w:type="dxa"/>
              <w:left w:w="142" w:type="dxa"/>
              <w:bottom w:w="142" w:type="dxa"/>
              <w:right w:w="142" w:type="dxa"/>
            </w:tcMar>
            <w:hideMark/>
          </w:tcPr>
          <w:p w14:paraId="3A6E507F" w14:textId="77777777" w:rsidR="00AE0FE0" w:rsidRDefault="00AE0FE0">
            <w:pPr>
              <w:pStyle w:val="NormalWeb"/>
            </w:pPr>
            <w:r>
              <w:t>129.1</w:t>
            </w:r>
          </w:p>
        </w:tc>
        <w:tc>
          <w:tcPr>
            <w:tcW w:w="0" w:type="auto"/>
            <w:tcMar>
              <w:top w:w="142" w:type="dxa"/>
              <w:left w:w="142" w:type="dxa"/>
              <w:bottom w:w="142" w:type="dxa"/>
              <w:right w:w="142" w:type="dxa"/>
            </w:tcMar>
            <w:hideMark/>
          </w:tcPr>
          <w:p w14:paraId="3512E9E2" w14:textId="77777777" w:rsidR="00AE0FE0" w:rsidRDefault="00AE0FE0">
            <w:pPr>
              <w:pStyle w:val="NormalWeb"/>
            </w:pPr>
            <w:r>
              <w:t>21.1</w:t>
            </w:r>
          </w:p>
        </w:tc>
        <w:tc>
          <w:tcPr>
            <w:tcW w:w="0" w:type="auto"/>
            <w:tcMar>
              <w:top w:w="142" w:type="dxa"/>
              <w:left w:w="142" w:type="dxa"/>
              <w:bottom w:w="142" w:type="dxa"/>
              <w:right w:w="142" w:type="dxa"/>
            </w:tcMar>
            <w:hideMark/>
          </w:tcPr>
          <w:p w14:paraId="31A36376" w14:textId="77777777" w:rsidR="00AE0FE0" w:rsidRDefault="00AE0FE0">
            <w:pPr>
              <w:pStyle w:val="NormalWeb"/>
            </w:pPr>
            <w:r>
              <w:t>(20.0 – 22.3)</w:t>
            </w:r>
          </w:p>
        </w:tc>
      </w:tr>
      <w:tr w:rsidR="007B28D0" w14:paraId="44E665FD" w14:textId="77777777" w:rsidTr="007B28D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1736F95" w14:textId="77777777" w:rsidR="00AE0FE0" w:rsidRDefault="00AE0FE0">
            <w:pPr>
              <w:pStyle w:val="NormalWeb"/>
            </w:pPr>
            <w:r>
              <w:lastRenderedPageBreak/>
              <w:t>Western Australia</w:t>
            </w:r>
          </w:p>
        </w:tc>
        <w:tc>
          <w:tcPr>
            <w:tcW w:w="0" w:type="auto"/>
            <w:tcMar>
              <w:top w:w="142" w:type="dxa"/>
              <w:left w:w="142" w:type="dxa"/>
              <w:bottom w:w="142" w:type="dxa"/>
              <w:right w:w="142" w:type="dxa"/>
            </w:tcMar>
            <w:hideMark/>
          </w:tcPr>
          <w:p w14:paraId="748C95F2" w14:textId="77777777" w:rsidR="00AE0FE0" w:rsidRDefault="00AE0FE0">
            <w:pPr>
              <w:pStyle w:val="NormalWeb"/>
            </w:pPr>
            <w:r>
              <w:t>362</w:t>
            </w:r>
          </w:p>
        </w:tc>
        <w:tc>
          <w:tcPr>
            <w:tcW w:w="0" w:type="auto"/>
            <w:tcMar>
              <w:top w:w="142" w:type="dxa"/>
              <w:left w:w="142" w:type="dxa"/>
              <w:bottom w:w="142" w:type="dxa"/>
              <w:right w:w="142" w:type="dxa"/>
            </w:tcMar>
            <w:hideMark/>
          </w:tcPr>
          <w:p w14:paraId="506157A1" w14:textId="77777777" w:rsidR="00AE0FE0" w:rsidRDefault="00AE0FE0">
            <w:pPr>
              <w:pStyle w:val="NormalWeb"/>
            </w:pPr>
            <w:r>
              <w:t>(10.6)</w:t>
            </w:r>
          </w:p>
        </w:tc>
        <w:tc>
          <w:tcPr>
            <w:tcW w:w="0" w:type="auto"/>
            <w:tcMar>
              <w:top w:w="142" w:type="dxa"/>
              <w:left w:w="142" w:type="dxa"/>
              <w:bottom w:w="142" w:type="dxa"/>
              <w:right w:w="142" w:type="dxa"/>
            </w:tcMar>
            <w:hideMark/>
          </w:tcPr>
          <w:p w14:paraId="416B98ED" w14:textId="77777777" w:rsidR="00AE0FE0" w:rsidRDefault="00AE0FE0">
            <w:pPr>
              <w:pStyle w:val="NormalWeb"/>
            </w:pPr>
            <w:r>
              <w:t>1.8</w:t>
            </w:r>
          </w:p>
        </w:tc>
        <w:tc>
          <w:tcPr>
            <w:tcW w:w="0" w:type="auto"/>
            <w:tcMar>
              <w:top w:w="142" w:type="dxa"/>
              <w:left w:w="142" w:type="dxa"/>
              <w:bottom w:w="142" w:type="dxa"/>
              <w:right w:w="142" w:type="dxa"/>
            </w:tcMar>
            <w:hideMark/>
          </w:tcPr>
          <w:p w14:paraId="57D682FB" w14:textId="77777777" w:rsidR="00AE0FE0" w:rsidRDefault="00AE0FE0">
            <w:pPr>
              <w:pStyle w:val="NormalWeb"/>
            </w:pPr>
            <w:r>
              <w:t>87.3</w:t>
            </w:r>
          </w:p>
        </w:tc>
        <w:tc>
          <w:tcPr>
            <w:tcW w:w="0" w:type="auto"/>
            <w:tcMar>
              <w:top w:w="142" w:type="dxa"/>
              <w:left w:w="142" w:type="dxa"/>
              <w:bottom w:w="142" w:type="dxa"/>
              <w:right w:w="142" w:type="dxa"/>
            </w:tcMar>
            <w:hideMark/>
          </w:tcPr>
          <w:p w14:paraId="5B6BAA94" w14:textId="77777777" w:rsidR="00AE0FE0" w:rsidRDefault="00AE0FE0">
            <w:pPr>
              <w:pStyle w:val="NormalWeb"/>
            </w:pPr>
            <w:r>
              <w:t>14.1</w:t>
            </w:r>
          </w:p>
        </w:tc>
        <w:tc>
          <w:tcPr>
            <w:tcW w:w="0" w:type="auto"/>
            <w:tcMar>
              <w:top w:w="142" w:type="dxa"/>
              <w:left w:w="142" w:type="dxa"/>
              <w:bottom w:w="142" w:type="dxa"/>
              <w:right w:w="142" w:type="dxa"/>
            </w:tcMar>
            <w:hideMark/>
          </w:tcPr>
          <w:p w14:paraId="4C7BCFF9" w14:textId="77777777" w:rsidR="00AE0FE0" w:rsidRDefault="00AE0FE0">
            <w:pPr>
              <w:pStyle w:val="NormalWeb"/>
            </w:pPr>
            <w:r>
              <w:t>(12.7 – 15.7)</w:t>
            </w:r>
          </w:p>
        </w:tc>
      </w:tr>
      <w:tr w:rsidR="00A705E5" w14:paraId="514F98F0" w14:textId="77777777" w:rsidTr="007B28D0">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5E36F47" w14:textId="77777777" w:rsidR="00AE0FE0" w:rsidRDefault="00AE0FE0">
            <w:pPr>
              <w:pStyle w:val="NormalWeb"/>
            </w:pPr>
            <w:r>
              <w:t>Total</w:t>
            </w:r>
          </w:p>
        </w:tc>
        <w:tc>
          <w:tcPr>
            <w:tcW w:w="0" w:type="auto"/>
            <w:tcMar>
              <w:top w:w="142" w:type="dxa"/>
              <w:left w:w="142" w:type="dxa"/>
              <w:bottom w:w="142" w:type="dxa"/>
              <w:right w:w="142" w:type="dxa"/>
            </w:tcMar>
            <w:hideMark/>
          </w:tcPr>
          <w:p w14:paraId="1130E4DE" w14:textId="77777777" w:rsidR="00AE0FE0" w:rsidRDefault="00AE0FE0">
            <w:pPr>
              <w:pStyle w:val="NormalWeb"/>
            </w:pPr>
            <w:r>
              <w:t>3</w:t>
            </w:r>
            <w:r w:rsidR="00E12397">
              <w:t>,</w:t>
            </w:r>
            <w:r>
              <w:t>407</w:t>
            </w:r>
          </w:p>
        </w:tc>
        <w:tc>
          <w:tcPr>
            <w:tcW w:w="0" w:type="auto"/>
            <w:tcMar>
              <w:top w:w="142" w:type="dxa"/>
              <w:left w:w="142" w:type="dxa"/>
              <w:bottom w:w="142" w:type="dxa"/>
              <w:right w:w="142" w:type="dxa"/>
            </w:tcMar>
            <w:hideMark/>
          </w:tcPr>
          <w:p w14:paraId="1BC8C59C" w14:textId="77777777" w:rsidR="00AE0FE0" w:rsidRDefault="00AE0FE0">
            <w:pPr>
              <w:rPr>
                <w:rFonts w:eastAsia="Times New Roman"/>
                <w:sz w:val="24"/>
                <w:szCs w:val="24"/>
              </w:rPr>
            </w:pPr>
            <w:r>
              <w:rPr>
                <w:rFonts w:eastAsia="Times New Roman"/>
              </w:rPr>
              <w:t> </w:t>
            </w:r>
          </w:p>
        </w:tc>
        <w:tc>
          <w:tcPr>
            <w:tcW w:w="0" w:type="auto"/>
            <w:tcMar>
              <w:top w:w="142" w:type="dxa"/>
              <w:left w:w="142" w:type="dxa"/>
              <w:bottom w:w="142" w:type="dxa"/>
              <w:right w:w="142" w:type="dxa"/>
            </w:tcMar>
            <w:hideMark/>
          </w:tcPr>
          <w:p w14:paraId="0051A48D" w14:textId="77777777" w:rsidR="00AE0FE0" w:rsidRDefault="00AE0FE0">
            <w:pPr>
              <w:pStyle w:val="NormalWeb"/>
            </w:pPr>
            <w:r>
              <w:t>1.4</w:t>
            </w:r>
          </w:p>
        </w:tc>
        <w:tc>
          <w:tcPr>
            <w:tcW w:w="0" w:type="auto"/>
            <w:tcMar>
              <w:top w:w="142" w:type="dxa"/>
              <w:left w:w="142" w:type="dxa"/>
              <w:bottom w:w="142" w:type="dxa"/>
              <w:right w:w="142" w:type="dxa"/>
            </w:tcMar>
            <w:hideMark/>
          </w:tcPr>
          <w:p w14:paraId="57227583" w14:textId="77777777" w:rsidR="00AE0FE0" w:rsidRDefault="00AE0FE0">
            <w:pPr>
              <w:pStyle w:val="NormalWeb"/>
            </w:pPr>
            <w:r>
              <w:t>74.7</w:t>
            </w:r>
          </w:p>
        </w:tc>
        <w:tc>
          <w:tcPr>
            <w:tcW w:w="0" w:type="auto"/>
            <w:tcMar>
              <w:top w:w="142" w:type="dxa"/>
              <w:left w:w="142" w:type="dxa"/>
              <w:bottom w:w="142" w:type="dxa"/>
              <w:right w:w="142" w:type="dxa"/>
            </w:tcMar>
            <w:hideMark/>
          </w:tcPr>
          <w:p w14:paraId="6002F696" w14:textId="77777777" w:rsidR="00AE0FE0" w:rsidRDefault="00AE0FE0">
            <w:pPr>
              <w:pStyle w:val="NormalWeb"/>
            </w:pPr>
            <w:r>
              <w:t>14.1</w:t>
            </w:r>
          </w:p>
        </w:tc>
        <w:tc>
          <w:tcPr>
            <w:tcW w:w="0" w:type="auto"/>
            <w:tcMar>
              <w:top w:w="142" w:type="dxa"/>
              <w:left w:w="142" w:type="dxa"/>
              <w:bottom w:w="142" w:type="dxa"/>
              <w:right w:w="142" w:type="dxa"/>
            </w:tcMar>
            <w:hideMark/>
          </w:tcPr>
          <w:p w14:paraId="6CBAB21B" w14:textId="77777777" w:rsidR="00AE0FE0" w:rsidRDefault="00AE0FE0">
            <w:pPr>
              <w:pStyle w:val="NormalWeb"/>
            </w:pPr>
            <w:r>
              <w:t>(13.6 – 14.6)</w:t>
            </w:r>
          </w:p>
        </w:tc>
      </w:tr>
    </w:tbl>
    <w:p w14:paraId="75AB1503" w14:textId="77777777" w:rsidR="00AE0FE0" w:rsidRDefault="00AE0FE0" w:rsidP="00694369">
      <w:pPr>
        <w:pStyle w:val="CDIfootnotes"/>
      </w:pPr>
      <w:r>
        <w:rPr>
          <w:vertAlign w:val="superscript"/>
        </w:rPr>
        <w:t>*</w:t>
      </w:r>
      <w:r>
        <w:t xml:space="preserve"> Average annual rates per 100,000 population calculated using mid-2016 population estimates (Australian Bureau of Statistics).</w:t>
      </w:r>
      <w:r w:rsidR="00CB0324">
        <w:br/>
      </w:r>
      <w:r>
        <w:rPr>
          <w:vertAlign w:val="superscript"/>
        </w:rPr>
        <w:t>†</w:t>
      </w:r>
      <w:r>
        <w:t xml:space="preserve"> AEFI records defined as ‘serious’ (i.e. recovery with sequelae, hospitalisation, life-threatening or death).</w:t>
      </w:r>
    </w:p>
    <w:p w14:paraId="3F520E86" w14:textId="77777777" w:rsidR="00AE0FE0" w:rsidRPr="003A6918" w:rsidRDefault="00AE0FE0" w:rsidP="003A6918">
      <w:pPr>
        <w:pStyle w:val="Heading2"/>
      </w:pPr>
      <w:r w:rsidRPr="003A6918">
        <w:rPr>
          <w:rStyle w:val="Strong"/>
          <w:b/>
          <w:bCs/>
        </w:rPr>
        <w:t>Vaccines</w:t>
      </w:r>
      <w:r w:rsidRPr="003A6918">
        <w:t xml:space="preserve"> </w:t>
      </w:r>
    </w:p>
    <w:p w14:paraId="4A03FD07" w14:textId="77777777" w:rsidR="00AE0FE0" w:rsidRDefault="00AE0FE0">
      <w:pPr>
        <w:pStyle w:val="NormalWeb"/>
      </w:pPr>
      <w:r>
        <w:t>There were 3,407 AEFI records received in 2016 (Table 4). The percentage of records where only one vaccine was reported as being the suspected vaccine differed by vaccine administered, typically varying according to whether multiple vaccines were routinely co-administered for the patient’s age. There were slight variations in the numbers with outcomes defined as ‘serious’, which have remained low as in previous years.</w:t>
      </w:r>
    </w:p>
    <w:p w14:paraId="160EC0EC" w14:textId="77777777" w:rsidR="00AE0FE0" w:rsidRDefault="00AE0FE0" w:rsidP="00694369">
      <w:pPr>
        <w:pStyle w:val="CDIFigures"/>
      </w:pPr>
      <w:r>
        <w:t xml:space="preserve">Table 4: Vaccine types listed as ‘suspected’ in records of adverse events following immunisation (AEFI), ADRS database, </w:t>
      </w:r>
      <w:proofErr w:type="gramStart"/>
      <w:r>
        <w:t>2016</w:t>
      </w:r>
      <w:proofErr w:type="gramEnd"/>
    </w:p>
    <w:tbl>
      <w:tblPr>
        <w:tblStyle w:val="CDI-StandardTable"/>
        <w:tblW w:w="0" w:type="auto"/>
        <w:tblLook w:val="04A0" w:firstRow="1" w:lastRow="0" w:firstColumn="1" w:lastColumn="0" w:noHBand="0" w:noVBand="1"/>
        <w:tblCaption w:val="Table 4: Vaccine types listed as ‘suspected’ in records of adverse events following immunisation (AEFI), ADRS database, 2016"/>
        <w:tblDescription w:val="Table 4 shows vaccine types listed as ‘suspected’ in records of adverse events following immunisation (AEFI), 2016, by age group."/>
      </w:tblPr>
      <w:tblGrid>
        <w:gridCol w:w="2070"/>
        <w:gridCol w:w="731"/>
        <w:gridCol w:w="919"/>
        <w:gridCol w:w="1020"/>
        <w:gridCol w:w="1283"/>
        <w:gridCol w:w="619"/>
        <w:gridCol w:w="808"/>
        <w:gridCol w:w="731"/>
        <w:gridCol w:w="919"/>
        <w:gridCol w:w="731"/>
        <w:gridCol w:w="919"/>
      </w:tblGrid>
      <w:tr w:rsidR="008205B6" w:rsidRPr="008205B6" w14:paraId="0755104A" w14:textId="77777777" w:rsidTr="009525C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Mar>
              <w:top w:w="142" w:type="dxa"/>
              <w:left w:w="142" w:type="dxa"/>
              <w:bottom w:w="142" w:type="dxa"/>
              <w:right w:w="142" w:type="dxa"/>
            </w:tcMar>
            <w:hideMark/>
          </w:tcPr>
          <w:p w14:paraId="4F0BED3C" w14:textId="77777777" w:rsidR="00AE0FE0" w:rsidRPr="008205B6" w:rsidRDefault="00AE0FE0">
            <w:pPr>
              <w:pStyle w:val="NormalWeb"/>
              <w:rPr>
                <w:color w:val="FFFFFF" w:themeColor="background1"/>
              </w:rPr>
            </w:pPr>
            <w:r w:rsidRPr="008205B6">
              <w:rPr>
                <w:color w:val="FFFFFF" w:themeColor="background1"/>
              </w:rPr>
              <w:t>Suspected vaccine type</w:t>
            </w:r>
            <w:r w:rsidRPr="00196897">
              <w:rPr>
                <w:color w:val="FFFFFF" w:themeColor="background1"/>
                <w:vertAlign w:val="superscript"/>
              </w:rPr>
              <w:t>*</w:t>
            </w:r>
          </w:p>
        </w:tc>
        <w:tc>
          <w:tcPr>
            <w:tcW w:w="0" w:type="auto"/>
            <w:gridSpan w:val="2"/>
            <w:vMerge w:val="restart"/>
            <w:tcMar>
              <w:top w:w="142" w:type="dxa"/>
              <w:left w:w="142" w:type="dxa"/>
              <w:bottom w:w="142" w:type="dxa"/>
              <w:right w:w="142" w:type="dxa"/>
            </w:tcMar>
            <w:hideMark/>
          </w:tcPr>
          <w:p w14:paraId="1798E5ED" w14:textId="77777777" w:rsidR="00AE0FE0" w:rsidRPr="008205B6" w:rsidRDefault="00AE0FE0">
            <w:pPr>
              <w:pStyle w:val="NormalWeb"/>
              <w:rPr>
                <w:color w:val="FFFFFF" w:themeColor="background1"/>
              </w:rPr>
            </w:pPr>
            <w:r w:rsidRPr="008205B6">
              <w:rPr>
                <w:color w:val="FFFFFF" w:themeColor="background1"/>
              </w:rPr>
              <w:t>AEFI records</w:t>
            </w:r>
          </w:p>
        </w:tc>
        <w:tc>
          <w:tcPr>
            <w:tcW w:w="0" w:type="auto"/>
            <w:gridSpan w:val="2"/>
            <w:tcMar>
              <w:top w:w="142" w:type="dxa"/>
              <w:left w:w="142" w:type="dxa"/>
              <w:bottom w:w="142" w:type="dxa"/>
              <w:right w:w="142" w:type="dxa"/>
            </w:tcMar>
            <w:hideMark/>
          </w:tcPr>
          <w:p w14:paraId="5FB96161" w14:textId="77777777" w:rsidR="00AE0FE0" w:rsidRPr="008205B6" w:rsidRDefault="00AE0FE0">
            <w:pPr>
              <w:pStyle w:val="NormalWeb"/>
              <w:rPr>
                <w:color w:val="FFFFFF" w:themeColor="background1"/>
              </w:rPr>
            </w:pPr>
            <w:r w:rsidRPr="008205B6">
              <w:rPr>
                <w:color w:val="FFFFFF" w:themeColor="background1"/>
              </w:rPr>
              <w:t>One suspected vaccine only†</w:t>
            </w:r>
          </w:p>
        </w:tc>
        <w:tc>
          <w:tcPr>
            <w:tcW w:w="0" w:type="auto"/>
            <w:gridSpan w:val="2"/>
            <w:tcMar>
              <w:top w:w="142" w:type="dxa"/>
              <w:left w:w="142" w:type="dxa"/>
              <w:bottom w:w="142" w:type="dxa"/>
              <w:right w:w="142" w:type="dxa"/>
            </w:tcMar>
            <w:hideMark/>
          </w:tcPr>
          <w:p w14:paraId="65D9AD7D" w14:textId="77777777" w:rsidR="00AE0FE0" w:rsidRPr="008205B6" w:rsidRDefault="00AE0FE0" w:rsidP="00196897">
            <w:pPr>
              <w:pStyle w:val="NormalWeb"/>
              <w:rPr>
                <w:color w:val="FFFFFF" w:themeColor="background1"/>
              </w:rPr>
            </w:pPr>
            <w:r w:rsidRPr="008205B6">
              <w:rPr>
                <w:color w:val="FFFFFF" w:themeColor="background1"/>
              </w:rPr>
              <w:t>‘Serious’</w:t>
            </w:r>
            <w:r w:rsidRPr="00196897">
              <w:rPr>
                <w:color w:val="FFFFFF" w:themeColor="background1"/>
                <w:vertAlign w:val="superscript"/>
              </w:rPr>
              <w:t>§</w:t>
            </w:r>
          </w:p>
        </w:tc>
        <w:tc>
          <w:tcPr>
            <w:tcW w:w="0" w:type="auto"/>
            <w:gridSpan w:val="2"/>
            <w:tcMar>
              <w:top w:w="142" w:type="dxa"/>
              <w:left w:w="142" w:type="dxa"/>
              <w:bottom w:w="142" w:type="dxa"/>
              <w:right w:w="142" w:type="dxa"/>
            </w:tcMar>
            <w:hideMark/>
          </w:tcPr>
          <w:p w14:paraId="6AE179C9" w14:textId="77777777" w:rsidR="00AE0FE0" w:rsidRPr="008205B6" w:rsidRDefault="00AE0FE0">
            <w:pPr>
              <w:pStyle w:val="NormalWeb"/>
              <w:rPr>
                <w:color w:val="FFFFFF" w:themeColor="background1"/>
              </w:rPr>
            </w:pPr>
            <w:r w:rsidRPr="008205B6">
              <w:rPr>
                <w:color w:val="FFFFFF" w:themeColor="background1"/>
              </w:rPr>
              <w:t>Age group</w:t>
            </w:r>
            <w:r w:rsidRPr="00196897">
              <w:rPr>
                <w:color w:val="FFFFFF" w:themeColor="background1"/>
                <w:vertAlign w:val="superscript"/>
              </w:rPr>
              <w:t>||</w:t>
            </w:r>
          </w:p>
        </w:tc>
        <w:tc>
          <w:tcPr>
            <w:tcW w:w="0" w:type="auto"/>
            <w:gridSpan w:val="2"/>
            <w:tcMar>
              <w:top w:w="142" w:type="dxa"/>
              <w:left w:w="142" w:type="dxa"/>
              <w:bottom w:w="142" w:type="dxa"/>
              <w:right w:w="142" w:type="dxa"/>
            </w:tcMar>
            <w:hideMark/>
          </w:tcPr>
          <w:p w14:paraId="670A0B01" w14:textId="77777777" w:rsidR="00AE0FE0" w:rsidRPr="008205B6" w:rsidRDefault="00AE0FE0">
            <w:pPr>
              <w:pStyle w:val="NormalWeb"/>
              <w:rPr>
                <w:color w:val="FFFFFF" w:themeColor="background1"/>
              </w:rPr>
            </w:pPr>
            <w:r w:rsidRPr="008205B6">
              <w:rPr>
                <w:color w:val="FFFFFF" w:themeColor="background1"/>
              </w:rPr>
              <w:t>Age group</w:t>
            </w:r>
            <w:r w:rsidRPr="00196897">
              <w:rPr>
                <w:color w:val="FFFFFF" w:themeColor="background1"/>
                <w:vertAlign w:val="superscript"/>
              </w:rPr>
              <w:t>||</w:t>
            </w:r>
          </w:p>
        </w:tc>
      </w:tr>
      <w:tr w:rsidR="008205B6" w:rsidRPr="008205B6" w14:paraId="1C23ED8A" w14:textId="77777777" w:rsidTr="009525C9">
        <w:trPr>
          <w:cnfStyle w:val="100000000000" w:firstRow="1" w:lastRow="0" w:firstColumn="0" w:lastColumn="0" w:oddVBand="0" w:evenVBand="0" w:oddHBand="0" w:evenHBand="0" w:firstRowFirstColumn="0" w:firstRowLastColumn="0" w:lastRowFirstColumn="0" w:lastRowLastColumn="0"/>
          <w:tblHeader/>
        </w:trPr>
        <w:tc>
          <w:tcPr>
            <w:tcW w:w="0" w:type="auto"/>
            <w:vMerge/>
            <w:tcMar>
              <w:top w:w="142" w:type="dxa"/>
              <w:left w:w="142" w:type="dxa"/>
              <w:bottom w:w="142" w:type="dxa"/>
              <w:right w:w="142" w:type="dxa"/>
            </w:tcMar>
            <w:hideMark/>
          </w:tcPr>
          <w:p w14:paraId="655EA213" w14:textId="77777777" w:rsidR="00AE0FE0" w:rsidRPr="008205B6" w:rsidRDefault="00AE0FE0">
            <w:pPr>
              <w:rPr>
                <w:color w:val="FFFFFF" w:themeColor="background1"/>
                <w:sz w:val="24"/>
                <w:szCs w:val="24"/>
              </w:rPr>
            </w:pPr>
          </w:p>
        </w:tc>
        <w:tc>
          <w:tcPr>
            <w:tcW w:w="0" w:type="auto"/>
            <w:gridSpan w:val="2"/>
            <w:vMerge/>
            <w:tcMar>
              <w:top w:w="142" w:type="dxa"/>
              <w:left w:w="142" w:type="dxa"/>
              <w:bottom w:w="142" w:type="dxa"/>
              <w:right w:w="142" w:type="dxa"/>
            </w:tcMar>
            <w:hideMark/>
          </w:tcPr>
          <w:p w14:paraId="7A7C9FC5" w14:textId="77777777" w:rsidR="00AE0FE0" w:rsidRPr="008205B6" w:rsidRDefault="00AE0FE0">
            <w:pPr>
              <w:rPr>
                <w:color w:val="FFFFFF" w:themeColor="background1"/>
                <w:sz w:val="24"/>
                <w:szCs w:val="24"/>
              </w:rPr>
            </w:pPr>
          </w:p>
        </w:tc>
        <w:tc>
          <w:tcPr>
            <w:tcW w:w="0" w:type="auto"/>
            <w:tcMar>
              <w:top w:w="142" w:type="dxa"/>
              <w:left w:w="142" w:type="dxa"/>
              <w:bottom w:w="142" w:type="dxa"/>
              <w:right w:w="142" w:type="dxa"/>
            </w:tcMar>
            <w:hideMark/>
          </w:tcPr>
          <w:p w14:paraId="1A0A45D9" w14:textId="77777777" w:rsidR="00AE0FE0" w:rsidRPr="008205B6" w:rsidRDefault="00AE0FE0">
            <w:pPr>
              <w:rPr>
                <w:rFonts w:eastAsia="Times New Roman"/>
                <w:color w:val="FFFFFF" w:themeColor="background1"/>
                <w:sz w:val="24"/>
                <w:szCs w:val="24"/>
              </w:rPr>
            </w:pPr>
            <w:r w:rsidRPr="008205B6">
              <w:rPr>
                <w:rFonts w:eastAsia="Times New Roman"/>
                <w:color w:val="FFFFFF" w:themeColor="background1"/>
              </w:rPr>
              <w:t> </w:t>
            </w:r>
          </w:p>
        </w:tc>
        <w:tc>
          <w:tcPr>
            <w:tcW w:w="0" w:type="auto"/>
            <w:tcMar>
              <w:top w:w="142" w:type="dxa"/>
              <w:left w:w="142" w:type="dxa"/>
              <w:bottom w:w="142" w:type="dxa"/>
              <w:right w:w="142" w:type="dxa"/>
            </w:tcMar>
            <w:hideMark/>
          </w:tcPr>
          <w:p w14:paraId="17266449" w14:textId="77777777" w:rsidR="00AE0FE0" w:rsidRPr="008205B6" w:rsidRDefault="00AE0FE0">
            <w:pPr>
              <w:rPr>
                <w:rFonts w:eastAsia="Times New Roman"/>
                <w:color w:val="FFFFFF" w:themeColor="background1"/>
                <w:sz w:val="24"/>
                <w:szCs w:val="24"/>
              </w:rPr>
            </w:pPr>
            <w:r w:rsidRPr="008205B6">
              <w:rPr>
                <w:rFonts w:eastAsia="Times New Roman"/>
                <w:color w:val="FFFFFF" w:themeColor="background1"/>
              </w:rPr>
              <w:t> </w:t>
            </w:r>
          </w:p>
        </w:tc>
        <w:tc>
          <w:tcPr>
            <w:tcW w:w="0" w:type="auto"/>
            <w:tcMar>
              <w:top w:w="142" w:type="dxa"/>
              <w:left w:w="142" w:type="dxa"/>
              <w:bottom w:w="142" w:type="dxa"/>
              <w:right w:w="142" w:type="dxa"/>
            </w:tcMar>
            <w:hideMark/>
          </w:tcPr>
          <w:p w14:paraId="36E1FED1" w14:textId="77777777" w:rsidR="00AE0FE0" w:rsidRPr="008205B6" w:rsidRDefault="00AE0FE0">
            <w:pPr>
              <w:rPr>
                <w:rFonts w:eastAsia="Times New Roman"/>
                <w:color w:val="FFFFFF" w:themeColor="background1"/>
                <w:sz w:val="24"/>
                <w:szCs w:val="24"/>
              </w:rPr>
            </w:pPr>
            <w:r w:rsidRPr="008205B6">
              <w:rPr>
                <w:rFonts w:eastAsia="Times New Roman"/>
                <w:color w:val="FFFFFF" w:themeColor="background1"/>
              </w:rPr>
              <w:t> </w:t>
            </w:r>
          </w:p>
        </w:tc>
        <w:tc>
          <w:tcPr>
            <w:tcW w:w="0" w:type="auto"/>
            <w:tcMar>
              <w:top w:w="142" w:type="dxa"/>
              <w:left w:w="142" w:type="dxa"/>
              <w:bottom w:w="142" w:type="dxa"/>
              <w:right w:w="142" w:type="dxa"/>
            </w:tcMar>
            <w:hideMark/>
          </w:tcPr>
          <w:p w14:paraId="16F9578B" w14:textId="77777777" w:rsidR="00AE0FE0" w:rsidRPr="008205B6" w:rsidRDefault="00AE0FE0">
            <w:pPr>
              <w:rPr>
                <w:rFonts w:eastAsia="Times New Roman"/>
                <w:color w:val="FFFFFF" w:themeColor="background1"/>
                <w:sz w:val="24"/>
                <w:szCs w:val="24"/>
              </w:rPr>
            </w:pPr>
            <w:r w:rsidRPr="008205B6">
              <w:rPr>
                <w:rFonts w:eastAsia="Times New Roman"/>
                <w:color w:val="FFFFFF" w:themeColor="background1"/>
              </w:rPr>
              <w:t> </w:t>
            </w:r>
          </w:p>
        </w:tc>
        <w:tc>
          <w:tcPr>
            <w:tcW w:w="0" w:type="auto"/>
            <w:gridSpan w:val="2"/>
            <w:tcMar>
              <w:top w:w="142" w:type="dxa"/>
              <w:left w:w="142" w:type="dxa"/>
              <w:bottom w:w="142" w:type="dxa"/>
              <w:right w:w="142" w:type="dxa"/>
            </w:tcMar>
            <w:hideMark/>
          </w:tcPr>
          <w:p w14:paraId="76A02B23" w14:textId="77777777" w:rsidR="00AE0FE0" w:rsidRPr="008205B6" w:rsidRDefault="00AE0FE0">
            <w:pPr>
              <w:pStyle w:val="NormalWeb"/>
              <w:rPr>
                <w:color w:val="FFFFFF" w:themeColor="background1"/>
              </w:rPr>
            </w:pPr>
            <w:r w:rsidRPr="008205B6">
              <w:rPr>
                <w:color w:val="FFFFFF" w:themeColor="background1"/>
              </w:rPr>
              <w:t>&lt;7 years</w:t>
            </w:r>
          </w:p>
        </w:tc>
        <w:tc>
          <w:tcPr>
            <w:tcW w:w="0" w:type="auto"/>
            <w:gridSpan w:val="2"/>
            <w:tcMar>
              <w:top w:w="142" w:type="dxa"/>
              <w:left w:w="142" w:type="dxa"/>
              <w:bottom w:w="142" w:type="dxa"/>
              <w:right w:w="142" w:type="dxa"/>
            </w:tcMar>
            <w:hideMark/>
          </w:tcPr>
          <w:p w14:paraId="79A3CE07" w14:textId="77777777" w:rsidR="00AE0FE0" w:rsidRPr="008205B6" w:rsidRDefault="00AE0FE0">
            <w:pPr>
              <w:pStyle w:val="NormalWeb"/>
              <w:rPr>
                <w:color w:val="FFFFFF" w:themeColor="background1"/>
              </w:rPr>
            </w:pPr>
            <w:r w:rsidRPr="008205B6">
              <w:rPr>
                <w:color w:val="FFFFFF" w:themeColor="background1"/>
              </w:rPr>
              <w:t>≥7 years</w:t>
            </w:r>
          </w:p>
        </w:tc>
      </w:tr>
      <w:tr w:rsidR="008205B6" w:rsidRPr="008205B6" w14:paraId="4F847B03" w14:textId="77777777" w:rsidTr="009525C9">
        <w:trPr>
          <w:cnfStyle w:val="100000000000" w:firstRow="1" w:lastRow="0" w:firstColumn="0" w:lastColumn="0" w:oddVBand="0" w:evenVBand="0" w:oddHBand="0" w:evenHBand="0" w:firstRowFirstColumn="0" w:firstRowLastColumn="0" w:lastRowFirstColumn="0" w:lastRowLastColumn="0"/>
          <w:tblHeader/>
        </w:trPr>
        <w:tc>
          <w:tcPr>
            <w:tcW w:w="0" w:type="auto"/>
            <w:vMerge/>
            <w:tcMar>
              <w:top w:w="142" w:type="dxa"/>
              <w:left w:w="142" w:type="dxa"/>
              <w:bottom w:w="142" w:type="dxa"/>
              <w:right w:w="142" w:type="dxa"/>
            </w:tcMar>
            <w:hideMark/>
          </w:tcPr>
          <w:p w14:paraId="295C7883" w14:textId="77777777" w:rsidR="00AE0FE0" w:rsidRPr="008205B6" w:rsidRDefault="00AE0FE0">
            <w:pPr>
              <w:rPr>
                <w:color w:val="FFFFFF" w:themeColor="background1"/>
                <w:sz w:val="24"/>
                <w:szCs w:val="24"/>
              </w:rPr>
            </w:pPr>
          </w:p>
        </w:tc>
        <w:tc>
          <w:tcPr>
            <w:tcW w:w="0" w:type="auto"/>
            <w:tcMar>
              <w:top w:w="142" w:type="dxa"/>
              <w:left w:w="142" w:type="dxa"/>
              <w:bottom w:w="142" w:type="dxa"/>
              <w:right w:w="142" w:type="dxa"/>
            </w:tcMar>
            <w:hideMark/>
          </w:tcPr>
          <w:p w14:paraId="5B8807F7" w14:textId="77777777" w:rsidR="00AE0FE0" w:rsidRPr="008205B6" w:rsidRDefault="00AE0FE0">
            <w:pPr>
              <w:pStyle w:val="NormalWeb"/>
              <w:rPr>
                <w:color w:val="FFFFFF" w:themeColor="background1"/>
              </w:rPr>
            </w:pPr>
            <w:r w:rsidRPr="008205B6">
              <w:rPr>
                <w:color w:val="FFFFFF" w:themeColor="background1"/>
              </w:rPr>
              <w:t>n</w:t>
            </w:r>
          </w:p>
        </w:tc>
        <w:tc>
          <w:tcPr>
            <w:tcW w:w="0" w:type="auto"/>
            <w:tcMar>
              <w:top w:w="142" w:type="dxa"/>
              <w:left w:w="142" w:type="dxa"/>
              <w:bottom w:w="142" w:type="dxa"/>
              <w:right w:w="142" w:type="dxa"/>
            </w:tcMar>
            <w:hideMark/>
          </w:tcPr>
          <w:p w14:paraId="0CA6686C" w14:textId="77777777" w:rsidR="00AE0FE0" w:rsidRPr="008205B6" w:rsidRDefault="00AE0FE0">
            <w:pPr>
              <w:pStyle w:val="NormalWeb"/>
              <w:rPr>
                <w:color w:val="FFFFFF" w:themeColor="background1"/>
              </w:rPr>
            </w:pPr>
            <w:r w:rsidRPr="008205B6">
              <w:rPr>
                <w:color w:val="FFFFFF" w:themeColor="background1"/>
              </w:rPr>
              <w:t>(%)</w:t>
            </w:r>
          </w:p>
        </w:tc>
        <w:tc>
          <w:tcPr>
            <w:tcW w:w="0" w:type="auto"/>
            <w:tcMar>
              <w:top w:w="142" w:type="dxa"/>
              <w:left w:w="142" w:type="dxa"/>
              <w:bottom w:w="142" w:type="dxa"/>
              <w:right w:w="142" w:type="dxa"/>
            </w:tcMar>
            <w:hideMark/>
          </w:tcPr>
          <w:p w14:paraId="6700BAF8" w14:textId="77777777" w:rsidR="00AE0FE0" w:rsidRPr="008205B6" w:rsidRDefault="00AE0FE0">
            <w:pPr>
              <w:pStyle w:val="NormalWeb"/>
              <w:rPr>
                <w:color w:val="FFFFFF" w:themeColor="background1"/>
              </w:rPr>
            </w:pPr>
            <w:r w:rsidRPr="008205B6">
              <w:rPr>
                <w:color w:val="FFFFFF" w:themeColor="background1"/>
              </w:rPr>
              <w:t>n</w:t>
            </w:r>
          </w:p>
        </w:tc>
        <w:tc>
          <w:tcPr>
            <w:tcW w:w="0" w:type="auto"/>
            <w:tcMar>
              <w:top w:w="142" w:type="dxa"/>
              <w:left w:w="142" w:type="dxa"/>
              <w:bottom w:w="142" w:type="dxa"/>
              <w:right w:w="142" w:type="dxa"/>
            </w:tcMar>
            <w:hideMark/>
          </w:tcPr>
          <w:p w14:paraId="22119DBA" w14:textId="77777777" w:rsidR="00AE0FE0" w:rsidRPr="008205B6" w:rsidRDefault="00AE0FE0">
            <w:pPr>
              <w:pStyle w:val="NormalWeb"/>
              <w:rPr>
                <w:color w:val="FFFFFF" w:themeColor="background1"/>
              </w:rPr>
            </w:pPr>
            <w:r w:rsidRPr="008205B6">
              <w:rPr>
                <w:color w:val="FFFFFF" w:themeColor="background1"/>
              </w:rPr>
              <w:t>(%)</w:t>
            </w:r>
            <w:r w:rsidRPr="00196897">
              <w:rPr>
                <w:color w:val="FFFFFF" w:themeColor="background1"/>
                <w:vertAlign w:val="superscript"/>
              </w:rPr>
              <w:t>¶</w:t>
            </w:r>
          </w:p>
        </w:tc>
        <w:tc>
          <w:tcPr>
            <w:tcW w:w="0" w:type="auto"/>
            <w:tcMar>
              <w:top w:w="142" w:type="dxa"/>
              <w:left w:w="142" w:type="dxa"/>
              <w:bottom w:w="142" w:type="dxa"/>
              <w:right w:w="142" w:type="dxa"/>
            </w:tcMar>
            <w:hideMark/>
          </w:tcPr>
          <w:p w14:paraId="18DCB60D" w14:textId="77777777" w:rsidR="00AE0FE0" w:rsidRPr="008205B6" w:rsidRDefault="00AE0FE0">
            <w:pPr>
              <w:pStyle w:val="NormalWeb"/>
              <w:rPr>
                <w:color w:val="FFFFFF" w:themeColor="background1"/>
              </w:rPr>
            </w:pPr>
            <w:r w:rsidRPr="008205B6">
              <w:rPr>
                <w:color w:val="FFFFFF" w:themeColor="background1"/>
              </w:rPr>
              <w:t>n</w:t>
            </w:r>
          </w:p>
        </w:tc>
        <w:tc>
          <w:tcPr>
            <w:tcW w:w="0" w:type="auto"/>
            <w:tcMar>
              <w:top w:w="142" w:type="dxa"/>
              <w:left w:w="142" w:type="dxa"/>
              <w:bottom w:w="142" w:type="dxa"/>
              <w:right w:w="142" w:type="dxa"/>
            </w:tcMar>
            <w:hideMark/>
          </w:tcPr>
          <w:p w14:paraId="6640BD27" w14:textId="77777777" w:rsidR="00AE0FE0" w:rsidRPr="008205B6" w:rsidRDefault="00AE0FE0">
            <w:pPr>
              <w:pStyle w:val="NormalWeb"/>
              <w:rPr>
                <w:color w:val="FFFFFF" w:themeColor="background1"/>
              </w:rPr>
            </w:pPr>
            <w:r w:rsidRPr="008205B6">
              <w:rPr>
                <w:color w:val="FFFFFF" w:themeColor="background1"/>
              </w:rPr>
              <w:t>(%)</w:t>
            </w:r>
            <w:r w:rsidRPr="00196897">
              <w:rPr>
                <w:color w:val="FFFFFF" w:themeColor="background1"/>
                <w:vertAlign w:val="superscript"/>
              </w:rPr>
              <w:t>¶</w:t>
            </w:r>
          </w:p>
        </w:tc>
        <w:tc>
          <w:tcPr>
            <w:tcW w:w="0" w:type="auto"/>
            <w:tcMar>
              <w:top w:w="142" w:type="dxa"/>
              <w:left w:w="142" w:type="dxa"/>
              <w:bottom w:w="142" w:type="dxa"/>
              <w:right w:w="142" w:type="dxa"/>
            </w:tcMar>
            <w:hideMark/>
          </w:tcPr>
          <w:p w14:paraId="5CA5765B" w14:textId="77777777" w:rsidR="00AE0FE0" w:rsidRPr="008205B6" w:rsidRDefault="00AE0FE0">
            <w:pPr>
              <w:pStyle w:val="NormalWeb"/>
              <w:rPr>
                <w:color w:val="FFFFFF" w:themeColor="background1"/>
              </w:rPr>
            </w:pPr>
            <w:r w:rsidRPr="008205B6">
              <w:rPr>
                <w:color w:val="FFFFFF" w:themeColor="background1"/>
              </w:rPr>
              <w:t>n</w:t>
            </w:r>
          </w:p>
        </w:tc>
        <w:tc>
          <w:tcPr>
            <w:tcW w:w="0" w:type="auto"/>
            <w:tcMar>
              <w:top w:w="142" w:type="dxa"/>
              <w:left w:w="142" w:type="dxa"/>
              <w:bottom w:w="142" w:type="dxa"/>
              <w:right w:w="142" w:type="dxa"/>
            </w:tcMar>
            <w:hideMark/>
          </w:tcPr>
          <w:p w14:paraId="52BA5E32" w14:textId="77777777" w:rsidR="00AE0FE0" w:rsidRPr="008205B6" w:rsidRDefault="00AE0FE0">
            <w:pPr>
              <w:pStyle w:val="NormalWeb"/>
              <w:rPr>
                <w:color w:val="FFFFFF" w:themeColor="background1"/>
              </w:rPr>
            </w:pPr>
            <w:r w:rsidRPr="008205B6">
              <w:rPr>
                <w:color w:val="FFFFFF" w:themeColor="background1"/>
              </w:rPr>
              <w:t>(%)</w:t>
            </w:r>
            <w:r w:rsidRPr="00196897">
              <w:rPr>
                <w:color w:val="FFFFFF" w:themeColor="background1"/>
                <w:vertAlign w:val="superscript"/>
              </w:rPr>
              <w:t>¶</w:t>
            </w:r>
          </w:p>
        </w:tc>
        <w:tc>
          <w:tcPr>
            <w:tcW w:w="0" w:type="auto"/>
            <w:tcMar>
              <w:top w:w="142" w:type="dxa"/>
              <w:left w:w="142" w:type="dxa"/>
              <w:bottom w:w="142" w:type="dxa"/>
              <w:right w:w="142" w:type="dxa"/>
            </w:tcMar>
            <w:hideMark/>
          </w:tcPr>
          <w:p w14:paraId="52BC7589" w14:textId="77777777" w:rsidR="00AE0FE0" w:rsidRPr="008205B6" w:rsidRDefault="00AE0FE0">
            <w:pPr>
              <w:pStyle w:val="NormalWeb"/>
              <w:rPr>
                <w:color w:val="FFFFFF" w:themeColor="background1"/>
              </w:rPr>
            </w:pPr>
            <w:r w:rsidRPr="008205B6">
              <w:rPr>
                <w:color w:val="FFFFFF" w:themeColor="background1"/>
              </w:rPr>
              <w:t>n</w:t>
            </w:r>
          </w:p>
        </w:tc>
        <w:tc>
          <w:tcPr>
            <w:tcW w:w="0" w:type="auto"/>
            <w:tcMar>
              <w:top w:w="142" w:type="dxa"/>
              <w:left w:w="142" w:type="dxa"/>
              <w:bottom w:w="142" w:type="dxa"/>
              <w:right w:w="142" w:type="dxa"/>
            </w:tcMar>
            <w:hideMark/>
          </w:tcPr>
          <w:p w14:paraId="22F5ECA7" w14:textId="77777777" w:rsidR="00AE0FE0" w:rsidRPr="008205B6" w:rsidRDefault="00AE0FE0">
            <w:pPr>
              <w:pStyle w:val="NormalWeb"/>
              <w:rPr>
                <w:color w:val="FFFFFF" w:themeColor="background1"/>
              </w:rPr>
            </w:pPr>
            <w:r w:rsidRPr="008205B6">
              <w:rPr>
                <w:color w:val="FFFFFF" w:themeColor="background1"/>
              </w:rPr>
              <w:t>(%)</w:t>
            </w:r>
            <w:r w:rsidRPr="00196897">
              <w:rPr>
                <w:color w:val="FFFFFF" w:themeColor="background1"/>
                <w:vertAlign w:val="superscript"/>
              </w:rPr>
              <w:t>¶</w:t>
            </w:r>
          </w:p>
        </w:tc>
      </w:tr>
      <w:tr w:rsidR="00AE0FE0" w14:paraId="06965CDF"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87012B5" w14:textId="77777777" w:rsidR="00AE0FE0" w:rsidRDefault="00AE0FE0">
            <w:pPr>
              <w:pStyle w:val="NormalWeb"/>
            </w:pPr>
            <w:r>
              <w:t>Influenza</w:t>
            </w:r>
          </w:p>
        </w:tc>
        <w:tc>
          <w:tcPr>
            <w:tcW w:w="0" w:type="auto"/>
            <w:tcMar>
              <w:top w:w="142" w:type="dxa"/>
              <w:left w:w="142" w:type="dxa"/>
              <w:bottom w:w="142" w:type="dxa"/>
              <w:right w:w="142" w:type="dxa"/>
            </w:tcMar>
            <w:hideMark/>
          </w:tcPr>
          <w:p w14:paraId="6E8A83D1" w14:textId="77777777" w:rsidR="00AE0FE0" w:rsidRDefault="00AE0FE0">
            <w:pPr>
              <w:pStyle w:val="NormalWeb"/>
            </w:pPr>
            <w:r>
              <w:t>700</w:t>
            </w:r>
          </w:p>
        </w:tc>
        <w:tc>
          <w:tcPr>
            <w:tcW w:w="0" w:type="auto"/>
            <w:tcMar>
              <w:top w:w="142" w:type="dxa"/>
              <w:left w:w="142" w:type="dxa"/>
              <w:bottom w:w="142" w:type="dxa"/>
              <w:right w:w="142" w:type="dxa"/>
            </w:tcMar>
            <w:hideMark/>
          </w:tcPr>
          <w:p w14:paraId="52EFCF80" w14:textId="77777777" w:rsidR="00AE0FE0" w:rsidRDefault="00AE0FE0">
            <w:pPr>
              <w:pStyle w:val="NormalWeb"/>
            </w:pPr>
            <w:r>
              <w:t>(20.5)</w:t>
            </w:r>
          </w:p>
        </w:tc>
        <w:tc>
          <w:tcPr>
            <w:tcW w:w="0" w:type="auto"/>
            <w:tcMar>
              <w:top w:w="142" w:type="dxa"/>
              <w:left w:w="142" w:type="dxa"/>
              <w:bottom w:w="142" w:type="dxa"/>
              <w:right w:w="142" w:type="dxa"/>
            </w:tcMar>
            <w:hideMark/>
          </w:tcPr>
          <w:p w14:paraId="54F854F7" w14:textId="77777777" w:rsidR="00AE0FE0" w:rsidRDefault="00AE0FE0">
            <w:pPr>
              <w:pStyle w:val="NormalWeb"/>
            </w:pPr>
            <w:r>
              <w:t>599</w:t>
            </w:r>
          </w:p>
        </w:tc>
        <w:tc>
          <w:tcPr>
            <w:tcW w:w="0" w:type="auto"/>
            <w:tcMar>
              <w:top w:w="142" w:type="dxa"/>
              <w:left w:w="142" w:type="dxa"/>
              <w:bottom w:w="142" w:type="dxa"/>
              <w:right w:w="142" w:type="dxa"/>
            </w:tcMar>
            <w:hideMark/>
          </w:tcPr>
          <w:p w14:paraId="55E05E0C" w14:textId="77777777" w:rsidR="00AE0FE0" w:rsidRDefault="00AE0FE0">
            <w:pPr>
              <w:pStyle w:val="NormalWeb"/>
            </w:pPr>
            <w:r>
              <w:t>(85.6)</w:t>
            </w:r>
          </w:p>
        </w:tc>
        <w:tc>
          <w:tcPr>
            <w:tcW w:w="0" w:type="auto"/>
            <w:tcMar>
              <w:top w:w="142" w:type="dxa"/>
              <w:left w:w="142" w:type="dxa"/>
              <w:bottom w:w="142" w:type="dxa"/>
              <w:right w:w="142" w:type="dxa"/>
            </w:tcMar>
            <w:hideMark/>
          </w:tcPr>
          <w:p w14:paraId="1B84D5CB" w14:textId="77777777" w:rsidR="00AE0FE0" w:rsidRDefault="00AE0FE0">
            <w:pPr>
              <w:pStyle w:val="NormalWeb"/>
            </w:pPr>
            <w:r>
              <w:t>73</w:t>
            </w:r>
          </w:p>
        </w:tc>
        <w:tc>
          <w:tcPr>
            <w:tcW w:w="0" w:type="auto"/>
            <w:tcMar>
              <w:top w:w="142" w:type="dxa"/>
              <w:left w:w="142" w:type="dxa"/>
              <w:bottom w:w="142" w:type="dxa"/>
              <w:right w:w="142" w:type="dxa"/>
            </w:tcMar>
            <w:hideMark/>
          </w:tcPr>
          <w:p w14:paraId="520A81A5" w14:textId="77777777" w:rsidR="00AE0FE0" w:rsidRDefault="00AE0FE0">
            <w:pPr>
              <w:pStyle w:val="NormalWeb"/>
            </w:pPr>
            <w:r>
              <w:t>(10.4)</w:t>
            </w:r>
          </w:p>
        </w:tc>
        <w:tc>
          <w:tcPr>
            <w:tcW w:w="0" w:type="auto"/>
            <w:tcMar>
              <w:top w:w="142" w:type="dxa"/>
              <w:left w:w="142" w:type="dxa"/>
              <w:bottom w:w="142" w:type="dxa"/>
              <w:right w:w="142" w:type="dxa"/>
            </w:tcMar>
            <w:hideMark/>
          </w:tcPr>
          <w:p w14:paraId="781C79EB" w14:textId="77777777" w:rsidR="00AE0FE0" w:rsidRDefault="00AE0FE0">
            <w:pPr>
              <w:pStyle w:val="NormalWeb"/>
            </w:pPr>
            <w:r>
              <w:t>84</w:t>
            </w:r>
          </w:p>
        </w:tc>
        <w:tc>
          <w:tcPr>
            <w:tcW w:w="0" w:type="auto"/>
            <w:tcMar>
              <w:top w:w="142" w:type="dxa"/>
              <w:left w:w="142" w:type="dxa"/>
              <w:bottom w:w="142" w:type="dxa"/>
              <w:right w:w="142" w:type="dxa"/>
            </w:tcMar>
            <w:hideMark/>
          </w:tcPr>
          <w:p w14:paraId="777E2A8C" w14:textId="77777777" w:rsidR="00AE0FE0" w:rsidRDefault="00AE0FE0">
            <w:pPr>
              <w:pStyle w:val="NormalWeb"/>
            </w:pPr>
            <w:r>
              <w:t>(12.0)</w:t>
            </w:r>
          </w:p>
        </w:tc>
        <w:tc>
          <w:tcPr>
            <w:tcW w:w="0" w:type="auto"/>
            <w:tcMar>
              <w:top w:w="142" w:type="dxa"/>
              <w:left w:w="142" w:type="dxa"/>
              <w:bottom w:w="142" w:type="dxa"/>
              <w:right w:w="142" w:type="dxa"/>
            </w:tcMar>
            <w:hideMark/>
          </w:tcPr>
          <w:p w14:paraId="3E333891" w14:textId="77777777" w:rsidR="00AE0FE0" w:rsidRDefault="00AE0FE0">
            <w:pPr>
              <w:pStyle w:val="NormalWeb"/>
            </w:pPr>
            <w:r>
              <w:t>567</w:t>
            </w:r>
          </w:p>
        </w:tc>
        <w:tc>
          <w:tcPr>
            <w:tcW w:w="0" w:type="auto"/>
            <w:tcMar>
              <w:top w:w="142" w:type="dxa"/>
              <w:left w:w="142" w:type="dxa"/>
              <w:bottom w:w="142" w:type="dxa"/>
              <w:right w:w="142" w:type="dxa"/>
            </w:tcMar>
            <w:hideMark/>
          </w:tcPr>
          <w:p w14:paraId="4E0DE851" w14:textId="77777777" w:rsidR="00AE0FE0" w:rsidRDefault="00AE0FE0">
            <w:pPr>
              <w:pStyle w:val="NormalWeb"/>
            </w:pPr>
            <w:r>
              <w:t>(81.0)</w:t>
            </w:r>
          </w:p>
        </w:tc>
      </w:tr>
      <w:tr w:rsidR="009525C9" w14:paraId="78BC710C"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1758AA3" w14:textId="77777777" w:rsidR="00AE0FE0" w:rsidRDefault="00AE0FE0">
            <w:pPr>
              <w:pStyle w:val="NormalWeb"/>
            </w:pPr>
            <w:proofErr w:type="spellStart"/>
            <w:r>
              <w:t>DTPa</w:t>
            </w:r>
            <w:proofErr w:type="spellEnd"/>
            <w:r>
              <w:t>-IPV-</w:t>
            </w:r>
            <w:proofErr w:type="spellStart"/>
            <w:r>
              <w:t>HepB</w:t>
            </w:r>
            <w:proofErr w:type="spellEnd"/>
            <w:r>
              <w:t>-Hib</w:t>
            </w:r>
          </w:p>
        </w:tc>
        <w:tc>
          <w:tcPr>
            <w:tcW w:w="0" w:type="auto"/>
            <w:tcMar>
              <w:top w:w="142" w:type="dxa"/>
              <w:left w:w="142" w:type="dxa"/>
              <w:bottom w:w="142" w:type="dxa"/>
              <w:right w:w="142" w:type="dxa"/>
            </w:tcMar>
            <w:hideMark/>
          </w:tcPr>
          <w:p w14:paraId="25546ED3" w14:textId="77777777" w:rsidR="00AE0FE0" w:rsidRDefault="00AE0FE0">
            <w:pPr>
              <w:pStyle w:val="NormalWeb"/>
            </w:pPr>
            <w:r>
              <w:t>474</w:t>
            </w:r>
          </w:p>
        </w:tc>
        <w:tc>
          <w:tcPr>
            <w:tcW w:w="0" w:type="auto"/>
            <w:tcMar>
              <w:top w:w="142" w:type="dxa"/>
              <w:left w:w="142" w:type="dxa"/>
              <w:bottom w:w="142" w:type="dxa"/>
              <w:right w:w="142" w:type="dxa"/>
            </w:tcMar>
            <w:hideMark/>
          </w:tcPr>
          <w:p w14:paraId="332C65CD" w14:textId="77777777" w:rsidR="00AE0FE0" w:rsidRDefault="00AE0FE0">
            <w:pPr>
              <w:pStyle w:val="NormalWeb"/>
            </w:pPr>
            <w:r>
              <w:t>(13.9)</w:t>
            </w:r>
          </w:p>
        </w:tc>
        <w:tc>
          <w:tcPr>
            <w:tcW w:w="0" w:type="auto"/>
            <w:tcMar>
              <w:top w:w="142" w:type="dxa"/>
              <w:left w:w="142" w:type="dxa"/>
              <w:bottom w:w="142" w:type="dxa"/>
              <w:right w:w="142" w:type="dxa"/>
            </w:tcMar>
            <w:hideMark/>
          </w:tcPr>
          <w:p w14:paraId="494A3872" w14:textId="77777777" w:rsidR="00AE0FE0" w:rsidRDefault="00AE0FE0">
            <w:pPr>
              <w:pStyle w:val="NormalWeb"/>
            </w:pPr>
            <w:r>
              <w:t>41</w:t>
            </w:r>
          </w:p>
        </w:tc>
        <w:tc>
          <w:tcPr>
            <w:tcW w:w="0" w:type="auto"/>
            <w:tcMar>
              <w:top w:w="142" w:type="dxa"/>
              <w:left w:w="142" w:type="dxa"/>
              <w:bottom w:w="142" w:type="dxa"/>
              <w:right w:w="142" w:type="dxa"/>
            </w:tcMar>
            <w:hideMark/>
          </w:tcPr>
          <w:p w14:paraId="3F64587D" w14:textId="77777777" w:rsidR="00AE0FE0" w:rsidRDefault="00AE0FE0">
            <w:pPr>
              <w:pStyle w:val="NormalWeb"/>
            </w:pPr>
            <w:r>
              <w:t>(8.6)</w:t>
            </w:r>
          </w:p>
        </w:tc>
        <w:tc>
          <w:tcPr>
            <w:tcW w:w="0" w:type="auto"/>
            <w:tcMar>
              <w:top w:w="142" w:type="dxa"/>
              <w:left w:w="142" w:type="dxa"/>
              <w:bottom w:w="142" w:type="dxa"/>
              <w:right w:w="142" w:type="dxa"/>
            </w:tcMar>
            <w:hideMark/>
          </w:tcPr>
          <w:p w14:paraId="07A37C8B" w14:textId="77777777" w:rsidR="00AE0FE0" w:rsidRDefault="00AE0FE0">
            <w:pPr>
              <w:pStyle w:val="NormalWeb"/>
            </w:pPr>
            <w:r>
              <w:t>86</w:t>
            </w:r>
          </w:p>
        </w:tc>
        <w:tc>
          <w:tcPr>
            <w:tcW w:w="0" w:type="auto"/>
            <w:tcMar>
              <w:top w:w="142" w:type="dxa"/>
              <w:left w:w="142" w:type="dxa"/>
              <w:bottom w:w="142" w:type="dxa"/>
              <w:right w:w="142" w:type="dxa"/>
            </w:tcMar>
            <w:hideMark/>
          </w:tcPr>
          <w:p w14:paraId="25ED9EC3" w14:textId="77777777" w:rsidR="00AE0FE0" w:rsidRDefault="00AE0FE0">
            <w:pPr>
              <w:pStyle w:val="NormalWeb"/>
            </w:pPr>
            <w:r>
              <w:t>(18.1)</w:t>
            </w:r>
          </w:p>
        </w:tc>
        <w:tc>
          <w:tcPr>
            <w:tcW w:w="0" w:type="auto"/>
            <w:tcMar>
              <w:top w:w="142" w:type="dxa"/>
              <w:left w:w="142" w:type="dxa"/>
              <w:bottom w:w="142" w:type="dxa"/>
              <w:right w:w="142" w:type="dxa"/>
            </w:tcMar>
            <w:hideMark/>
          </w:tcPr>
          <w:p w14:paraId="27F07682" w14:textId="77777777" w:rsidR="00AE0FE0" w:rsidRDefault="00AE0FE0">
            <w:pPr>
              <w:pStyle w:val="NormalWeb"/>
            </w:pPr>
            <w:r>
              <w:t>455</w:t>
            </w:r>
          </w:p>
        </w:tc>
        <w:tc>
          <w:tcPr>
            <w:tcW w:w="0" w:type="auto"/>
            <w:tcMar>
              <w:top w:w="142" w:type="dxa"/>
              <w:left w:w="142" w:type="dxa"/>
              <w:bottom w:w="142" w:type="dxa"/>
              <w:right w:w="142" w:type="dxa"/>
            </w:tcMar>
            <w:hideMark/>
          </w:tcPr>
          <w:p w14:paraId="4EFF20A2" w14:textId="77777777" w:rsidR="00AE0FE0" w:rsidRDefault="00AE0FE0">
            <w:pPr>
              <w:pStyle w:val="NormalWeb"/>
            </w:pPr>
            <w:r>
              <w:t>(96.0)</w:t>
            </w:r>
          </w:p>
        </w:tc>
        <w:tc>
          <w:tcPr>
            <w:tcW w:w="0" w:type="auto"/>
            <w:tcMar>
              <w:top w:w="142" w:type="dxa"/>
              <w:left w:w="142" w:type="dxa"/>
              <w:bottom w:w="142" w:type="dxa"/>
              <w:right w:w="142" w:type="dxa"/>
            </w:tcMar>
            <w:hideMark/>
          </w:tcPr>
          <w:p w14:paraId="2C93C4AA" w14:textId="77777777" w:rsidR="00AE0FE0" w:rsidRDefault="00AE0FE0">
            <w:pPr>
              <w:pStyle w:val="NormalWeb"/>
            </w:pPr>
            <w:r>
              <w:t>13</w:t>
            </w:r>
          </w:p>
        </w:tc>
        <w:tc>
          <w:tcPr>
            <w:tcW w:w="0" w:type="auto"/>
            <w:tcMar>
              <w:top w:w="142" w:type="dxa"/>
              <w:left w:w="142" w:type="dxa"/>
              <w:bottom w:w="142" w:type="dxa"/>
              <w:right w:w="142" w:type="dxa"/>
            </w:tcMar>
            <w:hideMark/>
          </w:tcPr>
          <w:p w14:paraId="3BEC711E" w14:textId="77777777" w:rsidR="00AE0FE0" w:rsidRDefault="00AE0FE0">
            <w:pPr>
              <w:pStyle w:val="NormalWeb"/>
            </w:pPr>
            <w:r>
              <w:t>(2.7)</w:t>
            </w:r>
          </w:p>
        </w:tc>
      </w:tr>
      <w:tr w:rsidR="00AE0FE0" w14:paraId="70178B8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049E1CD" w14:textId="77777777" w:rsidR="00AE0FE0" w:rsidRDefault="00AE0FE0">
            <w:pPr>
              <w:pStyle w:val="NormalWeb"/>
            </w:pPr>
            <w:r>
              <w:t>13vPCV</w:t>
            </w:r>
          </w:p>
        </w:tc>
        <w:tc>
          <w:tcPr>
            <w:tcW w:w="0" w:type="auto"/>
            <w:tcMar>
              <w:top w:w="142" w:type="dxa"/>
              <w:left w:w="142" w:type="dxa"/>
              <w:bottom w:w="142" w:type="dxa"/>
              <w:right w:w="142" w:type="dxa"/>
            </w:tcMar>
            <w:hideMark/>
          </w:tcPr>
          <w:p w14:paraId="5D686CD5" w14:textId="77777777" w:rsidR="00AE0FE0" w:rsidRDefault="00AE0FE0">
            <w:pPr>
              <w:pStyle w:val="NormalWeb"/>
            </w:pPr>
            <w:r>
              <w:t>436</w:t>
            </w:r>
          </w:p>
        </w:tc>
        <w:tc>
          <w:tcPr>
            <w:tcW w:w="0" w:type="auto"/>
            <w:tcMar>
              <w:top w:w="142" w:type="dxa"/>
              <w:left w:w="142" w:type="dxa"/>
              <w:bottom w:w="142" w:type="dxa"/>
              <w:right w:w="142" w:type="dxa"/>
            </w:tcMar>
            <w:hideMark/>
          </w:tcPr>
          <w:p w14:paraId="0A240EDC" w14:textId="77777777" w:rsidR="00AE0FE0" w:rsidRDefault="00AE0FE0">
            <w:pPr>
              <w:pStyle w:val="NormalWeb"/>
            </w:pPr>
            <w:r>
              <w:t>(12.8)</w:t>
            </w:r>
          </w:p>
        </w:tc>
        <w:tc>
          <w:tcPr>
            <w:tcW w:w="0" w:type="auto"/>
            <w:tcMar>
              <w:top w:w="142" w:type="dxa"/>
              <w:left w:w="142" w:type="dxa"/>
              <w:bottom w:w="142" w:type="dxa"/>
              <w:right w:w="142" w:type="dxa"/>
            </w:tcMar>
            <w:hideMark/>
          </w:tcPr>
          <w:p w14:paraId="245ABB7B" w14:textId="77777777" w:rsidR="00AE0FE0" w:rsidRDefault="00AE0FE0">
            <w:pPr>
              <w:pStyle w:val="NormalWeb"/>
            </w:pPr>
            <w:r>
              <w:t>12</w:t>
            </w:r>
          </w:p>
        </w:tc>
        <w:tc>
          <w:tcPr>
            <w:tcW w:w="0" w:type="auto"/>
            <w:tcMar>
              <w:top w:w="142" w:type="dxa"/>
              <w:left w:w="142" w:type="dxa"/>
              <w:bottom w:w="142" w:type="dxa"/>
              <w:right w:w="142" w:type="dxa"/>
            </w:tcMar>
            <w:hideMark/>
          </w:tcPr>
          <w:p w14:paraId="47D721F1" w14:textId="77777777" w:rsidR="00AE0FE0" w:rsidRDefault="00AE0FE0">
            <w:pPr>
              <w:pStyle w:val="NormalWeb"/>
            </w:pPr>
            <w:r>
              <w:t>(2.8)</w:t>
            </w:r>
          </w:p>
        </w:tc>
        <w:tc>
          <w:tcPr>
            <w:tcW w:w="0" w:type="auto"/>
            <w:tcMar>
              <w:top w:w="142" w:type="dxa"/>
              <w:left w:w="142" w:type="dxa"/>
              <w:bottom w:w="142" w:type="dxa"/>
              <w:right w:w="142" w:type="dxa"/>
            </w:tcMar>
            <w:hideMark/>
          </w:tcPr>
          <w:p w14:paraId="233E0699" w14:textId="77777777" w:rsidR="00AE0FE0" w:rsidRDefault="00AE0FE0">
            <w:pPr>
              <w:pStyle w:val="NormalWeb"/>
            </w:pPr>
            <w:r>
              <w:t>85</w:t>
            </w:r>
          </w:p>
        </w:tc>
        <w:tc>
          <w:tcPr>
            <w:tcW w:w="0" w:type="auto"/>
            <w:tcMar>
              <w:top w:w="142" w:type="dxa"/>
              <w:left w:w="142" w:type="dxa"/>
              <w:bottom w:w="142" w:type="dxa"/>
              <w:right w:w="142" w:type="dxa"/>
            </w:tcMar>
            <w:hideMark/>
          </w:tcPr>
          <w:p w14:paraId="1D8FF294" w14:textId="77777777" w:rsidR="00AE0FE0" w:rsidRDefault="00AE0FE0">
            <w:pPr>
              <w:pStyle w:val="NormalWeb"/>
            </w:pPr>
            <w:r>
              <w:t>(19.5)</w:t>
            </w:r>
          </w:p>
        </w:tc>
        <w:tc>
          <w:tcPr>
            <w:tcW w:w="0" w:type="auto"/>
            <w:tcMar>
              <w:top w:w="142" w:type="dxa"/>
              <w:left w:w="142" w:type="dxa"/>
              <w:bottom w:w="142" w:type="dxa"/>
              <w:right w:w="142" w:type="dxa"/>
            </w:tcMar>
            <w:hideMark/>
          </w:tcPr>
          <w:p w14:paraId="3659C6D2" w14:textId="77777777" w:rsidR="00AE0FE0" w:rsidRDefault="00AE0FE0">
            <w:pPr>
              <w:pStyle w:val="NormalWeb"/>
            </w:pPr>
            <w:r>
              <w:t>424</w:t>
            </w:r>
          </w:p>
        </w:tc>
        <w:tc>
          <w:tcPr>
            <w:tcW w:w="0" w:type="auto"/>
            <w:tcMar>
              <w:top w:w="142" w:type="dxa"/>
              <w:left w:w="142" w:type="dxa"/>
              <w:bottom w:w="142" w:type="dxa"/>
              <w:right w:w="142" w:type="dxa"/>
            </w:tcMar>
            <w:hideMark/>
          </w:tcPr>
          <w:p w14:paraId="2D2D42D4" w14:textId="77777777" w:rsidR="00AE0FE0" w:rsidRDefault="00AE0FE0">
            <w:pPr>
              <w:pStyle w:val="NormalWeb"/>
            </w:pPr>
            <w:r>
              <w:t>(97.2)</w:t>
            </w:r>
          </w:p>
        </w:tc>
        <w:tc>
          <w:tcPr>
            <w:tcW w:w="0" w:type="auto"/>
            <w:tcMar>
              <w:top w:w="142" w:type="dxa"/>
              <w:left w:w="142" w:type="dxa"/>
              <w:bottom w:w="142" w:type="dxa"/>
              <w:right w:w="142" w:type="dxa"/>
            </w:tcMar>
            <w:hideMark/>
          </w:tcPr>
          <w:p w14:paraId="3C697F01" w14:textId="77777777" w:rsidR="00AE0FE0" w:rsidRDefault="00AE0FE0">
            <w:pPr>
              <w:pStyle w:val="NormalWeb"/>
            </w:pPr>
            <w:r>
              <w:t>7</w:t>
            </w:r>
          </w:p>
        </w:tc>
        <w:tc>
          <w:tcPr>
            <w:tcW w:w="0" w:type="auto"/>
            <w:tcMar>
              <w:top w:w="142" w:type="dxa"/>
              <w:left w:w="142" w:type="dxa"/>
              <w:bottom w:w="142" w:type="dxa"/>
              <w:right w:w="142" w:type="dxa"/>
            </w:tcMar>
            <w:hideMark/>
          </w:tcPr>
          <w:p w14:paraId="363A27D9" w14:textId="77777777" w:rsidR="00AE0FE0" w:rsidRDefault="00AE0FE0">
            <w:pPr>
              <w:pStyle w:val="NormalWeb"/>
            </w:pPr>
            <w:r>
              <w:t>(1.6)</w:t>
            </w:r>
          </w:p>
        </w:tc>
      </w:tr>
      <w:tr w:rsidR="009525C9" w14:paraId="3B251917"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25139EC" w14:textId="77777777" w:rsidR="00AE0FE0" w:rsidRDefault="00AE0FE0">
            <w:pPr>
              <w:pStyle w:val="NormalWeb"/>
            </w:pPr>
            <w:proofErr w:type="spellStart"/>
            <w:r>
              <w:t>DTPa</w:t>
            </w:r>
            <w:proofErr w:type="spellEnd"/>
            <w:r>
              <w:t>-IPV</w:t>
            </w:r>
          </w:p>
        </w:tc>
        <w:tc>
          <w:tcPr>
            <w:tcW w:w="0" w:type="auto"/>
            <w:tcMar>
              <w:top w:w="142" w:type="dxa"/>
              <w:left w:w="142" w:type="dxa"/>
              <w:bottom w:w="142" w:type="dxa"/>
              <w:right w:w="142" w:type="dxa"/>
            </w:tcMar>
            <w:hideMark/>
          </w:tcPr>
          <w:p w14:paraId="1127F844" w14:textId="77777777" w:rsidR="00AE0FE0" w:rsidRDefault="00AE0FE0">
            <w:pPr>
              <w:pStyle w:val="NormalWeb"/>
            </w:pPr>
            <w:r>
              <w:t>433</w:t>
            </w:r>
          </w:p>
        </w:tc>
        <w:tc>
          <w:tcPr>
            <w:tcW w:w="0" w:type="auto"/>
            <w:tcMar>
              <w:top w:w="142" w:type="dxa"/>
              <w:left w:w="142" w:type="dxa"/>
              <w:bottom w:w="142" w:type="dxa"/>
              <w:right w:w="142" w:type="dxa"/>
            </w:tcMar>
            <w:hideMark/>
          </w:tcPr>
          <w:p w14:paraId="456C00E6" w14:textId="77777777" w:rsidR="00AE0FE0" w:rsidRDefault="00AE0FE0">
            <w:pPr>
              <w:pStyle w:val="NormalWeb"/>
            </w:pPr>
            <w:r>
              <w:t>(12.7)</w:t>
            </w:r>
          </w:p>
        </w:tc>
        <w:tc>
          <w:tcPr>
            <w:tcW w:w="0" w:type="auto"/>
            <w:tcMar>
              <w:top w:w="142" w:type="dxa"/>
              <w:left w:w="142" w:type="dxa"/>
              <w:bottom w:w="142" w:type="dxa"/>
              <w:right w:w="142" w:type="dxa"/>
            </w:tcMar>
            <w:hideMark/>
          </w:tcPr>
          <w:p w14:paraId="5B6B5A3C" w14:textId="77777777" w:rsidR="00AE0FE0" w:rsidRDefault="00AE0FE0">
            <w:pPr>
              <w:pStyle w:val="NormalWeb"/>
            </w:pPr>
            <w:r>
              <w:t>376</w:t>
            </w:r>
          </w:p>
        </w:tc>
        <w:tc>
          <w:tcPr>
            <w:tcW w:w="0" w:type="auto"/>
            <w:tcMar>
              <w:top w:w="142" w:type="dxa"/>
              <w:left w:w="142" w:type="dxa"/>
              <w:bottom w:w="142" w:type="dxa"/>
              <w:right w:w="142" w:type="dxa"/>
            </w:tcMar>
            <w:hideMark/>
          </w:tcPr>
          <w:p w14:paraId="4071921A" w14:textId="77777777" w:rsidR="00AE0FE0" w:rsidRDefault="00AE0FE0">
            <w:pPr>
              <w:pStyle w:val="NormalWeb"/>
            </w:pPr>
            <w:r>
              <w:t>(86.8)</w:t>
            </w:r>
          </w:p>
        </w:tc>
        <w:tc>
          <w:tcPr>
            <w:tcW w:w="0" w:type="auto"/>
            <w:tcMar>
              <w:top w:w="142" w:type="dxa"/>
              <w:left w:w="142" w:type="dxa"/>
              <w:bottom w:w="142" w:type="dxa"/>
              <w:right w:w="142" w:type="dxa"/>
            </w:tcMar>
            <w:hideMark/>
          </w:tcPr>
          <w:p w14:paraId="5FFED545" w14:textId="77777777" w:rsidR="00AE0FE0" w:rsidRDefault="00AE0FE0">
            <w:pPr>
              <w:pStyle w:val="NormalWeb"/>
            </w:pPr>
            <w:r>
              <w:t>32</w:t>
            </w:r>
          </w:p>
        </w:tc>
        <w:tc>
          <w:tcPr>
            <w:tcW w:w="0" w:type="auto"/>
            <w:tcMar>
              <w:top w:w="142" w:type="dxa"/>
              <w:left w:w="142" w:type="dxa"/>
              <w:bottom w:w="142" w:type="dxa"/>
              <w:right w:w="142" w:type="dxa"/>
            </w:tcMar>
            <w:hideMark/>
          </w:tcPr>
          <w:p w14:paraId="4E48B280" w14:textId="77777777" w:rsidR="00AE0FE0" w:rsidRDefault="00AE0FE0">
            <w:pPr>
              <w:pStyle w:val="NormalWeb"/>
            </w:pPr>
            <w:r>
              <w:t>(7.4)</w:t>
            </w:r>
          </w:p>
        </w:tc>
        <w:tc>
          <w:tcPr>
            <w:tcW w:w="0" w:type="auto"/>
            <w:tcMar>
              <w:top w:w="142" w:type="dxa"/>
              <w:left w:w="142" w:type="dxa"/>
              <w:bottom w:w="142" w:type="dxa"/>
              <w:right w:w="142" w:type="dxa"/>
            </w:tcMar>
            <w:hideMark/>
          </w:tcPr>
          <w:p w14:paraId="55F4AAB2" w14:textId="77777777" w:rsidR="00AE0FE0" w:rsidRDefault="00AE0FE0">
            <w:pPr>
              <w:pStyle w:val="NormalWeb"/>
            </w:pPr>
            <w:r>
              <w:t>441</w:t>
            </w:r>
          </w:p>
        </w:tc>
        <w:tc>
          <w:tcPr>
            <w:tcW w:w="0" w:type="auto"/>
            <w:tcMar>
              <w:top w:w="142" w:type="dxa"/>
              <w:left w:w="142" w:type="dxa"/>
              <w:bottom w:w="142" w:type="dxa"/>
              <w:right w:w="142" w:type="dxa"/>
            </w:tcMar>
            <w:hideMark/>
          </w:tcPr>
          <w:p w14:paraId="26455278" w14:textId="77777777" w:rsidR="00AE0FE0" w:rsidRDefault="00AE0FE0">
            <w:pPr>
              <w:pStyle w:val="NormalWeb"/>
            </w:pPr>
            <w:r>
              <w:t>(101.8)</w:t>
            </w:r>
          </w:p>
        </w:tc>
        <w:tc>
          <w:tcPr>
            <w:tcW w:w="0" w:type="auto"/>
            <w:tcMar>
              <w:top w:w="142" w:type="dxa"/>
              <w:left w:w="142" w:type="dxa"/>
              <w:bottom w:w="142" w:type="dxa"/>
              <w:right w:w="142" w:type="dxa"/>
            </w:tcMar>
            <w:hideMark/>
          </w:tcPr>
          <w:p w14:paraId="4C799D56" w14:textId="77777777" w:rsidR="00AE0FE0" w:rsidRDefault="00AE0FE0">
            <w:pPr>
              <w:pStyle w:val="NormalWeb"/>
            </w:pPr>
            <w:r>
              <w:t>8</w:t>
            </w:r>
          </w:p>
        </w:tc>
        <w:tc>
          <w:tcPr>
            <w:tcW w:w="0" w:type="auto"/>
            <w:tcMar>
              <w:top w:w="142" w:type="dxa"/>
              <w:left w:w="142" w:type="dxa"/>
              <w:bottom w:w="142" w:type="dxa"/>
              <w:right w:w="142" w:type="dxa"/>
            </w:tcMar>
            <w:hideMark/>
          </w:tcPr>
          <w:p w14:paraId="7095BA9D" w14:textId="77777777" w:rsidR="00AE0FE0" w:rsidRDefault="00AE0FE0">
            <w:pPr>
              <w:pStyle w:val="NormalWeb"/>
            </w:pPr>
            <w:r>
              <w:t>(1.8)</w:t>
            </w:r>
          </w:p>
        </w:tc>
      </w:tr>
      <w:tr w:rsidR="00AE0FE0" w14:paraId="47D9F272"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9404B2B" w14:textId="77777777" w:rsidR="00AE0FE0" w:rsidRDefault="00AE0FE0">
            <w:pPr>
              <w:pStyle w:val="NormalWeb"/>
            </w:pPr>
            <w:r>
              <w:t>Rotavirus</w:t>
            </w:r>
          </w:p>
        </w:tc>
        <w:tc>
          <w:tcPr>
            <w:tcW w:w="0" w:type="auto"/>
            <w:tcMar>
              <w:top w:w="142" w:type="dxa"/>
              <w:left w:w="142" w:type="dxa"/>
              <w:bottom w:w="142" w:type="dxa"/>
              <w:right w:w="142" w:type="dxa"/>
            </w:tcMar>
            <w:hideMark/>
          </w:tcPr>
          <w:p w14:paraId="529072DB" w14:textId="77777777" w:rsidR="00AE0FE0" w:rsidRDefault="00AE0FE0">
            <w:pPr>
              <w:pStyle w:val="NormalWeb"/>
            </w:pPr>
            <w:r>
              <w:t>426</w:t>
            </w:r>
          </w:p>
        </w:tc>
        <w:tc>
          <w:tcPr>
            <w:tcW w:w="0" w:type="auto"/>
            <w:tcMar>
              <w:top w:w="142" w:type="dxa"/>
              <w:left w:w="142" w:type="dxa"/>
              <w:bottom w:w="142" w:type="dxa"/>
              <w:right w:w="142" w:type="dxa"/>
            </w:tcMar>
            <w:hideMark/>
          </w:tcPr>
          <w:p w14:paraId="0A932B48" w14:textId="77777777" w:rsidR="00AE0FE0" w:rsidRDefault="00AE0FE0">
            <w:pPr>
              <w:pStyle w:val="NormalWeb"/>
            </w:pPr>
            <w:r>
              <w:t>(12.5)</w:t>
            </w:r>
          </w:p>
        </w:tc>
        <w:tc>
          <w:tcPr>
            <w:tcW w:w="0" w:type="auto"/>
            <w:tcMar>
              <w:top w:w="142" w:type="dxa"/>
              <w:left w:w="142" w:type="dxa"/>
              <w:bottom w:w="142" w:type="dxa"/>
              <w:right w:w="142" w:type="dxa"/>
            </w:tcMar>
            <w:hideMark/>
          </w:tcPr>
          <w:p w14:paraId="4AF015F7" w14:textId="77777777" w:rsidR="00AE0FE0" w:rsidRDefault="00AE0FE0">
            <w:pPr>
              <w:pStyle w:val="NormalWeb"/>
            </w:pPr>
            <w:r>
              <w:t>48</w:t>
            </w:r>
          </w:p>
        </w:tc>
        <w:tc>
          <w:tcPr>
            <w:tcW w:w="0" w:type="auto"/>
            <w:tcMar>
              <w:top w:w="142" w:type="dxa"/>
              <w:left w:w="142" w:type="dxa"/>
              <w:bottom w:w="142" w:type="dxa"/>
              <w:right w:w="142" w:type="dxa"/>
            </w:tcMar>
            <w:hideMark/>
          </w:tcPr>
          <w:p w14:paraId="77877008" w14:textId="77777777" w:rsidR="00AE0FE0" w:rsidRDefault="00AE0FE0">
            <w:pPr>
              <w:pStyle w:val="NormalWeb"/>
            </w:pPr>
            <w:r>
              <w:t>(11.3)</w:t>
            </w:r>
          </w:p>
        </w:tc>
        <w:tc>
          <w:tcPr>
            <w:tcW w:w="0" w:type="auto"/>
            <w:tcMar>
              <w:top w:w="142" w:type="dxa"/>
              <w:left w:w="142" w:type="dxa"/>
              <w:bottom w:w="142" w:type="dxa"/>
              <w:right w:w="142" w:type="dxa"/>
            </w:tcMar>
            <w:hideMark/>
          </w:tcPr>
          <w:p w14:paraId="21E1D1CD" w14:textId="77777777" w:rsidR="00AE0FE0" w:rsidRDefault="00AE0FE0">
            <w:pPr>
              <w:pStyle w:val="NormalWeb"/>
            </w:pPr>
            <w:r>
              <w:t>98</w:t>
            </w:r>
          </w:p>
        </w:tc>
        <w:tc>
          <w:tcPr>
            <w:tcW w:w="0" w:type="auto"/>
            <w:tcMar>
              <w:top w:w="142" w:type="dxa"/>
              <w:left w:w="142" w:type="dxa"/>
              <w:bottom w:w="142" w:type="dxa"/>
              <w:right w:w="142" w:type="dxa"/>
            </w:tcMar>
            <w:hideMark/>
          </w:tcPr>
          <w:p w14:paraId="6F3A78B7" w14:textId="77777777" w:rsidR="00AE0FE0" w:rsidRDefault="00AE0FE0">
            <w:pPr>
              <w:pStyle w:val="NormalWeb"/>
            </w:pPr>
            <w:r>
              <w:t>(23.0)</w:t>
            </w:r>
          </w:p>
        </w:tc>
        <w:tc>
          <w:tcPr>
            <w:tcW w:w="0" w:type="auto"/>
            <w:tcMar>
              <w:top w:w="142" w:type="dxa"/>
              <w:left w:w="142" w:type="dxa"/>
              <w:bottom w:w="142" w:type="dxa"/>
              <w:right w:w="142" w:type="dxa"/>
            </w:tcMar>
            <w:hideMark/>
          </w:tcPr>
          <w:p w14:paraId="3135FD1E" w14:textId="77777777" w:rsidR="00AE0FE0" w:rsidRDefault="00AE0FE0">
            <w:pPr>
              <w:pStyle w:val="NormalWeb"/>
            </w:pPr>
            <w:r>
              <w:t>465</w:t>
            </w:r>
          </w:p>
        </w:tc>
        <w:tc>
          <w:tcPr>
            <w:tcW w:w="0" w:type="auto"/>
            <w:tcMar>
              <w:top w:w="142" w:type="dxa"/>
              <w:left w:w="142" w:type="dxa"/>
              <w:bottom w:w="142" w:type="dxa"/>
              <w:right w:w="142" w:type="dxa"/>
            </w:tcMar>
            <w:hideMark/>
          </w:tcPr>
          <w:p w14:paraId="7F3C2C74" w14:textId="77777777" w:rsidR="00AE0FE0" w:rsidRDefault="00AE0FE0">
            <w:pPr>
              <w:pStyle w:val="NormalWeb"/>
            </w:pPr>
            <w:r>
              <w:t>(109.2)</w:t>
            </w:r>
          </w:p>
        </w:tc>
        <w:tc>
          <w:tcPr>
            <w:tcW w:w="0" w:type="auto"/>
            <w:tcMar>
              <w:top w:w="142" w:type="dxa"/>
              <w:left w:w="142" w:type="dxa"/>
              <w:bottom w:w="142" w:type="dxa"/>
              <w:right w:w="142" w:type="dxa"/>
            </w:tcMar>
            <w:hideMark/>
          </w:tcPr>
          <w:p w14:paraId="42826610" w14:textId="77777777" w:rsidR="00AE0FE0" w:rsidRDefault="00AE0FE0">
            <w:pPr>
              <w:pStyle w:val="NormalWeb"/>
            </w:pPr>
            <w:r>
              <w:t>0</w:t>
            </w:r>
          </w:p>
        </w:tc>
        <w:tc>
          <w:tcPr>
            <w:tcW w:w="0" w:type="auto"/>
            <w:tcMar>
              <w:top w:w="142" w:type="dxa"/>
              <w:left w:w="142" w:type="dxa"/>
              <w:bottom w:w="142" w:type="dxa"/>
              <w:right w:w="142" w:type="dxa"/>
            </w:tcMar>
            <w:hideMark/>
          </w:tcPr>
          <w:p w14:paraId="1F923A79" w14:textId="77777777" w:rsidR="00AE0FE0" w:rsidRDefault="00AE0FE0">
            <w:pPr>
              <w:pStyle w:val="NormalWeb"/>
            </w:pPr>
            <w:r>
              <w:t>–</w:t>
            </w:r>
          </w:p>
        </w:tc>
      </w:tr>
      <w:tr w:rsidR="009525C9" w14:paraId="7C85E622"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F36EBFD" w14:textId="77777777" w:rsidR="00AE0FE0" w:rsidRDefault="00AE0FE0">
            <w:pPr>
              <w:pStyle w:val="NormalWeb"/>
            </w:pPr>
            <w:r>
              <w:t>HPV</w:t>
            </w:r>
          </w:p>
        </w:tc>
        <w:tc>
          <w:tcPr>
            <w:tcW w:w="0" w:type="auto"/>
            <w:tcMar>
              <w:top w:w="142" w:type="dxa"/>
              <w:left w:w="142" w:type="dxa"/>
              <w:bottom w:w="142" w:type="dxa"/>
              <w:right w:w="142" w:type="dxa"/>
            </w:tcMar>
            <w:hideMark/>
          </w:tcPr>
          <w:p w14:paraId="490803F4" w14:textId="77777777" w:rsidR="00AE0FE0" w:rsidRDefault="00AE0FE0">
            <w:pPr>
              <w:pStyle w:val="NormalWeb"/>
            </w:pPr>
            <w:r>
              <w:t>396</w:t>
            </w:r>
          </w:p>
        </w:tc>
        <w:tc>
          <w:tcPr>
            <w:tcW w:w="0" w:type="auto"/>
            <w:tcMar>
              <w:top w:w="142" w:type="dxa"/>
              <w:left w:w="142" w:type="dxa"/>
              <w:bottom w:w="142" w:type="dxa"/>
              <w:right w:w="142" w:type="dxa"/>
            </w:tcMar>
            <w:hideMark/>
          </w:tcPr>
          <w:p w14:paraId="538C8693" w14:textId="77777777" w:rsidR="00AE0FE0" w:rsidRDefault="00AE0FE0">
            <w:pPr>
              <w:pStyle w:val="NormalWeb"/>
            </w:pPr>
            <w:r>
              <w:t>(11.6)</w:t>
            </w:r>
          </w:p>
        </w:tc>
        <w:tc>
          <w:tcPr>
            <w:tcW w:w="0" w:type="auto"/>
            <w:tcMar>
              <w:top w:w="142" w:type="dxa"/>
              <w:left w:w="142" w:type="dxa"/>
              <w:bottom w:w="142" w:type="dxa"/>
              <w:right w:w="142" w:type="dxa"/>
            </w:tcMar>
            <w:hideMark/>
          </w:tcPr>
          <w:p w14:paraId="51139490" w14:textId="77777777" w:rsidR="00AE0FE0" w:rsidRDefault="00AE0FE0">
            <w:pPr>
              <w:pStyle w:val="NormalWeb"/>
            </w:pPr>
            <w:r>
              <w:t>151</w:t>
            </w:r>
          </w:p>
        </w:tc>
        <w:tc>
          <w:tcPr>
            <w:tcW w:w="0" w:type="auto"/>
            <w:tcMar>
              <w:top w:w="142" w:type="dxa"/>
              <w:left w:w="142" w:type="dxa"/>
              <w:bottom w:w="142" w:type="dxa"/>
              <w:right w:w="142" w:type="dxa"/>
            </w:tcMar>
            <w:hideMark/>
          </w:tcPr>
          <w:p w14:paraId="77372603" w14:textId="77777777" w:rsidR="00AE0FE0" w:rsidRDefault="00AE0FE0">
            <w:pPr>
              <w:pStyle w:val="NormalWeb"/>
            </w:pPr>
            <w:r>
              <w:t>(38.1)</w:t>
            </w:r>
          </w:p>
        </w:tc>
        <w:tc>
          <w:tcPr>
            <w:tcW w:w="0" w:type="auto"/>
            <w:tcMar>
              <w:top w:w="142" w:type="dxa"/>
              <w:left w:w="142" w:type="dxa"/>
              <w:bottom w:w="142" w:type="dxa"/>
              <w:right w:w="142" w:type="dxa"/>
            </w:tcMar>
            <w:hideMark/>
          </w:tcPr>
          <w:p w14:paraId="19BA28CB" w14:textId="77777777" w:rsidR="00AE0FE0" w:rsidRDefault="00AE0FE0">
            <w:pPr>
              <w:pStyle w:val="NormalWeb"/>
            </w:pPr>
            <w:r>
              <w:t>34</w:t>
            </w:r>
          </w:p>
        </w:tc>
        <w:tc>
          <w:tcPr>
            <w:tcW w:w="0" w:type="auto"/>
            <w:tcMar>
              <w:top w:w="142" w:type="dxa"/>
              <w:left w:w="142" w:type="dxa"/>
              <w:bottom w:w="142" w:type="dxa"/>
              <w:right w:w="142" w:type="dxa"/>
            </w:tcMar>
            <w:hideMark/>
          </w:tcPr>
          <w:p w14:paraId="15BBB636" w14:textId="77777777" w:rsidR="00AE0FE0" w:rsidRDefault="00AE0FE0">
            <w:pPr>
              <w:pStyle w:val="NormalWeb"/>
            </w:pPr>
            <w:r>
              <w:t>(8.6)</w:t>
            </w:r>
          </w:p>
        </w:tc>
        <w:tc>
          <w:tcPr>
            <w:tcW w:w="0" w:type="auto"/>
            <w:tcMar>
              <w:top w:w="142" w:type="dxa"/>
              <w:left w:w="142" w:type="dxa"/>
              <w:bottom w:w="142" w:type="dxa"/>
              <w:right w:w="142" w:type="dxa"/>
            </w:tcMar>
            <w:hideMark/>
          </w:tcPr>
          <w:p w14:paraId="5D49ED83" w14:textId="77777777" w:rsidR="00AE0FE0" w:rsidRDefault="00AE0FE0">
            <w:pPr>
              <w:pStyle w:val="NormalWeb"/>
            </w:pPr>
            <w:r>
              <w:t>2</w:t>
            </w:r>
          </w:p>
        </w:tc>
        <w:tc>
          <w:tcPr>
            <w:tcW w:w="0" w:type="auto"/>
            <w:tcMar>
              <w:top w:w="142" w:type="dxa"/>
              <w:left w:w="142" w:type="dxa"/>
              <w:bottom w:w="142" w:type="dxa"/>
              <w:right w:w="142" w:type="dxa"/>
            </w:tcMar>
            <w:hideMark/>
          </w:tcPr>
          <w:p w14:paraId="7829A7C2" w14:textId="77777777" w:rsidR="00AE0FE0" w:rsidRDefault="00AE0FE0">
            <w:pPr>
              <w:pStyle w:val="NormalWeb"/>
            </w:pPr>
            <w:r>
              <w:t>(0.5)</w:t>
            </w:r>
          </w:p>
        </w:tc>
        <w:tc>
          <w:tcPr>
            <w:tcW w:w="0" w:type="auto"/>
            <w:tcMar>
              <w:top w:w="142" w:type="dxa"/>
              <w:left w:w="142" w:type="dxa"/>
              <w:bottom w:w="142" w:type="dxa"/>
              <w:right w:w="142" w:type="dxa"/>
            </w:tcMar>
            <w:hideMark/>
          </w:tcPr>
          <w:p w14:paraId="7115B044" w14:textId="77777777" w:rsidR="00AE0FE0" w:rsidRDefault="00AE0FE0">
            <w:pPr>
              <w:pStyle w:val="NormalWeb"/>
            </w:pPr>
            <w:r>
              <w:t>381</w:t>
            </w:r>
          </w:p>
        </w:tc>
        <w:tc>
          <w:tcPr>
            <w:tcW w:w="0" w:type="auto"/>
            <w:tcMar>
              <w:top w:w="142" w:type="dxa"/>
              <w:left w:w="142" w:type="dxa"/>
              <w:bottom w:w="142" w:type="dxa"/>
              <w:right w:w="142" w:type="dxa"/>
            </w:tcMar>
            <w:hideMark/>
          </w:tcPr>
          <w:p w14:paraId="68180508" w14:textId="77777777" w:rsidR="00AE0FE0" w:rsidRDefault="00AE0FE0">
            <w:pPr>
              <w:pStyle w:val="NormalWeb"/>
            </w:pPr>
            <w:r>
              <w:t>(96.2)</w:t>
            </w:r>
          </w:p>
        </w:tc>
      </w:tr>
      <w:tr w:rsidR="00AE0FE0" w14:paraId="21284A25"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7DAAB93"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5AF4FEBE" w14:textId="77777777" w:rsidR="00AE0FE0" w:rsidRDefault="00AE0FE0">
            <w:pPr>
              <w:pStyle w:val="NormalWeb"/>
            </w:pPr>
            <w:r>
              <w:t>346</w:t>
            </w:r>
          </w:p>
        </w:tc>
        <w:tc>
          <w:tcPr>
            <w:tcW w:w="0" w:type="auto"/>
            <w:tcMar>
              <w:top w:w="142" w:type="dxa"/>
              <w:left w:w="142" w:type="dxa"/>
              <w:bottom w:w="142" w:type="dxa"/>
              <w:right w:w="142" w:type="dxa"/>
            </w:tcMar>
            <w:hideMark/>
          </w:tcPr>
          <w:p w14:paraId="03DD9EC9" w14:textId="77777777" w:rsidR="00AE0FE0" w:rsidRDefault="00AE0FE0">
            <w:pPr>
              <w:pStyle w:val="NormalWeb"/>
            </w:pPr>
            <w:r>
              <w:t>(10.2)</w:t>
            </w:r>
          </w:p>
        </w:tc>
        <w:tc>
          <w:tcPr>
            <w:tcW w:w="0" w:type="auto"/>
            <w:tcMar>
              <w:top w:w="142" w:type="dxa"/>
              <w:left w:w="142" w:type="dxa"/>
              <w:bottom w:w="142" w:type="dxa"/>
              <w:right w:w="142" w:type="dxa"/>
            </w:tcMar>
            <w:hideMark/>
          </w:tcPr>
          <w:p w14:paraId="68213DBD" w14:textId="77777777" w:rsidR="00AE0FE0" w:rsidRDefault="00AE0FE0">
            <w:pPr>
              <w:pStyle w:val="NormalWeb"/>
            </w:pPr>
            <w:r>
              <w:t>136</w:t>
            </w:r>
          </w:p>
        </w:tc>
        <w:tc>
          <w:tcPr>
            <w:tcW w:w="0" w:type="auto"/>
            <w:tcMar>
              <w:top w:w="142" w:type="dxa"/>
              <w:left w:w="142" w:type="dxa"/>
              <w:bottom w:w="142" w:type="dxa"/>
              <w:right w:w="142" w:type="dxa"/>
            </w:tcMar>
            <w:hideMark/>
          </w:tcPr>
          <w:p w14:paraId="5E4A68C1" w14:textId="77777777" w:rsidR="00AE0FE0" w:rsidRDefault="00AE0FE0">
            <w:pPr>
              <w:pStyle w:val="NormalWeb"/>
            </w:pPr>
            <w:r>
              <w:t>(39.3)</w:t>
            </w:r>
          </w:p>
        </w:tc>
        <w:tc>
          <w:tcPr>
            <w:tcW w:w="0" w:type="auto"/>
            <w:tcMar>
              <w:top w:w="142" w:type="dxa"/>
              <w:left w:w="142" w:type="dxa"/>
              <w:bottom w:w="142" w:type="dxa"/>
              <w:right w:w="142" w:type="dxa"/>
            </w:tcMar>
            <w:hideMark/>
          </w:tcPr>
          <w:p w14:paraId="67A19FEF" w14:textId="77777777" w:rsidR="00AE0FE0" w:rsidRDefault="00AE0FE0">
            <w:pPr>
              <w:pStyle w:val="NormalWeb"/>
            </w:pPr>
            <w:r>
              <w:t>24</w:t>
            </w:r>
          </w:p>
        </w:tc>
        <w:tc>
          <w:tcPr>
            <w:tcW w:w="0" w:type="auto"/>
            <w:tcMar>
              <w:top w:w="142" w:type="dxa"/>
              <w:left w:w="142" w:type="dxa"/>
              <w:bottom w:w="142" w:type="dxa"/>
              <w:right w:w="142" w:type="dxa"/>
            </w:tcMar>
            <w:hideMark/>
          </w:tcPr>
          <w:p w14:paraId="3E817C46" w14:textId="77777777" w:rsidR="00AE0FE0" w:rsidRDefault="00AE0FE0">
            <w:pPr>
              <w:pStyle w:val="NormalWeb"/>
            </w:pPr>
            <w:r>
              <w:t>(6.9)</w:t>
            </w:r>
          </w:p>
        </w:tc>
        <w:tc>
          <w:tcPr>
            <w:tcW w:w="0" w:type="auto"/>
            <w:tcMar>
              <w:top w:w="142" w:type="dxa"/>
              <w:left w:w="142" w:type="dxa"/>
              <w:bottom w:w="142" w:type="dxa"/>
              <w:right w:w="142" w:type="dxa"/>
            </w:tcMar>
            <w:hideMark/>
          </w:tcPr>
          <w:p w14:paraId="08896B37" w14:textId="77777777" w:rsidR="00AE0FE0" w:rsidRDefault="00AE0FE0">
            <w:pPr>
              <w:pStyle w:val="NormalWeb"/>
            </w:pPr>
            <w:r>
              <w:t>3</w:t>
            </w:r>
          </w:p>
        </w:tc>
        <w:tc>
          <w:tcPr>
            <w:tcW w:w="0" w:type="auto"/>
            <w:tcMar>
              <w:top w:w="142" w:type="dxa"/>
              <w:left w:w="142" w:type="dxa"/>
              <w:bottom w:w="142" w:type="dxa"/>
              <w:right w:w="142" w:type="dxa"/>
            </w:tcMar>
            <w:hideMark/>
          </w:tcPr>
          <w:p w14:paraId="1AE2D208" w14:textId="77777777" w:rsidR="00AE0FE0" w:rsidRDefault="00AE0FE0">
            <w:pPr>
              <w:pStyle w:val="NormalWeb"/>
            </w:pPr>
            <w:r>
              <w:t>(0.9)</w:t>
            </w:r>
          </w:p>
        </w:tc>
        <w:tc>
          <w:tcPr>
            <w:tcW w:w="0" w:type="auto"/>
            <w:tcMar>
              <w:top w:w="142" w:type="dxa"/>
              <w:left w:w="142" w:type="dxa"/>
              <w:bottom w:w="142" w:type="dxa"/>
              <w:right w:w="142" w:type="dxa"/>
            </w:tcMar>
            <w:hideMark/>
          </w:tcPr>
          <w:p w14:paraId="0AA04777" w14:textId="77777777" w:rsidR="00AE0FE0" w:rsidRDefault="00AE0FE0">
            <w:pPr>
              <w:pStyle w:val="NormalWeb"/>
            </w:pPr>
            <w:r>
              <w:t>332</w:t>
            </w:r>
          </w:p>
        </w:tc>
        <w:tc>
          <w:tcPr>
            <w:tcW w:w="0" w:type="auto"/>
            <w:tcMar>
              <w:top w:w="142" w:type="dxa"/>
              <w:left w:w="142" w:type="dxa"/>
              <w:bottom w:w="142" w:type="dxa"/>
              <w:right w:w="142" w:type="dxa"/>
            </w:tcMar>
            <w:hideMark/>
          </w:tcPr>
          <w:p w14:paraId="41E24971" w14:textId="77777777" w:rsidR="00AE0FE0" w:rsidRDefault="00AE0FE0">
            <w:pPr>
              <w:pStyle w:val="NormalWeb"/>
            </w:pPr>
            <w:r>
              <w:t>(96.0)</w:t>
            </w:r>
          </w:p>
        </w:tc>
      </w:tr>
      <w:tr w:rsidR="009525C9" w14:paraId="6B4F41D9"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1B13BF8"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27565A5C" w14:textId="77777777" w:rsidR="00AE0FE0" w:rsidRDefault="00AE0FE0">
            <w:pPr>
              <w:pStyle w:val="NormalWeb"/>
            </w:pPr>
            <w:r>
              <w:t>310</w:t>
            </w:r>
          </w:p>
        </w:tc>
        <w:tc>
          <w:tcPr>
            <w:tcW w:w="0" w:type="auto"/>
            <w:tcMar>
              <w:top w:w="142" w:type="dxa"/>
              <w:left w:w="142" w:type="dxa"/>
              <w:bottom w:w="142" w:type="dxa"/>
              <w:right w:w="142" w:type="dxa"/>
            </w:tcMar>
            <w:hideMark/>
          </w:tcPr>
          <w:p w14:paraId="36D536EA" w14:textId="77777777" w:rsidR="00AE0FE0" w:rsidRDefault="00AE0FE0">
            <w:pPr>
              <w:pStyle w:val="NormalWeb"/>
            </w:pPr>
            <w:r>
              <w:t>(9.1)</w:t>
            </w:r>
          </w:p>
        </w:tc>
        <w:tc>
          <w:tcPr>
            <w:tcW w:w="0" w:type="auto"/>
            <w:tcMar>
              <w:top w:w="142" w:type="dxa"/>
              <w:left w:w="142" w:type="dxa"/>
              <w:bottom w:w="142" w:type="dxa"/>
              <w:right w:w="142" w:type="dxa"/>
            </w:tcMar>
            <w:hideMark/>
          </w:tcPr>
          <w:p w14:paraId="2CA89164" w14:textId="77777777" w:rsidR="00AE0FE0" w:rsidRDefault="00AE0FE0">
            <w:pPr>
              <w:pStyle w:val="NormalWeb"/>
            </w:pPr>
            <w:r>
              <w:t>130</w:t>
            </w:r>
          </w:p>
        </w:tc>
        <w:tc>
          <w:tcPr>
            <w:tcW w:w="0" w:type="auto"/>
            <w:tcMar>
              <w:top w:w="142" w:type="dxa"/>
              <w:left w:w="142" w:type="dxa"/>
              <w:bottom w:w="142" w:type="dxa"/>
              <w:right w:w="142" w:type="dxa"/>
            </w:tcMar>
            <w:hideMark/>
          </w:tcPr>
          <w:p w14:paraId="59DE6FC2" w14:textId="77777777" w:rsidR="00AE0FE0" w:rsidRDefault="00AE0FE0">
            <w:pPr>
              <w:pStyle w:val="NormalWeb"/>
            </w:pPr>
            <w:r>
              <w:t>(41.9)</w:t>
            </w:r>
          </w:p>
        </w:tc>
        <w:tc>
          <w:tcPr>
            <w:tcW w:w="0" w:type="auto"/>
            <w:tcMar>
              <w:top w:w="142" w:type="dxa"/>
              <w:left w:w="142" w:type="dxa"/>
              <w:bottom w:w="142" w:type="dxa"/>
              <w:right w:w="142" w:type="dxa"/>
            </w:tcMar>
            <w:hideMark/>
          </w:tcPr>
          <w:p w14:paraId="45725BCA" w14:textId="77777777" w:rsidR="00AE0FE0" w:rsidRDefault="00AE0FE0">
            <w:pPr>
              <w:pStyle w:val="NormalWeb"/>
            </w:pPr>
            <w:r>
              <w:t>16</w:t>
            </w:r>
          </w:p>
        </w:tc>
        <w:tc>
          <w:tcPr>
            <w:tcW w:w="0" w:type="auto"/>
            <w:tcMar>
              <w:top w:w="142" w:type="dxa"/>
              <w:left w:w="142" w:type="dxa"/>
              <w:bottom w:w="142" w:type="dxa"/>
              <w:right w:w="142" w:type="dxa"/>
            </w:tcMar>
            <w:hideMark/>
          </w:tcPr>
          <w:p w14:paraId="4F3826F4" w14:textId="77777777" w:rsidR="00AE0FE0" w:rsidRDefault="00AE0FE0">
            <w:pPr>
              <w:pStyle w:val="NormalWeb"/>
            </w:pPr>
            <w:r>
              <w:t>(5.2)</w:t>
            </w:r>
          </w:p>
        </w:tc>
        <w:tc>
          <w:tcPr>
            <w:tcW w:w="0" w:type="auto"/>
            <w:tcMar>
              <w:top w:w="142" w:type="dxa"/>
              <w:left w:w="142" w:type="dxa"/>
              <w:bottom w:w="142" w:type="dxa"/>
              <w:right w:w="142" w:type="dxa"/>
            </w:tcMar>
            <w:hideMark/>
          </w:tcPr>
          <w:p w14:paraId="383B3EED" w14:textId="77777777" w:rsidR="00AE0FE0" w:rsidRDefault="00AE0FE0">
            <w:pPr>
              <w:pStyle w:val="NormalWeb"/>
            </w:pPr>
            <w:r>
              <w:t>296</w:t>
            </w:r>
          </w:p>
        </w:tc>
        <w:tc>
          <w:tcPr>
            <w:tcW w:w="0" w:type="auto"/>
            <w:tcMar>
              <w:top w:w="142" w:type="dxa"/>
              <w:left w:w="142" w:type="dxa"/>
              <w:bottom w:w="142" w:type="dxa"/>
              <w:right w:w="142" w:type="dxa"/>
            </w:tcMar>
            <w:hideMark/>
          </w:tcPr>
          <w:p w14:paraId="53E9CD3C" w14:textId="77777777" w:rsidR="00AE0FE0" w:rsidRDefault="00AE0FE0">
            <w:pPr>
              <w:pStyle w:val="NormalWeb"/>
            </w:pPr>
            <w:r>
              <w:t>(95.5)</w:t>
            </w:r>
          </w:p>
        </w:tc>
        <w:tc>
          <w:tcPr>
            <w:tcW w:w="0" w:type="auto"/>
            <w:tcMar>
              <w:top w:w="142" w:type="dxa"/>
              <w:left w:w="142" w:type="dxa"/>
              <w:bottom w:w="142" w:type="dxa"/>
              <w:right w:w="142" w:type="dxa"/>
            </w:tcMar>
            <w:hideMark/>
          </w:tcPr>
          <w:p w14:paraId="4B73470B" w14:textId="77777777" w:rsidR="00AE0FE0" w:rsidRDefault="00AE0FE0">
            <w:pPr>
              <w:pStyle w:val="NormalWeb"/>
            </w:pPr>
            <w:r>
              <w:t>10</w:t>
            </w:r>
          </w:p>
        </w:tc>
        <w:tc>
          <w:tcPr>
            <w:tcW w:w="0" w:type="auto"/>
            <w:tcMar>
              <w:top w:w="142" w:type="dxa"/>
              <w:left w:w="142" w:type="dxa"/>
              <w:bottom w:w="142" w:type="dxa"/>
              <w:right w:w="142" w:type="dxa"/>
            </w:tcMar>
            <w:hideMark/>
          </w:tcPr>
          <w:p w14:paraId="20795F71" w14:textId="77777777" w:rsidR="00AE0FE0" w:rsidRDefault="00AE0FE0">
            <w:pPr>
              <w:pStyle w:val="NormalWeb"/>
            </w:pPr>
            <w:r>
              <w:t>(3.2)</w:t>
            </w:r>
          </w:p>
        </w:tc>
      </w:tr>
      <w:tr w:rsidR="00AE0FE0" w14:paraId="30F460A4"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A9E0CD4" w14:textId="77777777" w:rsidR="00AE0FE0" w:rsidRDefault="00AE0FE0">
            <w:pPr>
              <w:pStyle w:val="NormalWeb"/>
            </w:pPr>
            <w:r>
              <w:t>MMR</w:t>
            </w:r>
          </w:p>
        </w:tc>
        <w:tc>
          <w:tcPr>
            <w:tcW w:w="0" w:type="auto"/>
            <w:tcMar>
              <w:top w:w="142" w:type="dxa"/>
              <w:left w:w="142" w:type="dxa"/>
              <w:bottom w:w="142" w:type="dxa"/>
              <w:right w:w="142" w:type="dxa"/>
            </w:tcMar>
            <w:hideMark/>
          </w:tcPr>
          <w:p w14:paraId="7C5F098A" w14:textId="77777777" w:rsidR="00AE0FE0" w:rsidRDefault="00AE0FE0">
            <w:pPr>
              <w:pStyle w:val="NormalWeb"/>
            </w:pPr>
            <w:r>
              <w:t>276</w:t>
            </w:r>
          </w:p>
        </w:tc>
        <w:tc>
          <w:tcPr>
            <w:tcW w:w="0" w:type="auto"/>
            <w:tcMar>
              <w:top w:w="142" w:type="dxa"/>
              <w:left w:w="142" w:type="dxa"/>
              <w:bottom w:w="142" w:type="dxa"/>
              <w:right w:w="142" w:type="dxa"/>
            </w:tcMar>
            <w:hideMark/>
          </w:tcPr>
          <w:p w14:paraId="64FDDBE1" w14:textId="77777777" w:rsidR="00AE0FE0" w:rsidRDefault="00AE0FE0">
            <w:pPr>
              <w:pStyle w:val="NormalWeb"/>
            </w:pPr>
            <w:r>
              <w:t>(8.1)</w:t>
            </w:r>
          </w:p>
        </w:tc>
        <w:tc>
          <w:tcPr>
            <w:tcW w:w="0" w:type="auto"/>
            <w:tcMar>
              <w:top w:w="142" w:type="dxa"/>
              <w:left w:w="142" w:type="dxa"/>
              <w:bottom w:w="142" w:type="dxa"/>
              <w:right w:w="142" w:type="dxa"/>
            </w:tcMar>
            <w:hideMark/>
          </w:tcPr>
          <w:p w14:paraId="79E9448A" w14:textId="77777777" w:rsidR="00AE0FE0" w:rsidRDefault="00AE0FE0">
            <w:pPr>
              <w:pStyle w:val="NormalWeb"/>
            </w:pPr>
            <w:r>
              <w:t>78</w:t>
            </w:r>
          </w:p>
        </w:tc>
        <w:tc>
          <w:tcPr>
            <w:tcW w:w="0" w:type="auto"/>
            <w:tcMar>
              <w:top w:w="142" w:type="dxa"/>
              <w:left w:w="142" w:type="dxa"/>
              <w:bottom w:w="142" w:type="dxa"/>
              <w:right w:w="142" w:type="dxa"/>
            </w:tcMar>
            <w:hideMark/>
          </w:tcPr>
          <w:p w14:paraId="04F7615D" w14:textId="77777777" w:rsidR="00AE0FE0" w:rsidRDefault="00AE0FE0">
            <w:pPr>
              <w:pStyle w:val="NormalWeb"/>
            </w:pPr>
            <w:r>
              <w:t>(28.3)</w:t>
            </w:r>
          </w:p>
        </w:tc>
        <w:tc>
          <w:tcPr>
            <w:tcW w:w="0" w:type="auto"/>
            <w:tcMar>
              <w:top w:w="142" w:type="dxa"/>
              <w:left w:w="142" w:type="dxa"/>
              <w:bottom w:w="142" w:type="dxa"/>
              <w:right w:w="142" w:type="dxa"/>
            </w:tcMar>
            <w:hideMark/>
          </w:tcPr>
          <w:p w14:paraId="215EF0BF" w14:textId="77777777" w:rsidR="00AE0FE0" w:rsidRDefault="00AE0FE0">
            <w:pPr>
              <w:pStyle w:val="NormalWeb"/>
            </w:pPr>
            <w:r>
              <w:t>26</w:t>
            </w:r>
          </w:p>
        </w:tc>
        <w:tc>
          <w:tcPr>
            <w:tcW w:w="0" w:type="auto"/>
            <w:tcMar>
              <w:top w:w="142" w:type="dxa"/>
              <w:left w:w="142" w:type="dxa"/>
              <w:bottom w:w="142" w:type="dxa"/>
              <w:right w:w="142" w:type="dxa"/>
            </w:tcMar>
            <w:hideMark/>
          </w:tcPr>
          <w:p w14:paraId="52469F8F" w14:textId="77777777" w:rsidR="00AE0FE0" w:rsidRDefault="00AE0FE0">
            <w:pPr>
              <w:pStyle w:val="NormalWeb"/>
            </w:pPr>
            <w:r>
              <w:t>(9.4)</w:t>
            </w:r>
          </w:p>
        </w:tc>
        <w:tc>
          <w:tcPr>
            <w:tcW w:w="0" w:type="auto"/>
            <w:tcMar>
              <w:top w:w="142" w:type="dxa"/>
              <w:left w:w="142" w:type="dxa"/>
              <w:bottom w:w="142" w:type="dxa"/>
              <w:right w:w="142" w:type="dxa"/>
            </w:tcMar>
            <w:hideMark/>
          </w:tcPr>
          <w:p w14:paraId="7A64186C" w14:textId="77777777" w:rsidR="00AE0FE0" w:rsidRDefault="00AE0FE0">
            <w:pPr>
              <w:pStyle w:val="NormalWeb"/>
            </w:pPr>
            <w:r>
              <w:t>443</w:t>
            </w:r>
          </w:p>
        </w:tc>
        <w:tc>
          <w:tcPr>
            <w:tcW w:w="0" w:type="auto"/>
            <w:tcMar>
              <w:top w:w="142" w:type="dxa"/>
              <w:left w:w="142" w:type="dxa"/>
              <w:bottom w:w="142" w:type="dxa"/>
              <w:right w:w="142" w:type="dxa"/>
            </w:tcMar>
            <w:hideMark/>
          </w:tcPr>
          <w:p w14:paraId="6D09E184" w14:textId="77777777" w:rsidR="00AE0FE0" w:rsidRDefault="00AE0FE0">
            <w:pPr>
              <w:pStyle w:val="NormalWeb"/>
            </w:pPr>
            <w:r>
              <w:t>(160.5)</w:t>
            </w:r>
          </w:p>
        </w:tc>
        <w:tc>
          <w:tcPr>
            <w:tcW w:w="0" w:type="auto"/>
            <w:tcMar>
              <w:top w:w="142" w:type="dxa"/>
              <w:left w:w="142" w:type="dxa"/>
              <w:bottom w:w="142" w:type="dxa"/>
              <w:right w:w="142" w:type="dxa"/>
            </w:tcMar>
            <w:hideMark/>
          </w:tcPr>
          <w:p w14:paraId="2F1D6F94" w14:textId="77777777" w:rsidR="00AE0FE0" w:rsidRDefault="00AE0FE0">
            <w:pPr>
              <w:pStyle w:val="NormalWeb"/>
            </w:pPr>
            <w:r>
              <w:t>32</w:t>
            </w:r>
          </w:p>
        </w:tc>
        <w:tc>
          <w:tcPr>
            <w:tcW w:w="0" w:type="auto"/>
            <w:tcMar>
              <w:top w:w="142" w:type="dxa"/>
              <w:left w:w="142" w:type="dxa"/>
              <w:bottom w:w="142" w:type="dxa"/>
              <w:right w:w="142" w:type="dxa"/>
            </w:tcMar>
            <w:hideMark/>
          </w:tcPr>
          <w:p w14:paraId="174E4687" w14:textId="77777777" w:rsidR="00AE0FE0" w:rsidRDefault="00AE0FE0">
            <w:pPr>
              <w:pStyle w:val="NormalWeb"/>
            </w:pPr>
            <w:r>
              <w:t>(11.6)</w:t>
            </w:r>
          </w:p>
        </w:tc>
      </w:tr>
      <w:tr w:rsidR="009525C9" w14:paraId="42752E8A"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A2C44E1" w14:textId="77777777" w:rsidR="00AE0FE0" w:rsidRDefault="00AE0FE0">
            <w:pPr>
              <w:pStyle w:val="NormalWeb"/>
            </w:pPr>
            <w:r>
              <w:t>MMRV</w:t>
            </w:r>
          </w:p>
        </w:tc>
        <w:tc>
          <w:tcPr>
            <w:tcW w:w="0" w:type="auto"/>
            <w:tcMar>
              <w:top w:w="142" w:type="dxa"/>
              <w:left w:w="142" w:type="dxa"/>
              <w:bottom w:w="142" w:type="dxa"/>
              <w:right w:w="142" w:type="dxa"/>
            </w:tcMar>
            <w:hideMark/>
          </w:tcPr>
          <w:p w14:paraId="7F5B2248" w14:textId="77777777" w:rsidR="00AE0FE0" w:rsidRDefault="00AE0FE0">
            <w:pPr>
              <w:pStyle w:val="NormalWeb"/>
            </w:pPr>
            <w:r>
              <w:t>261</w:t>
            </w:r>
          </w:p>
        </w:tc>
        <w:tc>
          <w:tcPr>
            <w:tcW w:w="0" w:type="auto"/>
            <w:tcMar>
              <w:top w:w="142" w:type="dxa"/>
              <w:left w:w="142" w:type="dxa"/>
              <w:bottom w:w="142" w:type="dxa"/>
              <w:right w:w="142" w:type="dxa"/>
            </w:tcMar>
            <w:hideMark/>
          </w:tcPr>
          <w:p w14:paraId="663F2D59" w14:textId="77777777" w:rsidR="00AE0FE0" w:rsidRDefault="00AE0FE0">
            <w:pPr>
              <w:pStyle w:val="NormalWeb"/>
            </w:pPr>
            <w:r>
              <w:t>(7.7)</w:t>
            </w:r>
          </w:p>
        </w:tc>
        <w:tc>
          <w:tcPr>
            <w:tcW w:w="0" w:type="auto"/>
            <w:tcMar>
              <w:top w:w="142" w:type="dxa"/>
              <w:left w:w="142" w:type="dxa"/>
              <w:bottom w:w="142" w:type="dxa"/>
              <w:right w:w="142" w:type="dxa"/>
            </w:tcMar>
            <w:hideMark/>
          </w:tcPr>
          <w:p w14:paraId="20BB9FA7" w14:textId="77777777" w:rsidR="00AE0FE0" w:rsidRDefault="00AE0FE0">
            <w:pPr>
              <w:pStyle w:val="NormalWeb"/>
            </w:pPr>
            <w:r>
              <w:t>54</w:t>
            </w:r>
          </w:p>
        </w:tc>
        <w:tc>
          <w:tcPr>
            <w:tcW w:w="0" w:type="auto"/>
            <w:tcMar>
              <w:top w:w="142" w:type="dxa"/>
              <w:left w:w="142" w:type="dxa"/>
              <w:bottom w:w="142" w:type="dxa"/>
              <w:right w:w="142" w:type="dxa"/>
            </w:tcMar>
            <w:hideMark/>
          </w:tcPr>
          <w:p w14:paraId="58E887DB" w14:textId="77777777" w:rsidR="00AE0FE0" w:rsidRDefault="00AE0FE0">
            <w:pPr>
              <w:pStyle w:val="NormalWeb"/>
            </w:pPr>
            <w:r>
              <w:t>(20.7)</w:t>
            </w:r>
          </w:p>
        </w:tc>
        <w:tc>
          <w:tcPr>
            <w:tcW w:w="0" w:type="auto"/>
            <w:tcMar>
              <w:top w:w="142" w:type="dxa"/>
              <w:left w:w="142" w:type="dxa"/>
              <w:bottom w:w="142" w:type="dxa"/>
              <w:right w:w="142" w:type="dxa"/>
            </w:tcMar>
            <w:hideMark/>
          </w:tcPr>
          <w:p w14:paraId="6BB0D39E" w14:textId="77777777" w:rsidR="00AE0FE0" w:rsidRDefault="00AE0FE0">
            <w:pPr>
              <w:pStyle w:val="NormalWeb"/>
            </w:pPr>
            <w:r>
              <w:t>24</w:t>
            </w:r>
          </w:p>
        </w:tc>
        <w:tc>
          <w:tcPr>
            <w:tcW w:w="0" w:type="auto"/>
            <w:tcMar>
              <w:top w:w="142" w:type="dxa"/>
              <w:left w:w="142" w:type="dxa"/>
              <w:bottom w:w="142" w:type="dxa"/>
              <w:right w:w="142" w:type="dxa"/>
            </w:tcMar>
            <w:hideMark/>
          </w:tcPr>
          <w:p w14:paraId="79B34649" w14:textId="77777777" w:rsidR="00AE0FE0" w:rsidRDefault="00AE0FE0">
            <w:pPr>
              <w:pStyle w:val="NormalWeb"/>
            </w:pPr>
            <w:r>
              <w:t>(9.2)</w:t>
            </w:r>
          </w:p>
        </w:tc>
        <w:tc>
          <w:tcPr>
            <w:tcW w:w="0" w:type="auto"/>
            <w:tcMar>
              <w:top w:w="142" w:type="dxa"/>
              <w:left w:w="142" w:type="dxa"/>
              <w:bottom w:w="142" w:type="dxa"/>
              <w:right w:w="142" w:type="dxa"/>
            </w:tcMar>
            <w:hideMark/>
          </w:tcPr>
          <w:p w14:paraId="6D9C6251" w14:textId="77777777" w:rsidR="00AE0FE0" w:rsidRDefault="00AE0FE0">
            <w:pPr>
              <w:pStyle w:val="NormalWeb"/>
            </w:pPr>
            <w:r>
              <w:t>243</w:t>
            </w:r>
          </w:p>
        </w:tc>
        <w:tc>
          <w:tcPr>
            <w:tcW w:w="0" w:type="auto"/>
            <w:tcMar>
              <w:top w:w="142" w:type="dxa"/>
              <w:left w:w="142" w:type="dxa"/>
              <w:bottom w:w="142" w:type="dxa"/>
              <w:right w:w="142" w:type="dxa"/>
            </w:tcMar>
            <w:hideMark/>
          </w:tcPr>
          <w:p w14:paraId="2374AAC0" w14:textId="77777777" w:rsidR="00AE0FE0" w:rsidRDefault="00AE0FE0">
            <w:pPr>
              <w:pStyle w:val="NormalWeb"/>
            </w:pPr>
            <w:r>
              <w:t>(93.1)</w:t>
            </w:r>
          </w:p>
        </w:tc>
        <w:tc>
          <w:tcPr>
            <w:tcW w:w="0" w:type="auto"/>
            <w:tcMar>
              <w:top w:w="142" w:type="dxa"/>
              <w:left w:w="142" w:type="dxa"/>
              <w:bottom w:w="142" w:type="dxa"/>
              <w:right w:w="142" w:type="dxa"/>
            </w:tcMar>
            <w:hideMark/>
          </w:tcPr>
          <w:p w14:paraId="4DC73BD3" w14:textId="77777777" w:rsidR="00AE0FE0" w:rsidRDefault="00AE0FE0">
            <w:pPr>
              <w:pStyle w:val="NormalWeb"/>
            </w:pPr>
            <w:r>
              <w:t>16</w:t>
            </w:r>
          </w:p>
        </w:tc>
        <w:tc>
          <w:tcPr>
            <w:tcW w:w="0" w:type="auto"/>
            <w:tcMar>
              <w:top w:w="142" w:type="dxa"/>
              <w:left w:w="142" w:type="dxa"/>
              <w:bottom w:w="142" w:type="dxa"/>
              <w:right w:w="142" w:type="dxa"/>
            </w:tcMar>
            <w:hideMark/>
          </w:tcPr>
          <w:p w14:paraId="6F4EF0B4" w14:textId="77777777" w:rsidR="00AE0FE0" w:rsidRDefault="00AE0FE0">
            <w:pPr>
              <w:pStyle w:val="NormalWeb"/>
            </w:pPr>
            <w:r>
              <w:t>(6.1)</w:t>
            </w:r>
          </w:p>
        </w:tc>
      </w:tr>
      <w:tr w:rsidR="00AE0FE0" w14:paraId="2CBD46AA"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487356F" w14:textId="77777777" w:rsidR="00AE0FE0" w:rsidRDefault="00AE0FE0">
            <w:pPr>
              <w:pStyle w:val="NormalWeb"/>
            </w:pPr>
            <w:r>
              <w:t>23vPPV</w:t>
            </w:r>
          </w:p>
        </w:tc>
        <w:tc>
          <w:tcPr>
            <w:tcW w:w="0" w:type="auto"/>
            <w:tcMar>
              <w:top w:w="142" w:type="dxa"/>
              <w:left w:w="142" w:type="dxa"/>
              <w:bottom w:w="142" w:type="dxa"/>
              <w:right w:w="142" w:type="dxa"/>
            </w:tcMar>
            <w:hideMark/>
          </w:tcPr>
          <w:p w14:paraId="721999DF" w14:textId="77777777" w:rsidR="00AE0FE0" w:rsidRDefault="00AE0FE0">
            <w:pPr>
              <w:pStyle w:val="NormalWeb"/>
            </w:pPr>
            <w:r>
              <w:t>217</w:t>
            </w:r>
          </w:p>
        </w:tc>
        <w:tc>
          <w:tcPr>
            <w:tcW w:w="0" w:type="auto"/>
            <w:tcMar>
              <w:top w:w="142" w:type="dxa"/>
              <w:left w:w="142" w:type="dxa"/>
              <w:bottom w:w="142" w:type="dxa"/>
              <w:right w:w="142" w:type="dxa"/>
            </w:tcMar>
            <w:hideMark/>
          </w:tcPr>
          <w:p w14:paraId="5B30E2D7" w14:textId="77777777" w:rsidR="00AE0FE0" w:rsidRDefault="00AE0FE0">
            <w:pPr>
              <w:pStyle w:val="NormalWeb"/>
            </w:pPr>
            <w:r>
              <w:t>(6.4)</w:t>
            </w:r>
          </w:p>
        </w:tc>
        <w:tc>
          <w:tcPr>
            <w:tcW w:w="0" w:type="auto"/>
            <w:tcMar>
              <w:top w:w="142" w:type="dxa"/>
              <w:left w:w="142" w:type="dxa"/>
              <w:bottom w:w="142" w:type="dxa"/>
              <w:right w:w="142" w:type="dxa"/>
            </w:tcMar>
            <w:hideMark/>
          </w:tcPr>
          <w:p w14:paraId="7D7B426B" w14:textId="77777777" w:rsidR="00AE0FE0" w:rsidRDefault="00AE0FE0">
            <w:pPr>
              <w:pStyle w:val="NormalWeb"/>
            </w:pPr>
            <w:r>
              <w:t>142</w:t>
            </w:r>
          </w:p>
        </w:tc>
        <w:tc>
          <w:tcPr>
            <w:tcW w:w="0" w:type="auto"/>
            <w:tcMar>
              <w:top w:w="142" w:type="dxa"/>
              <w:left w:w="142" w:type="dxa"/>
              <w:bottom w:w="142" w:type="dxa"/>
              <w:right w:w="142" w:type="dxa"/>
            </w:tcMar>
            <w:hideMark/>
          </w:tcPr>
          <w:p w14:paraId="7CB00DC9" w14:textId="77777777" w:rsidR="00AE0FE0" w:rsidRDefault="00AE0FE0">
            <w:pPr>
              <w:pStyle w:val="NormalWeb"/>
            </w:pPr>
            <w:r>
              <w:t>(62.7)</w:t>
            </w:r>
          </w:p>
        </w:tc>
        <w:tc>
          <w:tcPr>
            <w:tcW w:w="0" w:type="auto"/>
            <w:tcMar>
              <w:top w:w="142" w:type="dxa"/>
              <w:left w:w="142" w:type="dxa"/>
              <w:bottom w:w="142" w:type="dxa"/>
              <w:right w:w="142" w:type="dxa"/>
            </w:tcMar>
            <w:hideMark/>
          </w:tcPr>
          <w:p w14:paraId="090DCF3C" w14:textId="77777777" w:rsidR="00AE0FE0" w:rsidRDefault="00AE0FE0">
            <w:pPr>
              <w:pStyle w:val="NormalWeb"/>
            </w:pPr>
            <w:r>
              <w:t>13</w:t>
            </w:r>
          </w:p>
        </w:tc>
        <w:tc>
          <w:tcPr>
            <w:tcW w:w="0" w:type="auto"/>
            <w:tcMar>
              <w:top w:w="142" w:type="dxa"/>
              <w:left w:w="142" w:type="dxa"/>
              <w:bottom w:w="142" w:type="dxa"/>
              <w:right w:w="142" w:type="dxa"/>
            </w:tcMar>
            <w:hideMark/>
          </w:tcPr>
          <w:p w14:paraId="71D3E3F8" w14:textId="77777777" w:rsidR="00AE0FE0" w:rsidRDefault="00AE0FE0">
            <w:pPr>
              <w:pStyle w:val="NormalWeb"/>
            </w:pPr>
            <w:r>
              <w:t>(6.0)</w:t>
            </w:r>
          </w:p>
        </w:tc>
        <w:tc>
          <w:tcPr>
            <w:tcW w:w="0" w:type="auto"/>
            <w:tcMar>
              <w:top w:w="142" w:type="dxa"/>
              <w:left w:w="142" w:type="dxa"/>
              <w:bottom w:w="142" w:type="dxa"/>
              <w:right w:w="142" w:type="dxa"/>
            </w:tcMar>
            <w:hideMark/>
          </w:tcPr>
          <w:p w14:paraId="68DDA39E" w14:textId="77777777" w:rsidR="00AE0FE0" w:rsidRDefault="00AE0FE0">
            <w:pPr>
              <w:pStyle w:val="NormalWeb"/>
            </w:pPr>
            <w:r>
              <w:t>12</w:t>
            </w:r>
          </w:p>
        </w:tc>
        <w:tc>
          <w:tcPr>
            <w:tcW w:w="0" w:type="auto"/>
            <w:tcMar>
              <w:top w:w="142" w:type="dxa"/>
              <w:left w:w="142" w:type="dxa"/>
              <w:bottom w:w="142" w:type="dxa"/>
              <w:right w:w="142" w:type="dxa"/>
            </w:tcMar>
            <w:hideMark/>
          </w:tcPr>
          <w:p w14:paraId="19DACE6D" w14:textId="77777777" w:rsidR="00AE0FE0" w:rsidRDefault="00AE0FE0">
            <w:pPr>
              <w:pStyle w:val="NormalWeb"/>
            </w:pPr>
            <w:r>
              <w:t>(3.8)</w:t>
            </w:r>
          </w:p>
        </w:tc>
        <w:tc>
          <w:tcPr>
            <w:tcW w:w="0" w:type="auto"/>
            <w:tcMar>
              <w:top w:w="142" w:type="dxa"/>
              <w:left w:w="142" w:type="dxa"/>
              <w:bottom w:w="142" w:type="dxa"/>
              <w:right w:w="142" w:type="dxa"/>
            </w:tcMar>
            <w:hideMark/>
          </w:tcPr>
          <w:p w14:paraId="7A2DDFE5" w14:textId="77777777" w:rsidR="00AE0FE0" w:rsidRDefault="00AE0FE0">
            <w:pPr>
              <w:pStyle w:val="NormalWeb"/>
            </w:pPr>
            <w:r>
              <w:t>198</w:t>
            </w:r>
          </w:p>
        </w:tc>
        <w:tc>
          <w:tcPr>
            <w:tcW w:w="0" w:type="auto"/>
            <w:tcMar>
              <w:top w:w="142" w:type="dxa"/>
              <w:left w:w="142" w:type="dxa"/>
              <w:bottom w:w="142" w:type="dxa"/>
              <w:right w:w="142" w:type="dxa"/>
            </w:tcMar>
            <w:hideMark/>
          </w:tcPr>
          <w:p w14:paraId="4CF34C27" w14:textId="77777777" w:rsidR="00AE0FE0" w:rsidRDefault="00AE0FE0">
            <w:pPr>
              <w:pStyle w:val="NormalWeb"/>
            </w:pPr>
            <w:r>
              <w:t>(96.2)</w:t>
            </w:r>
          </w:p>
        </w:tc>
      </w:tr>
      <w:tr w:rsidR="009525C9" w14:paraId="61066CCB"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44CC112" w14:textId="77777777" w:rsidR="00AE0FE0" w:rsidRDefault="00AE0FE0">
            <w:pPr>
              <w:pStyle w:val="NormalWeb"/>
            </w:pPr>
            <w:r>
              <w:lastRenderedPageBreak/>
              <w:t>Zoster</w:t>
            </w:r>
          </w:p>
        </w:tc>
        <w:tc>
          <w:tcPr>
            <w:tcW w:w="0" w:type="auto"/>
            <w:tcMar>
              <w:top w:w="142" w:type="dxa"/>
              <w:left w:w="142" w:type="dxa"/>
              <w:bottom w:w="142" w:type="dxa"/>
              <w:right w:w="142" w:type="dxa"/>
            </w:tcMar>
            <w:hideMark/>
          </w:tcPr>
          <w:p w14:paraId="3F97BD29" w14:textId="77777777" w:rsidR="00AE0FE0" w:rsidRDefault="00AE0FE0">
            <w:pPr>
              <w:pStyle w:val="NormalWeb"/>
            </w:pPr>
            <w:r>
              <w:t>165</w:t>
            </w:r>
          </w:p>
        </w:tc>
        <w:tc>
          <w:tcPr>
            <w:tcW w:w="0" w:type="auto"/>
            <w:tcMar>
              <w:top w:w="142" w:type="dxa"/>
              <w:left w:w="142" w:type="dxa"/>
              <w:bottom w:w="142" w:type="dxa"/>
              <w:right w:w="142" w:type="dxa"/>
            </w:tcMar>
            <w:hideMark/>
          </w:tcPr>
          <w:p w14:paraId="3B409DD8" w14:textId="77777777" w:rsidR="00AE0FE0" w:rsidRDefault="00AE0FE0">
            <w:pPr>
              <w:pStyle w:val="NormalWeb"/>
            </w:pPr>
            <w:r>
              <w:t>(4.8)</w:t>
            </w:r>
          </w:p>
        </w:tc>
        <w:tc>
          <w:tcPr>
            <w:tcW w:w="0" w:type="auto"/>
            <w:tcMar>
              <w:top w:w="142" w:type="dxa"/>
              <w:left w:w="142" w:type="dxa"/>
              <w:bottom w:w="142" w:type="dxa"/>
              <w:right w:w="142" w:type="dxa"/>
            </w:tcMar>
            <w:hideMark/>
          </w:tcPr>
          <w:p w14:paraId="38F43A0A" w14:textId="77777777" w:rsidR="00AE0FE0" w:rsidRDefault="00AE0FE0">
            <w:pPr>
              <w:pStyle w:val="NormalWeb"/>
            </w:pPr>
            <w:r>
              <w:t>160</w:t>
            </w:r>
          </w:p>
        </w:tc>
        <w:tc>
          <w:tcPr>
            <w:tcW w:w="0" w:type="auto"/>
            <w:tcMar>
              <w:top w:w="142" w:type="dxa"/>
              <w:left w:w="142" w:type="dxa"/>
              <w:bottom w:w="142" w:type="dxa"/>
              <w:right w:w="142" w:type="dxa"/>
            </w:tcMar>
            <w:hideMark/>
          </w:tcPr>
          <w:p w14:paraId="0C6371EB" w14:textId="77777777" w:rsidR="00AE0FE0" w:rsidRDefault="00AE0FE0">
            <w:pPr>
              <w:pStyle w:val="NormalWeb"/>
            </w:pPr>
            <w:r>
              <w:t>(97.0)</w:t>
            </w:r>
          </w:p>
        </w:tc>
        <w:tc>
          <w:tcPr>
            <w:tcW w:w="0" w:type="auto"/>
            <w:tcMar>
              <w:top w:w="142" w:type="dxa"/>
              <w:left w:w="142" w:type="dxa"/>
              <w:bottom w:w="142" w:type="dxa"/>
              <w:right w:w="142" w:type="dxa"/>
            </w:tcMar>
            <w:hideMark/>
          </w:tcPr>
          <w:p w14:paraId="5E160781" w14:textId="77777777" w:rsidR="00AE0FE0" w:rsidRDefault="00AE0FE0">
            <w:pPr>
              <w:pStyle w:val="NormalWeb"/>
            </w:pPr>
            <w:r>
              <w:t>7</w:t>
            </w:r>
          </w:p>
        </w:tc>
        <w:tc>
          <w:tcPr>
            <w:tcW w:w="0" w:type="auto"/>
            <w:tcMar>
              <w:top w:w="142" w:type="dxa"/>
              <w:left w:w="142" w:type="dxa"/>
              <w:bottom w:w="142" w:type="dxa"/>
              <w:right w:w="142" w:type="dxa"/>
            </w:tcMar>
            <w:hideMark/>
          </w:tcPr>
          <w:p w14:paraId="0E2AD67A" w14:textId="77777777" w:rsidR="00AE0FE0" w:rsidRDefault="00AE0FE0">
            <w:pPr>
              <w:pStyle w:val="NormalWeb"/>
            </w:pPr>
            <w:r>
              <w:t>(4.2)</w:t>
            </w:r>
          </w:p>
        </w:tc>
        <w:tc>
          <w:tcPr>
            <w:tcW w:w="0" w:type="auto"/>
            <w:tcMar>
              <w:top w:w="142" w:type="dxa"/>
              <w:left w:w="142" w:type="dxa"/>
              <w:bottom w:w="142" w:type="dxa"/>
              <w:right w:w="142" w:type="dxa"/>
            </w:tcMar>
            <w:hideMark/>
          </w:tcPr>
          <w:p w14:paraId="1C72CE67" w14:textId="77777777" w:rsidR="00AE0FE0" w:rsidRDefault="00AE0FE0">
            <w:pPr>
              <w:pStyle w:val="NormalWeb"/>
            </w:pPr>
            <w:r>
              <w:t>0</w:t>
            </w:r>
          </w:p>
        </w:tc>
        <w:tc>
          <w:tcPr>
            <w:tcW w:w="0" w:type="auto"/>
            <w:tcMar>
              <w:top w:w="142" w:type="dxa"/>
              <w:left w:w="142" w:type="dxa"/>
              <w:bottom w:w="142" w:type="dxa"/>
              <w:right w:w="142" w:type="dxa"/>
            </w:tcMar>
            <w:hideMark/>
          </w:tcPr>
          <w:p w14:paraId="7B651537" w14:textId="77777777" w:rsidR="00AE0FE0" w:rsidRDefault="00AE0FE0">
            <w:pPr>
              <w:pStyle w:val="NormalWeb"/>
            </w:pPr>
            <w:r>
              <w:t>–</w:t>
            </w:r>
          </w:p>
        </w:tc>
        <w:tc>
          <w:tcPr>
            <w:tcW w:w="0" w:type="auto"/>
            <w:tcMar>
              <w:top w:w="142" w:type="dxa"/>
              <w:left w:w="142" w:type="dxa"/>
              <w:bottom w:w="142" w:type="dxa"/>
              <w:right w:w="142" w:type="dxa"/>
            </w:tcMar>
            <w:hideMark/>
          </w:tcPr>
          <w:p w14:paraId="6FEBC9FA" w14:textId="77777777" w:rsidR="00AE0FE0" w:rsidRDefault="00AE0FE0">
            <w:pPr>
              <w:pStyle w:val="NormalWeb"/>
            </w:pPr>
            <w:r>
              <w:t>160</w:t>
            </w:r>
          </w:p>
        </w:tc>
        <w:tc>
          <w:tcPr>
            <w:tcW w:w="0" w:type="auto"/>
            <w:tcMar>
              <w:top w:w="142" w:type="dxa"/>
              <w:left w:w="142" w:type="dxa"/>
              <w:bottom w:w="142" w:type="dxa"/>
              <w:right w:w="142" w:type="dxa"/>
            </w:tcMar>
            <w:hideMark/>
          </w:tcPr>
          <w:p w14:paraId="43B06458" w14:textId="77777777" w:rsidR="00AE0FE0" w:rsidRDefault="00AE0FE0">
            <w:pPr>
              <w:pStyle w:val="NormalWeb"/>
            </w:pPr>
            <w:r>
              <w:t>(97.0)</w:t>
            </w:r>
          </w:p>
        </w:tc>
      </w:tr>
      <w:tr w:rsidR="00AE0FE0" w14:paraId="3B631E07"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E888601" w14:textId="77777777" w:rsidR="00AE0FE0" w:rsidRDefault="00AE0FE0">
            <w:pPr>
              <w:pStyle w:val="NormalWeb"/>
            </w:pPr>
            <w:r>
              <w:t>Hib-</w:t>
            </w:r>
            <w:proofErr w:type="spellStart"/>
            <w:r>
              <w:t>MenC</w:t>
            </w:r>
            <w:proofErr w:type="spellEnd"/>
          </w:p>
        </w:tc>
        <w:tc>
          <w:tcPr>
            <w:tcW w:w="0" w:type="auto"/>
            <w:tcMar>
              <w:top w:w="142" w:type="dxa"/>
              <w:left w:w="142" w:type="dxa"/>
              <w:bottom w:w="142" w:type="dxa"/>
              <w:right w:w="142" w:type="dxa"/>
            </w:tcMar>
            <w:hideMark/>
          </w:tcPr>
          <w:p w14:paraId="6689C188" w14:textId="77777777" w:rsidR="00AE0FE0" w:rsidRDefault="00AE0FE0">
            <w:pPr>
              <w:pStyle w:val="NormalWeb"/>
            </w:pPr>
            <w:r>
              <w:t>160</w:t>
            </w:r>
          </w:p>
        </w:tc>
        <w:tc>
          <w:tcPr>
            <w:tcW w:w="0" w:type="auto"/>
            <w:tcMar>
              <w:top w:w="142" w:type="dxa"/>
              <w:left w:w="142" w:type="dxa"/>
              <w:bottom w:w="142" w:type="dxa"/>
              <w:right w:w="142" w:type="dxa"/>
            </w:tcMar>
            <w:hideMark/>
          </w:tcPr>
          <w:p w14:paraId="4DD27132" w14:textId="77777777" w:rsidR="00AE0FE0" w:rsidRDefault="00AE0FE0">
            <w:pPr>
              <w:pStyle w:val="NormalWeb"/>
            </w:pPr>
            <w:r>
              <w:t>(4.7)</w:t>
            </w:r>
          </w:p>
        </w:tc>
        <w:tc>
          <w:tcPr>
            <w:tcW w:w="0" w:type="auto"/>
            <w:tcMar>
              <w:top w:w="142" w:type="dxa"/>
              <w:left w:w="142" w:type="dxa"/>
              <w:bottom w:w="142" w:type="dxa"/>
              <w:right w:w="142" w:type="dxa"/>
            </w:tcMar>
            <w:hideMark/>
          </w:tcPr>
          <w:p w14:paraId="1D4D6F7F" w14:textId="77777777" w:rsidR="00AE0FE0" w:rsidRDefault="00AE0FE0">
            <w:pPr>
              <w:pStyle w:val="NormalWeb"/>
            </w:pPr>
            <w:r>
              <w:t>6</w:t>
            </w:r>
          </w:p>
        </w:tc>
        <w:tc>
          <w:tcPr>
            <w:tcW w:w="0" w:type="auto"/>
            <w:tcMar>
              <w:top w:w="142" w:type="dxa"/>
              <w:left w:w="142" w:type="dxa"/>
              <w:bottom w:w="142" w:type="dxa"/>
              <w:right w:w="142" w:type="dxa"/>
            </w:tcMar>
            <w:hideMark/>
          </w:tcPr>
          <w:p w14:paraId="3EBB16EE" w14:textId="77777777" w:rsidR="00AE0FE0" w:rsidRDefault="00AE0FE0">
            <w:pPr>
              <w:pStyle w:val="NormalWeb"/>
            </w:pPr>
            <w:r>
              <w:t>(3.8)</w:t>
            </w:r>
          </w:p>
        </w:tc>
        <w:tc>
          <w:tcPr>
            <w:tcW w:w="0" w:type="auto"/>
            <w:tcMar>
              <w:top w:w="142" w:type="dxa"/>
              <w:left w:w="142" w:type="dxa"/>
              <w:bottom w:w="142" w:type="dxa"/>
              <w:right w:w="142" w:type="dxa"/>
            </w:tcMar>
            <w:hideMark/>
          </w:tcPr>
          <w:p w14:paraId="2A6B805A" w14:textId="77777777" w:rsidR="00AE0FE0" w:rsidRDefault="00AE0FE0">
            <w:pPr>
              <w:pStyle w:val="NormalWeb"/>
            </w:pPr>
            <w:r>
              <w:t>14</w:t>
            </w:r>
          </w:p>
        </w:tc>
        <w:tc>
          <w:tcPr>
            <w:tcW w:w="0" w:type="auto"/>
            <w:tcMar>
              <w:top w:w="142" w:type="dxa"/>
              <w:left w:w="142" w:type="dxa"/>
              <w:bottom w:w="142" w:type="dxa"/>
              <w:right w:w="142" w:type="dxa"/>
            </w:tcMar>
            <w:hideMark/>
          </w:tcPr>
          <w:p w14:paraId="7927D901" w14:textId="77777777" w:rsidR="00AE0FE0" w:rsidRDefault="00AE0FE0">
            <w:pPr>
              <w:pStyle w:val="NormalWeb"/>
            </w:pPr>
            <w:r>
              <w:t>(8.8)</w:t>
            </w:r>
          </w:p>
        </w:tc>
        <w:tc>
          <w:tcPr>
            <w:tcW w:w="0" w:type="auto"/>
            <w:tcMar>
              <w:top w:w="142" w:type="dxa"/>
              <w:left w:w="142" w:type="dxa"/>
              <w:bottom w:w="142" w:type="dxa"/>
              <w:right w:w="142" w:type="dxa"/>
            </w:tcMar>
            <w:hideMark/>
          </w:tcPr>
          <w:p w14:paraId="08BCF32D" w14:textId="77777777" w:rsidR="00AE0FE0" w:rsidRDefault="00AE0FE0">
            <w:pPr>
              <w:pStyle w:val="NormalWeb"/>
            </w:pPr>
            <w:r>
              <w:t>152</w:t>
            </w:r>
          </w:p>
        </w:tc>
        <w:tc>
          <w:tcPr>
            <w:tcW w:w="0" w:type="auto"/>
            <w:tcMar>
              <w:top w:w="142" w:type="dxa"/>
              <w:left w:w="142" w:type="dxa"/>
              <w:bottom w:w="142" w:type="dxa"/>
              <w:right w:w="142" w:type="dxa"/>
            </w:tcMar>
            <w:hideMark/>
          </w:tcPr>
          <w:p w14:paraId="53C9C9E8" w14:textId="77777777" w:rsidR="00AE0FE0" w:rsidRDefault="00AE0FE0">
            <w:pPr>
              <w:pStyle w:val="NormalWeb"/>
            </w:pPr>
            <w:r>
              <w:t>(95.0)</w:t>
            </w:r>
          </w:p>
        </w:tc>
        <w:tc>
          <w:tcPr>
            <w:tcW w:w="0" w:type="auto"/>
            <w:tcMar>
              <w:top w:w="142" w:type="dxa"/>
              <w:left w:w="142" w:type="dxa"/>
              <w:bottom w:w="142" w:type="dxa"/>
              <w:right w:w="142" w:type="dxa"/>
            </w:tcMar>
            <w:hideMark/>
          </w:tcPr>
          <w:p w14:paraId="7F53AAD6" w14:textId="77777777" w:rsidR="00AE0FE0" w:rsidRDefault="00AE0FE0">
            <w:pPr>
              <w:pStyle w:val="NormalWeb"/>
            </w:pPr>
            <w:r>
              <w:t>6</w:t>
            </w:r>
          </w:p>
        </w:tc>
        <w:tc>
          <w:tcPr>
            <w:tcW w:w="0" w:type="auto"/>
            <w:tcMar>
              <w:top w:w="142" w:type="dxa"/>
              <w:left w:w="142" w:type="dxa"/>
              <w:bottom w:w="142" w:type="dxa"/>
              <w:right w:w="142" w:type="dxa"/>
            </w:tcMar>
            <w:hideMark/>
          </w:tcPr>
          <w:p w14:paraId="47CDC09D" w14:textId="77777777" w:rsidR="00AE0FE0" w:rsidRDefault="00AE0FE0">
            <w:pPr>
              <w:pStyle w:val="NormalWeb"/>
            </w:pPr>
            <w:r>
              <w:t>(3.8)</w:t>
            </w:r>
          </w:p>
        </w:tc>
      </w:tr>
      <w:tr w:rsidR="009525C9" w14:paraId="564C55FF"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483C7F6" w14:textId="77777777" w:rsidR="00AE0FE0" w:rsidRDefault="00AE0FE0">
            <w:pPr>
              <w:pStyle w:val="NormalWeb"/>
            </w:pPr>
            <w:r>
              <w:t>Varicella</w:t>
            </w:r>
          </w:p>
        </w:tc>
        <w:tc>
          <w:tcPr>
            <w:tcW w:w="0" w:type="auto"/>
            <w:tcMar>
              <w:top w:w="142" w:type="dxa"/>
              <w:left w:w="142" w:type="dxa"/>
              <w:bottom w:w="142" w:type="dxa"/>
              <w:right w:w="142" w:type="dxa"/>
            </w:tcMar>
            <w:hideMark/>
          </w:tcPr>
          <w:p w14:paraId="2E9B04E8" w14:textId="77777777" w:rsidR="00AE0FE0" w:rsidRDefault="00AE0FE0">
            <w:pPr>
              <w:pStyle w:val="NormalWeb"/>
            </w:pPr>
            <w:r>
              <w:t>148</w:t>
            </w:r>
          </w:p>
        </w:tc>
        <w:tc>
          <w:tcPr>
            <w:tcW w:w="0" w:type="auto"/>
            <w:tcMar>
              <w:top w:w="142" w:type="dxa"/>
              <w:left w:w="142" w:type="dxa"/>
              <w:bottom w:w="142" w:type="dxa"/>
              <w:right w:w="142" w:type="dxa"/>
            </w:tcMar>
            <w:hideMark/>
          </w:tcPr>
          <w:p w14:paraId="0C17F846" w14:textId="77777777" w:rsidR="00AE0FE0" w:rsidRDefault="00AE0FE0">
            <w:pPr>
              <w:pStyle w:val="NormalWeb"/>
            </w:pPr>
            <w:r>
              <w:t>(4.3)</w:t>
            </w:r>
          </w:p>
        </w:tc>
        <w:tc>
          <w:tcPr>
            <w:tcW w:w="0" w:type="auto"/>
            <w:tcMar>
              <w:top w:w="142" w:type="dxa"/>
              <w:left w:w="142" w:type="dxa"/>
              <w:bottom w:w="142" w:type="dxa"/>
              <w:right w:w="142" w:type="dxa"/>
            </w:tcMar>
            <w:hideMark/>
          </w:tcPr>
          <w:p w14:paraId="0E9C4D8E" w14:textId="77777777" w:rsidR="00AE0FE0" w:rsidRDefault="00AE0FE0">
            <w:pPr>
              <w:pStyle w:val="NormalWeb"/>
            </w:pPr>
            <w:r>
              <w:t>41</w:t>
            </w:r>
          </w:p>
        </w:tc>
        <w:tc>
          <w:tcPr>
            <w:tcW w:w="0" w:type="auto"/>
            <w:tcMar>
              <w:top w:w="142" w:type="dxa"/>
              <w:left w:w="142" w:type="dxa"/>
              <w:bottom w:w="142" w:type="dxa"/>
              <w:right w:w="142" w:type="dxa"/>
            </w:tcMar>
            <w:hideMark/>
          </w:tcPr>
          <w:p w14:paraId="1D57F5F0" w14:textId="77777777" w:rsidR="00AE0FE0" w:rsidRDefault="00AE0FE0">
            <w:pPr>
              <w:pStyle w:val="NormalWeb"/>
            </w:pPr>
            <w:r>
              <w:t>(27.7)</w:t>
            </w:r>
          </w:p>
        </w:tc>
        <w:tc>
          <w:tcPr>
            <w:tcW w:w="0" w:type="auto"/>
            <w:tcMar>
              <w:top w:w="142" w:type="dxa"/>
              <w:left w:w="142" w:type="dxa"/>
              <w:bottom w:w="142" w:type="dxa"/>
              <w:right w:w="142" w:type="dxa"/>
            </w:tcMar>
            <w:hideMark/>
          </w:tcPr>
          <w:p w14:paraId="5282B840" w14:textId="77777777" w:rsidR="00AE0FE0" w:rsidRDefault="00AE0FE0">
            <w:pPr>
              <w:pStyle w:val="NormalWeb"/>
            </w:pPr>
            <w:r>
              <w:t>16</w:t>
            </w:r>
          </w:p>
        </w:tc>
        <w:tc>
          <w:tcPr>
            <w:tcW w:w="0" w:type="auto"/>
            <w:tcMar>
              <w:top w:w="142" w:type="dxa"/>
              <w:left w:w="142" w:type="dxa"/>
              <w:bottom w:w="142" w:type="dxa"/>
              <w:right w:w="142" w:type="dxa"/>
            </w:tcMar>
            <w:hideMark/>
          </w:tcPr>
          <w:p w14:paraId="7BE354B3" w14:textId="77777777" w:rsidR="00AE0FE0" w:rsidRDefault="00AE0FE0">
            <w:pPr>
              <w:pStyle w:val="NormalWeb"/>
            </w:pPr>
            <w:r>
              <w:t>(10.8)</w:t>
            </w:r>
          </w:p>
        </w:tc>
        <w:tc>
          <w:tcPr>
            <w:tcW w:w="0" w:type="auto"/>
            <w:tcMar>
              <w:top w:w="142" w:type="dxa"/>
              <w:left w:w="142" w:type="dxa"/>
              <w:bottom w:w="142" w:type="dxa"/>
              <w:right w:w="142" w:type="dxa"/>
            </w:tcMar>
            <w:hideMark/>
          </w:tcPr>
          <w:p w14:paraId="5B3554FB" w14:textId="77777777" w:rsidR="00AE0FE0" w:rsidRDefault="00AE0FE0">
            <w:pPr>
              <w:pStyle w:val="NormalWeb"/>
            </w:pPr>
            <w:r>
              <w:t>14</w:t>
            </w:r>
          </w:p>
        </w:tc>
        <w:tc>
          <w:tcPr>
            <w:tcW w:w="0" w:type="auto"/>
            <w:tcMar>
              <w:top w:w="142" w:type="dxa"/>
              <w:left w:w="142" w:type="dxa"/>
              <w:bottom w:w="142" w:type="dxa"/>
              <w:right w:w="142" w:type="dxa"/>
            </w:tcMar>
            <w:hideMark/>
          </w:tcPr>
          <w:p w14:paraId="280A0810" w14:textId="77777777" w:rsidR="00AE0FE0" w:rsidRDefault="00AE0FE0">
            <w:pPr>
              <w:pStyle w:val="NormalWeb"/>
            </w:pPr>
            <w:r>
              <w:t>(9.5)</w:t>
            </w:r>
          </w:p>
        </w:tc>
        <w:tc>
          <w:tcPr>
            <w:tcW w:w="0" w:type="auto"/>
            <w:tcMar>
              <w:top w:w="142" w:type="dxa"/>
              <w:left w:w="142" w:type="dxa"/>
              <w:bottom w:w="142" w:type="dxa"/>
              <w:right w:w="142" w:type="dxa"/>
            </w:tcMar>
            <w:hideMark/>
          </w:tcPr>
          <w:p w14:paraId="23E4105A" w14:textId="77777777" w:rsidR="00AE0FE0" w:rsidRDefault="00AE0FE0">
            <w:pPr>
              <w:pStyle w:val="NormalWeb"/>
            </w:pPr>
            <w:r>
              <w:t>129</w:t>
            </w:r>
          </w:p>
        </w:tc>
        <w:tc>
          <w:tcPr>
            <w:tcW w:w="0" w:type="auto"/>
            <w:tcMar>
              <w:top w:w="142" w:type="dxa"/>
              <w:left w:w="142" w:type="dxa"/>
              <w:bottom w:w="142" w:type="dxa"/>
              <w:right w:w="142" w:type="dxa"/>
            </w:tcMar>
            <w:hideMark/>
          </w:tcPr>
          <w:p w14:paraId="7F540B8E" w14:textId="77777777" w:rsidR="00AE0FE0" w:rsidRDefault="00AE0FE0">
            <w:pPr>
              <w:pStyle w:val="NormalWeb"/>
            </w:pPr>
            <w:r>
              <w:t>(87.2)</w:t>
            </w:r>
          </w:p>
        </w:tc>
      </w:tr>
      <w:tr w:rsidR="00AE0FE0" w14:paraId="2442FF3A"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498C0AF3" w14:textId="77777777" w:rsidR="00AE0FE0" w:rsidRDefault="00AE0FE0">
            <w:pPr>
              <w:pStyle w:val="NormalWeb"/>
            </w:pPr>
            <w:r>
              <w:t>Hepatitis B</w:t>
            </w:r>
          </w:p>
        </w:tc>
        <w:tc>
          <w:tcPr>
            <w:tcW w:w="0" w:type="auto"/>
            <w:tcMar>
              <w:top w:w="142" w:type="dxa"/>
              <w:left w:w="142" w:type="dxa"/>
              <w:bottom w:w="142" w:type="dxa"/>
              <w:right w:w="142" w:type="dxa"/>
            </w:tcMar>
            <w:hideMark/>
          </w:tcPr>
          <w:p w14:paraId="1C8CFB06" w14:textId="77777777" w:rsidR="00AE0FE0" w:rsidRDefault="00AE0FE0">
            <w:pPr>
              <w:pStyle w:val="NormalWeb"/>
            </w:pPr>
            <w:r>
              <w:t>71</w:t>
            </w:r>
          </w:p>
        </w:tc>
        <w:tc>
          <w:tcPr>
            <w:tcW w:w="0" w:type="auto"/>
            <w:tcMar>
              <w:top w:w="142" w:type="dxa"/>
              <w:left w:w="142" w:type="dxa"/>
              <w:bottom w:w="142" w:type="dxa"/>
              <w:right w:w="142" w:type="dxa"/>
            </w:tcMar>
            <w:hideMark/>
          </w:tcPr>
          <w:p w14:paraId="6786DA7C" w14:textId="77777777" w:rsidR="00AE0FE0" w:rsidRDefault="00AE0FE0">
            <w:pPr>
              <w:pStyle w:val="NormalWeb"/>
            </w:pPr>
            <w:r>
              <w:t>(2.1)</w:t>
            </w:r>
          </w:p>
        </w:tc>
        <w:tc>
          <w:tcPr>
            <w:tcW w:w="0" w:type="auto"/>
            <w:tcMar>
              <w:top w:w="142" w:type="dxa"/>
              <w:left w:w="142" w:type="dxa"/>
              <w:bottom w:w="142" w:type="dxa"/>
              <w:right w:w="142" w:type="dxa"/>
            </w:tcMar>
            <w:hideMark/>
          </w:tcPr>
          <w:p w14:paraId="3B78C7ED" w14:textId="77777777" w:rsidR="00AE0FE0" w:rsidRDefault="00AE0FE0">
            <w:pPr>
              <w:pStyle w:val="NormalWeb"/>
            </w:pPr>
            <w:r>
              <w:t>36</w:t>
            </w:r>
          </w:p>
        </w:tc>
        <w:tc>
          <w:tcPr>
            <w:tcW w:w="0" w:type="auto"/>
            <w:tcMar>
              <w:top w:w="142" w:type="dxa"/>
              <w:left w:w="142" w:type="dxa"/>
              <w:bottom w:w="142" w:type="dxa"/>
              <w:right w:w="142" w:type="dxa"/>
            </w:tcMar>
            <w:hideMark/>
          </w:tcPr>
          <w:p w14:paraId="239A92C3" w14:textId="77777777" w:rsidR="00AE0FE0" w:rsidRDefault="00AE0FE0">
            <w:pPr>
              <w:pStyle w:val="NormalWeb"/>
            </w:pPr>
            <w:r>
              <w:t>(50.7)</w:t>
            </w:r>
          </w:p>
        </w:tc>
        <w:tc>
          <w:tcPr>
            <w:tcW w:w="0" w:type="auto"/>
            <w:tcMar>
              <w:top w:w="142" w:type="dxa"/>
              <w:left w:w="142" w:type="dxa"/>
              <w:bottom w:w="142" w:type="dxa"/>
              <w:right w:w="142" w:type="dxa"/>
            </w:tcMar>
            <w:hideMark/>
          </w:tcPr>
          <w:p w14:paraId="7BFCF723" w14:textId="77777777" w:rsidR="00AE0FE0" w:rsidRDefault="00AE0FE0">
            <w:pPr>
              <w:pStyle w:val="NormalWeb"/>
            </w:pPr>
            <w:r>
              <w:t>5</w:t>
            </w:r>
          </w:p>
        </w:tc>
        <w:tc>
          <w:tcPr>
            <w:tcW w:w="0" w:type="auto"/>
            <w:tcMar>
              <w:top w:w="142" w:type="dxa"/>
              <w:left w:w="142" w:type="dxa"/>
              <w:bottom w:w="142" w:type="dxa"/>
              <w:right w:w="142" w:type="dxa"/>
            </w:tcMar>
            <w:hideMark/>
          </w:tcPr>
          <w:p w14:paraId="32A1F1AD" w14:textId="77777777" w:rsidR="00AE0FE0" w:rsidRDefault="00AE0FE0">
            <w:pPr>
              <w:pStyle w:val="NormalWeb"/>
            </w:pPr>
            <w:r>
              <w:t>(7.0)</w:t>
            </w:r>
          </w:p>
        </w:tc>
        <w:tc>
          <w:tcPr>
            <w:tcW w:w="0" w:type="auto"/>
            <w:tcMar>
              <w:top w:w="142" w:type="dxa"/>
              <w:left w:w="142" w:type="dxa"/>
              <w:bottom w:w="142" w:type="dxa"/>
              <w:right w:w="142" w:type="dxa"/>
            </w:tcMar>
            <w:hideMark/>
          </w:tcPr>
          <w:p w14:paraId="09C14C59" w14:textId="77777777" w:rsidR="00AE0FE0" w:rsidRDefault="00AE0FE0">
            <w:pPr>
              <w:pStyle w:val="NormalWeb"/>
            </w:pPr>
            <w:r>
              <w:t>11</w:t>
            </w:r>
          </w:p>
        </w:tc>
        <w:tc>
          <w:tcPr>
            <w:tcW w:w="0" w:type="auto"/>
            <w:tcMar>
              <w:top w:w="142" w:type="dxa"/>
              <w:left w:w="142" w:type="dxa"/>
              <w:bottom w:w="142" w:type="dxa"/>
              <w:right w:w="142" w:type="dxa"/>
            </w:tcMar>
            <w:hideMark/>
          </w:tcPr>
          <w:p w14:paraId="579AA548" w14:textId="77777777" w:rsidR="00AE0FE0" w:rsidRDefault="00AE0FE0">
            <w:pPr>
              <w:pStyle w:val="NormalWeb"/>
            </w:pPr>
            <w:r>
              <w:t>(15.5)</w:t>
            </w:r>
          </w:p>
        </w:tc>
        <w:tc>
          <w:tcPr>
            <w:tcW w:w="0" w:type="auto"/>
            <w:tcMar>
              <w:top w:w="142" w:type="dxa"/>
              <w:left w:w="142" w:type="dxa"/>
              <w:bottom w:w="142" w:type="dxa"/>
              <w:right w:w="142" w:type="dxa"/>
            </w:tcMar>
            <w:hideMark/>
          </w:tcPr>
          <w:p w14:paraId="62C3A8C6" w14:textId="77777777" w:rsidR="00AE0FE0" w:rsidRDefault="00AE0FE0">
            <w:pPr>
              <w:pStyle w:val="NormalWeb"/>
            </w:pPr>
            <w:r>
              <w:t>58</w:t>
            </w:r>
          </w:p>
        </w:tc>
        <w:tc>
          <w:tcPr>
            <w:tcW w:w="0" w:type="auto"/>
            <w:tcMar>
              <w:top w:w="142" w:type="dxa"/>
              <w:left w:w="142" w:type="dxa"/>
              <w:bottom w:w="142" w:type="dxa"/>
              <w:right w:w="142" w:type="dxa"/>
            </w:tcMar>
            <w:hideMark/>
          </w:tcPr>
          <w:p w14:paraId="072EAA2C" w14:textId="77777777" w:rsidR="00AE0FE0" w:rsidRDefault="00AE0FE0">
            <w:pPr>
              <w:pStyle w:val="NormalWeb"/>
            </w:pPr>
            <w:r>
              <w:t>(81.7)</w:t>
            </w:r>
          </w:p>
        </w:tc>
      </w:tr>
      <w:tr w:rsidR="009525C9" w14:paraId="495DE886"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946121D" w14:textId="77777777" w:rsidR="00AE0FE0" w:rsidRDefault="00AE0FE0">
            <w:pPr>
              <w:pStyle w:val="NormalWeb"/>
            </w:pPr>
            <w:r>
              <w:t>Meningococcal B</w:t>
            </w:r>
          </w:p>
        </w:tc>
        <w:tc>
          <w:tcPr>
            <w:tcW w:w="0" w:type="auto"/>
            <w:tcMar>
              <w:top w:w="142" w:type="dxa"/>
              <w:left w:w="142" w:type="dxa"/>
              <w:bottom w:w="142" w:type="dxa"/>
              <w:right w:w="142" w:type="dxa"/>
            </w:tcMar>
            <w:hideMark/>
          </w:tcPr>
          <w:p w14:paraId="5031A54C" w14:textId="77777777" w:rsidR="00AE0FE0" w:rsidRDefault="00AE0FE0">
            <w:pPr>
              <w:pStyle w:val="NormalWeb"/>
            </w:pPr>
            <w:r>
              <w:t>67</w:t>
            </w:r>
          </w:p>
        </w:tc>
        <w:tc>
          <w:tcPr>
            <w:tcW w:w="0" w:type="auto"/>
            <w:tcMar>
              <w:top w:w="142" w:type="dxa"/>
              <w:left w:w="142" w:type="dxa"/>
              <w:bottom w:w="142" w:type="dxa"/>
              <w:right w:w="142" w:type="dxa"/>
            </w:tcMar>
            <w:hideMark/>
          </w:tcPr>
          <w:p w14:paraId="1B9F2862" w14:textId="77777777" w:rsidR="00AE0FE0" w:rsidRDefault="00AE0FE0">
            <w:pPr>
              <w:pStyle w:val="NormalWeb"/>
            </w:pPr>
            <w:r>
              <w:t>(2.0)</w:t>
            </w:r>
          </w:p>
        </w:tc>
        <w:tc>
          <w:tcPr>
            <w:tcW w:w="0" w:type="auto"/>
            <w:tcMar>
              <w:top w:w="142" w:type="dxa"/>
              <w:left w:w="142" w:type="dxa"/>
              <w:bottom w:w="142" w:type="dxa"/>
              <w:right w:w="142" w:type="dxa"/>
            </w:tcMar>
            <w:hideMark/>
          </w:tcPr>
          <w:p w14:paraId="43DCEDED" w14:textId="77777777" w:rsidR="00AE0FE0" w:rsidRDefault="00AE0FE0">
            <w:pPr>
              <w:pStyle w:val="NormalWeb"/>
            </w:pPr>
            <w:r>
              <w:t>55</w:t>
            </w:r>
          </w:p>
        </w:tc>
        <w:tc>
          <w:tcPr>
            <w:tcW w:w="0" w:type="auto"/>
            <w:tcMar>
              <w:top w:w="142" w:type="dxa"/>
              <w:left w:w="142" w:type="dxa"/>
              <w:bottom w:w="142" w:type="dxa"/>
              <w:right w:w="142" w:type="dxa"/>
            </w:tcMar>
            <w:hideMark/>
          </w:tcPr>
          <w:p w14:paraId="0DA06B07" w14:textId="77777777" w:rsidR="00AE0FE0" w:rsidRDefault="00AE0FE0">
            <w:pPr>
              <w:pStyle w:val="NormalWeb"/>
            </w:pPr>
            <w:r>
              <w:t>(82.1)</w:t>
            </w:r>
          </w:p>
        </w:tc>
        <w:tc>
          <w:tcPr>
            <w:tcW w:w="0" w:type="auto"/>
            <w:tcMar>
              <w:top w:w="142" w:type="dxa"/>
              <w:left w:w="142" w:type="dxa"/>
              <w:bottom w:w="142" w:type="dxa"/>
              <w:right w:w="142" w:type="dxa"/>
            </w:tcMar>
            <w:hideMark/>
          </w:tcPr>
          <w:p w14:paraId="5E369B6C" w14:textId="77777777" w:rsidR="00AE0FE0" w:rsidRDefault="00AE0FE0">
            <w:pPr>
              <w:pStyle w:val="NormalWeb"/>
            </w:pPr>
            <w:r>
              <w:t>6</w:t>
            </w:r>
          </w:p>
        </w:tc>
        <w:tc>
          <w:tcPr>
            <w:tcW w:w="0" w:type="auto"/>
            <w:tcMar>
              <w:top w:w="142" w:type="dxa"/>
              <w:left w:w="142" w:type="dxa"/>
              <w:bottom w:w="142" w:type="dxa"/>
              <w:right w:w="142" w:type="dxa"/>
            </w:tcMar>
            <w:hideMark/>
          </w:tcPr>
          <w:p w14:paraId="6FF55AB1" w14:textId="77777777" w:rsidR="00AE0FE0" w:rsidRDefault="00AE0FE0">
            <w:pPr>
              <w:pStyle w:val="NormalWeb"/>
            </w:pPr>
            <w:r>
              <w:t>(9.0)</w:t>
            </w:r>
          </w:p>
        </w:tc>
        <w:tc>
          <w:tcPr>
            <w:tcW w:w="0" w:type="auto"/>
            <w:tcMar>
              <w:top w:w="142" w:type="dxa"/>
              <w:left w:w="142" w:type="dxa"/>
              <w:bottom w:w="142" w:type="dxa"/>
              <w:right w:w="142" w:type="dxa"/>
            </w:tcMar>
            <w:hideMark/>
          </w:tcPr>
          <w:p w14:paraId="32A53E0D" w14:textId="77777777" w:rsidR="00AE0FE0" w:rsidRDefault="00AE0FE0">
            <w:pPr>
              <w:pStyle w:val="NormalWeb"/>
            </w:pPr>
            <w:r>
              <w:t>57</w:t>
            </w:r>
          </w:p>
        </w:tc>
        <w:tc>
          <w:tcPr>
            <w:tcW w:w="0" w:type="auto"/>
            <w:tcMar>
              <w:top w:w="142" w:type="dxa"/>
              <w:left w:w="142" w:type="dxa"/>
              <w:bottom w:w="142" w:type="dxa"/>
              <w:right w:w="142" w:type="dxa"/>
            </w:tcMar>
            <w:hideMark/>
          </w:tcPr>
          <w:p w14:paraId="084A350B" w14:textId="77777777" w:rsidR="00AE0FE0" w:rsidRDefault="00AE0FE0">
            <w:pPr>
              <w:pStyle w:val="NormalWeb"/>
            </w:pPr>
            <w:r>
              <w:t>(85.1)</w:t>
            </w:r>
          </w:p>
        </w:tc>
        <w:tc>
          <w:tcPr>
            <w:tcW w:w="0" w:type="auto"/>
            <w:tcMar>
              <w:top w:w="142" w:type="dxa"/>
              <w:left w:w="142" w:type="dxa"/>
              <w:bottom w:w="142" w:type="dxa"/>
              <w:right w:w="142" w:type="dxa"/>
            </w:tcMar>
            <w:hideMark/>
          </w:tcPr>
          <w:p w14:paraId="21E1A2F1" w14:textId="77777777" w:rsidR="00AE0FE0" w:rsidRDefault="00AE0FE0">
            <w:pPr>
              <w:pStyle w:val="NormalWeb"/>
            </w:pPr>
            <w:r>
              <w:t>9</w:t>
            </w:r>
          </w:p>
        </w:tc>
        <w:tc>
          <w:tcPr>
            <w:tcW w:w="0" w:type="auto"/>
            <w:tcMar>
              <w:top w:w="142" w:type="dxa"/>
              <w:left w:w="142" w:type="dxa"/>
              <w:bottom w:w="142" w:type="dxa"/>
              <w:right w:w="142" w:type="dxa"/>
            </w:tcMar>
            <w:hideMark/>
          </w:tcPr>
          <w:p w14:paraId="6834B703" w14:textId="77777777" w:rsidR="00AE0FE0" w:rsidRDefault="00AE0FE0">
            <w:pPr>
              <w:pStyle w:val="NormalWeb"/>
            </w:pPr>
            <w:r>
              <w:t>(13.4)</w:t>
            </w:r>
          </w:p>
        </w:tc>
      </w:tr>
      <w:tr w:rsidR="00AE0FE0" w14:paraId="385D67A9"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2AE2EE1" w14:textId="77777777" w:rsidR="00AE0FE0" w:rsidRDefault="00AE0FE0">
            <w:pPr>
              <w:pStyle w:val="NormalWeb"/>
            </w:pPr>
            <w:proofErr w:type="spellStart"/>
            <w:r>
              <w:t>MenCCV</w:t>
            </w:r>
            <w:proofErr w:type="spellEnd"/>
          </w:p>
        </w:tc>
        <w:tc>
          <w:tcPr>
            <w:tcW w:w="0" w:type="auto"/>
            <w:tcMar>
              <w:top w:w="142" w:type="dxa"/>
              <w:left w:w="142" w:type="dxa"/>
              <w:bottom w:w="142" w:type="dxa"/>
              <w:right w:w="142" w:type="dxa"/>
            </w:tcMar>
            <w:hideMark/>
          </w:tcPr>
          <w:p w14:paraId="5F492B2E" w14:textId="77777777" w:rsidR="00AE0FE0" w:rsidRDefault="00AE0FE0">
            <w:pPr>
              <w:pStyle w:val="NormalWeb"/>
            </w:pPr>
            <w:r>
              <w:t>28</w:t>
            </w:r>
          </w:p>
        </w:tc>
        <w:tc>
          <w:tcPr>
            <w:tcW w:w="0" w:type="auto"/>
            <w:tcMar>
              <w:top w:w="142" w:type="dxa"/>
              <w:left w:w="142" w:type="dxa"/>
              <w:bottom w:w="142" w:type="dxa"/>
              <w:right w:w="142" w:type="dxa"/>
            </w:tcMar>
            <w:hideMark/>
          </w:tcPr>
          <w:p w14:paraId="150A5B74" w14:textId="77777777" w:rsidR="00AE0FE0" w:rsidRDefault="00AE0FE0">
            <w:pPr>
              <w:pStyle w:val="NormalWeb"/>
            </w:pPr>
            <w:r>
              <w:t>(0.8)</w:t>
            </w:r>
          </w:p>
        </w:tc>
        <w:tc>
          <w:tcPr>
            <w:tcW w:w="0" w:type="auto"/>
            <w:tcMar>
              <w:top w:w="142" w:type="dxa"/>
              <w:left w:w="142" w:type="dxa"/>
              <w:bottom w:w="142" w:type="dxa"/>
              <w:right w:w="142" w:type="dxa"/>
            </w:tcMar>
            <w:hideMark/>
          </w:tcPr>
          <w:p w14:paraId="49633F84" w14:textId="77777777" w:rsidR="00AE0FE0" w:rsidRDefault="00AE0FE0">
            <w:pPr>
              <w:pStyle w:val="NormalWeb"/>
            </w:pPr>
            <w:r>
              <w:t>5</w:t>
            </w:r>
          </w:p>
        </w:tc>
        <w:tc>
          <w:tcPr>
            <w:tcW w:w="0" w:type="auto"/>
            <w:tcMar>
              <w:top w:w="142" w:type="dxa"/>
              <w:left w:w="142" w:type="dxa"/>
              <w:bottom w:w="142" w:type="dxa"/>
              <w:right w:w="142" w:type="dxa"/>
            </w:tcMar>
            <w:hideMark/>
          </w:tcPr>
          <w:p w14:paraId="7F8884A4" w14:textId="77777777" w:rsidR="00AE0FE0" w:rsidRDefault="00AE0FE0">
            <w:pPr>
              <w:pStyle w:val="NormalWeb"/>
            </w:pPr>
            <w:r>
              <w:t>(17.9)</w:t>
            </w:r>
          </w:p>
        </w:tc>
        <w:tc>
          <w:tcPr>
            <w:tcW w:w="0" w:type="auto"/>
            <w:tcMar>
              <w:top w:w="142" w:type="dxa"/>
              <w:left w:w="142" w:type="dxa"/>
              <w:bottom w:w="142" w:type="dxa"/>
              <w:right w:w="142" w:type="dxa"/>
            </w:tcMar>
            <w:hideMark/>
          </w:tcPr>
          <w:p w14:paraId="335571AD" w14:textId="77777777" w:rsidR="00AE0FE0" w:rsidRDefault="00AE0FE0">
            <w:pPr>
              <w:pStyle w:val="NormalWeb"/>
            </w:pPr>
            <w:r>
              <w:t>3</w:t>
            </w:r>
          </w:p>
        </w:tc>
        <w:tc>
          <w:tcPr>
            <w:tcW w:w="0" w:type="auto"/>
            <w:tcMar>
              <w:top w:w="142" w:type="dxa"/>
              <w:left w:w="142" w:type="dxa"/>
              <w:bottom w:w="142" w:type="dxa"/>
              <w:right w:w="142" w:type="dxa"/>
            </w:tcMar>
            <w:hideMark/>
          </w:tcPr>
          <w:p w14:paraId="6FF6DB7A" w14:textId="77777777" w:rsidR="00AE0FE0" w:rsidRDefault="00AE0FE0">
            <w:pPr>
              <w:pStyle w:val="NormalWeb"/>
            </w:pPr>
            <w:r>
              <w:t>(10.7)</w:t>
            </w:r>
          </w:p>
        </w:tc>
        <w:tc>
          <w:tcPr>
            <w:tcW w:w="0" w:type="auto"/>
            <w:tcMar>
              <w:top w:w="142" w:type="dxa"/>
              <w:left w:w="142" w:type="dxa"/>
              <w:bottom w:w="142" w:type="dxa"/>
              <w:right w:w="142" w:type="dxa"/>
            </w:tcMar>
            <w:hideMark/>
          </w:tcPr>
          <w:p w14:paraId="6C4ECB28" w14:textId="77777777" w:rsidR="00AE0FE0" w:rsidRDefault="00AE0FE0">
            <w:pPr>
              <w:pStyle w:val="NormalWeb"/>
            </w:pPr>
            <w:r>
              <w:t>8</w:t>
            </w:r>
          </w:p>
        </w:tc>
        <w:tc>
          <w:tcPr>
            <w:tcW w:w="0" w:type="auto"/>
            <w:tcMar>
              <w:top w:w="142" w:type="dxa"/>
              <w:left w:w="142" w:type="dxa"/>
              <w:bottom w:w="142" w:type="dxa"/>
              <w:right w:w="142" w:type="dxa"/>
            </w:tcMar>
            <w:hideMark/>
          </w:tcPr>
          <w:p w14:paraId="25D4B6D8" w14:textId="77777777" w:rsidR="00AE0FE0" w:rsidRDefault="00AE0FE0">
            <w:pPr>
              <w:pStyle w:val="NormalWeb"/>
            </w:pPr>
            <w:r>
              <w:t>(28.6)</w:t>
            </w:r>
          </w:p>
        </w:tc>
        <w:tc>
          <w:tcPr>
            <w:tcW w:w="0" w:type="auto"/>
            <w:tcMar>
              <w:top w:w="142" w:type="dxa"/>
              <w:left w:w="142" w:type="dxa"/>
              <w:bottom w:w="142" w:type="dxa"/>
              <w:right w:w="142" w:type="dxa"/>
            </w:tcMar>
            <w:hideMark/>
          </w:tcPr>
          <w:p w14:paraId="6C7732F0" w14:textId="77777777" w:rsidR="00AE0FE0" w:rsidRDefault="00AE0FE0">
            <w:pPr>
              <w:pStyle w:val="NormalWeb"/>
            </w:pPr>
            <w:r>
              <w:t>20</w:t>
            </w:r>
          </w:p>
        </w:tc>
        <w:tc>
          <w:tcPr>
            <w:tcW w:w="0" w:type="auto"/>
            <w:tcMar>
              <w:top w:w="142" w:type="dxa"/>
              <w:left w:w="142" w:type="dxa"/>
              <w:bottom w:w="142" w:type="dxa"/>
              <w:right w:w="142" w:type="dxa"/>
            </w:tcMar>
            <w:hideMark/>
          </w:tcPr>
          <w:p w14:paraId="33EA236A" w14:textId="77777777" w:rsidR="00AE0FE0" w:rsidRDefault="00AE0FE0">
            <w:pPr>
              <w:pStyle w:val="NormalWeb"/>
            </w:pPr>
            <w:r>
              <w:t>(71.4)</w:t>
            </w:r>
          </w:p>
        </w:tc>
      </w:tr>
      <w:tr w:rsidR="009525C9" w14:paraId="30BF0F66"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25E832D" w14:textId="77777777" w:rsidR="00AE0FE0" w:rsidRDefault="00AE0FE0">
            <w:pPr>
              <w:pStyle w:val="NormalWeb"/>
            </w:pPr>
            <w:r>
              <w:t>Hepatitis A-Typhoid</w:t>
            </w:r>
          </w:p>
        </w:tc>
        <w:tc>
          <w:tcPr>
            <w:tcW w:w="0" w:type="auto"/>
            <w:tcMar>
              <w:top w:w="142" w:type="dxa"/>
              <w:left w:w="142" w:type="dxa"/>
              <w:bottom w:w="142" w:type="dxa"/>
              <w:right w:w="142" w:type="dxa"/>
            </w:tcMar>
            <w:hideMark/>
          </w:tcPr>
          <w:p w14:paraId="2EDB4BD0" w14:textId="77777777" w:rsidR="00AE0FE0" w:rsidRDefault="00AE0FE0">
            <w:pPr>
              <w:pStyle w:val="NormalWeb"/>
            </w:pPr>
            <w:r>
              <w:t>21</w:t>
            </w:r>
          </w:p>
        </w:tc>
        <w:tc>
          <w:tcPr>
            <w:tcW w:w="0" w:type="auto"/>
            <w:tcMar>
              <w:top w:w="142" w:type="dxa"/>
              <w:left w:w="142" w:type="dxa"/>
              <w:bottom w:w="142" w:type="dxa"/>
              <w:right w:w="142" w:type="dxa"/>
            </w:tcMar>
            <w:hideMark/>
          </w:tcPr>
          <w:p w14:paraId="2DF824C9" w14:textId="77777777" w:rsidR="00AE0FE0" w:rsidRDefault="00AE0FE0">
            <w:pPr>
              <w:pStyle w:val="NormalWeb"/>
            </w:pPr>
            <w:r>
              <w:t>(0.6)</w:t>
            </w:r>
          </w:p>
        </w:tc>
        <w:tc>
          <w:tcPr>
            <w:tcW w:w="0" w:type="auto"/>
            <w:tcMar>
              <w:top w:w="142" w:type="dxa"/>
              <w:left w:w="142" w:type="dxa"/>
              <w:bottom w:w="142" w:type="dxa"/>
              <w:right w:w="142" w:type="dxa"/>
            </w:tcMar>
            <w:hideMark/>
          </w:tcPr>
          <w:p w14:paraId="23A7EBAB" w14:textId="77777777" w:rsidR="00AE0FE0" w:rsidRDefault="00AE0FE0">
            <w:pPr>
              <w:pStyle w:val="NormalWeb"/>
            </w:pPr>
            <w:r>
              <w:t>10</w:t>
            </w:r>
          </w:p>
        </w:tc>
        <w:tc>
          <w:tcPr>
            <w:tcW w:w="0" w:type="auto"/>
            <w:tcMar>
              <w:top w:w="142" w:type="dxa"/>
              <w:left w:w="142" w:type="dxa"/>
              <w:bottom w:w="142" w:type="dxa"/>
              <w:right w:w="142" w:type="dxa"/>
            </w:tcMar>
            <w:hideMark/>
          </w:tcPr>
          <w:p w14:paraId="7C08BEE2" w14:textId="77777777" w:rsidR="00AE0FE0" w:rsidRDefault="00AE0FE0">
            <w:pPr>
              <w:pStyle w:val="NormalWeb"/>
            </w:pPr>
            <w:r>
              <w:t>(47.6)</w:t>
            </w:r>
          </w:p>
        </w:tc>
        <w:tc>
          <w:tcPr>
            <w:tcW w:w="0" w:type="auto"/>
            <w:tcMar>
              <w:top w:w="142" w:type="dxa"/>
              <w:left w:w="142" w:type="dxa"/>
              <w:bottom w:w="142" w:type="dxa"/>
              <w:right w:w="142" w:type="dxa"/>
            </w:tcMar>
            <w:hideMark/>
          </w:tcPr>
          <w:p w14:paraId="768FD40B" w14:textId="77777777" w:rsidR="00AE0FE0" w:rsidRDefault="00AE0FE0">
            <w:pPr>
              <w:pStyle w:val="NormalWeb"/>
            </w:pPr>
            <w:r>
              <w:t>1</w:t>
            </w:r>
          </w:p>
        </w:tc>
        <w:tc>
          <w:tcPr>
            <w:tcW w:w="0" w:type="auto"/>
            <w:tcMar>
              <w:top w:w="142" w:type="dxa"/>
              <w:left w:w="142" w:type="dxa"/>
              <w:bottom w:w="142" w:type="dxa"/>
              <w:right w:w="142" w:type="dxa"/>
            </w:tcMar>
            <w:hideMark/>
          </w:tcPr>
          <w:p w14:paraId="06C6923A" w14:textId="77777777" w:rsidR="00AE0FE0" w:rsidRDefault="00AE0FE0">
            <w:pPr>
              <w:pStyle w:val="NormalWeb"/>
            </w:pPr>
            <w:r>
              <w:t>(4.8)</w:t>
            </w:r>
          </w:p>
        </w:tc>
        <w:tc>
          <w:tcPr>
            <w:tcW w:w="0" w:type="auto"/>
            <w:tcMar>
              <w:top w:w="142" w:type="dxa"/>
              <w:left w:w="142" w:type="dxa"/>
              <w:bottom w:w="142" w:type="dxa"/>
              <w:right w:w="142" w:type="dxa"/>
            </w:tcMar>
            <w:hideMark/>
          </w:tcPr>
          <w:p w14:paraId="0AE461A9" w14:textId="77777777" w:rsidR="00AE0FE0" w:rsidRDefault="00AE0FE0">
            <w:pPr>
              <w:pStyle w:val="NormalWeb"/>
            </w:pPr>
            <w:r>
              <w:t>0</w:t>
            </w:r>
          </w:p>
        </w:tc>
        <w:tc>
          <w:tcPr>
            <w:tcW w:w="0" w:type="auto"/>
            <w:tcMar>
              <w:top w:w="142" w:type="dxa"/>
              <w:left w:w="142" w:type="dxa"/>
              <w:bottom w:w="142" w:type="dxa"/>
              <w:right w:w="142" w:type="dxa"/>
            </w:tcMar>
            <w:hideMark/>
          </w:tcPr>
          <w:p w14:paraId="768358C6" w14:textId="77777777" w:rsidR="00AE0FE0" w:rsidRDefault="00AE0FE0">
            <w:pPr>
              <w:pStyle w:val="NormalWeb"/>
            </w:pPr>
            <w:r>
              <w:t>–</w:t>
            </w:r>
          </w:p>
        </w:tc>
        <w:tc>
          <w:tcPr>
            <w:tcW w:w="0" w:type="auto"/>
            <w:tcMar>
              <w:top w:w="142" w:type="dxa"/>
              <w:left w:w="142" w:type="dxa"/>
              <w:bottom w:w="142" w:type="dxa"/>
              <w:right w:w="142" w:type="dxa"/>
            </w:tcMar>
            <w:hideMark/>
          </w:tcPr>
          <w:p w14:paraId="27F18F9A" w14:textId="77777777" w:rsidR="00AE0FE0" w:rsidRDefault="00AE0FE0">
            <w:pPr>
              <w:pStyle w:val="NormalWeb"/>
            </w:pPr>
            <w:r>
              <w:t>19</w:t>
            </w:r>
          </w:p>
        </w:tc>
        <w:tc>
          <w:tcPr>
            <w:tcW w:w="0" w:type="auto"/>
            <w:tcMar>
              <w:top w:w="142" w:type="dxa"/>
              <w:left w:w="142" w:type="dxa"/>
              <w:bottom w:w="142" w:type="dxa"/>
              <w:right w:w="142" w:type="dxa"/>
            </w:tcMar>
            <w:hideMark/>
          </w:tcPr>
          <w:p w14:paraId="791EE188" w14:textId="77777777" w:rsidR="00AE0FE0" w:rsidRDefault="00AE0FE0">
            <w:pPr>
              <w:pStyle w:val="NormalWeb"/>
            </w:pPr>
            <w:r>
              <w:t>(90.5)</w:t>
            </w:r>
          </w:p>
        </w:tc>
      </w:tr>
      <w:tr w:rsidR="00AE0FE0" w14:paraId="33ED327D"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CBE9299" w14:textId="77777777" w:rsidR="00AE0FE0" w:rsidRDefault="00AE0FE0">
            <w:pPr>
              <w:pStyle w:val="NormalWeb"/>
            </w:pPr>
            <w:r>
              <w:t>Hepatitis A</w:t>
            </w:r>
          </w:p>
        </w:tc>
        <w:tc>
          <w:tcPr>
            <w:tcW w:w="0" w:type="auto"/>
            <w:tcMar>
              <w:top w:w="142" w:type="dxa"/>
              <w:left w:w="142" w:type="dxa"/>
              <w:bottom w:w="142" w:type="dxa"/>
              <w:right w:w="142" w:type="dxa"/>
            </w:tcMar>
            <w:hideMark/>
          </w:tcPr>
          <w:p w14:paraId="260AC98E" w14:textId="77777777" w:rsidR="00AE0FE0" w:rsidRDefault="00AE0FE0">
            <w:pPr>
              <w:pStyle w:val="NormalWeb"/>
            </w:pPr>
            <w:r>
              <w:t>20</w:t>
            </w:r>
          </w:p>
        </w:tc>
        <w:tc>
          <w:tcPr>
            <w:tcW w:w="0" w:type="auto"/>
            <w:tcMar>
              <w:top w:w="142" w:type="dxa"/>
              <w:left w:w="142" w:type="dxa"/>
              <w:bottom w:w="142" w:type="dxa"/>
              <w:right w:w="142" w:type="dxa"/>
            </w:tcMar>
            <w:hideMark/>
          </w:tcPr>
          <w:p w14:paraId="06E31B7D" w14:textId="77777777" w:rsidR="00AE0FE0" w:rsidRDefault="00AE0FE0">
            <w:pPr>
              <w:pStyle w:val="NormalWeb"/>
            </w:pPr>
            <w:r>
              <w:t>(0.6)</w:t>
            </w:r>
          </w:p>
        </w:tc>
        <w:tc>
          <w:tcPr>
            <w:tcW w:w="0" w:type="auto"/>
            <w:tcMar>
              <w:top w:w="142" w:type="dxa"/>
              <w:left w:w="142" w:type="dxa"/>
              <w:bottom w:w="142" w:type="dxa"/>
              <w:right w:w="142" w:type="dxa"/>
            </w:tcMar>
            <w:hideMark/>
          </w:tcPr>
          <w:p w14:paraId="51A24826" w14:textId="77777777" w:rsidR="00AE0FE0" w:rsidRDefault="00AE0FE0">
            <w:pPr>
              <w:pStyle w:val="NormalWeb"/>
            </w:pPr>
            <w:r>
              <w:t>8</w:t>
            </w:r>
          </w:p>
        </w:tc>
        <w:tc>
          <w:tcPr>
            <w:tcW w:w="0" w:type="auto"/>
            <w:tcMar>
              <w:top w:w="142" w:type="dxa"/>
              <w:left w:w="142" w:type="dxa"/>
              <w:bottom w:w="142" w:type="dxa"/>
              <w:right w:w="142" w:type="dxa"/>
            </w:tcMar>
            <w:hideMark/>
          </w:tcPr>
          <w:p w14:paraId="59B6CD6B" w14:textId="77777777" w:rsidR="00AE0FE0" w:rsidRDefault="00AE0FE0">
            <w:pPr>
              <w:pStyle w:val="NormalWeb"/>
            </w:pPr>
            <w:r>
              <w:t>(40.0)</w:t>
            </w:r>
          </w:p>
        </w:tc>
        <w:tc>
          <w:tcPr>
            <w:tcW w:w="0" w:type="auto"/>
            <w:tcMar>
              <w:top w:w="142" w:type="dxa"/>
              <w:left w:w="142" w:type="dxa"/>
              <w:bottom w:w="142" w:type="dxa"/>
              <w:right w:w="142" w:type="dxa"/>
            </w:tcMar>
            <w:hideMark/>
          </w:tcPr>
          <w:p w14:paraId="54F36620" w14:textId="77777777" w:rsidR="00AE0FE0" w:rsidRDefault="00AE0FE0">
            <w:pPr>
              <w:pStyle w:val="NormalWeb"/>
            </w:pPr>
            <w:r>
              <w:t>1</w:t>
            </w:r>
          </w:p>
        </w:tc>
        <w:tc>
          <w:tcPr>
            <w:tcW w:w="0" w:type="auto"/>
            <w:tcMar>
              <w:top w:w="142" w:type="dxa"/>
              <w:left w:w="142" w:type="dxa"/>
              <w:bottom w:w="142" w:type="dxa"/>
              <w:right w:w="142" w:type="dxa"/>
            </w:tcMar>
            <w:hideMark/>
          </w:tcPr>
          <w:p w14:paraId="18A1B4D1" w14:textId="77777777" w:rsidR="00AE0FE0" w:rsidRDefault="00AE0FE0">
            <w:pPr>
              <w:pStyle w:val="NormalWeb"/>
            </w:pPr>
            <w:r>
              <w:t>(5.0)</w:t>
            </w:r>
          </w:p>
        </w:tc>
        <w:tc>
          <w:tcPr>
            <w:tcW w:w="0" w:type="auto"/>
            <w:tcMar>
              <w:top w:w="142" w:type="dxa"/>
              <w:left w:w="142" w:type="dxa"/>
              <w:bottom w:w="142" w:type="dxa"/>
              <w:right w:w="142" w:type="dxa"/>
            </w:tcMar>
            <w:hideMark/>
          </w:tcPr>
          <w:p w14:paraId="0EA26B94" w14:textId="77777777" w:rsidR="00AE0FE0" w:rsidRDefault="00AE0FE0">
            <w:pPr>
              <w:pStyle w:val="NormalWeb"/>
            </w:pPr>
            <w:r>
              <w:t>11</w:t>
            </w:r>
          </w:p>
        </w:tc>
        <w:tc>
          <w:tcPr>
            <w:tcW w:w="0" w:type="auto"/>
            <w:tcMar>
              <w:top w:w="142" w:type="dxa"/>
              <w:left w:w="142" w:type="dxa"/>
              <w:bottom w:w="142" w:type="dxa"/>
              <w:right w:w="142" w:type="dxa"/>
            </w:tcMar>
            <w:hideMark/>
          </w:tcPr>
          <w:p w14:paraId="0805C258" w14:textId="77777777" w:rsidR="00AE0FE0" w:rsidRDefault="00AE0FE0">
            <w:pPr>
              <w:pStyle w:val="NormalWeb"/>
            </w:pPr>
            <w:r>
              <w:t>(55.0)</w:t>
            </w:r>
          </w:p>
        </w:tc>
        <w:tc>
          <w:tcPr>
            <w:tcW w:w="0" w:type="auto"/>
            <w:tcMar>
              <w:top w:w="142" w:type="dxa"/>
              <w:left w:w="142" w:type="dxa"/>
              <w:bottom w:w="142" w:type="dxa"/>
              <w:right w:w="142" w:type="dxa"/>
            </w:tcMar>
            <w:hideMark/>
          </w:tcPr>
          <w:p w14:paraId="5FFD5893" w14:textId="77777777" w:rsidR="00AE0FE0" w:rsidRDefault="00AE0FE0">
            <w:pPr>
              <w:pStyle w:val="NormalWeb"/>
            </w:pPr>
            <w:r>
              <w:t>9</w:t>
            </w:r>
          </w:p>
        </w:tc>
        <w:tc>
          <w:tcPr>
            <w:tcW w:w="0" w:type="auto"/>
            <w:tcMar>
              <w:top w:w="142" w:type="dxa"/>
              <w:left w:w="142" w:type="dxa"/>
              <w:bottom w:w="142" w:type="dxa"/>
              <w:right w:w="142" w:type="dxa"/>
            </w:tcMar>
            <w:hideMark/>
          </w:tcPr>
          <w:p w14:paraId="153BD87F" w14:textId="77777777" w:rsidR="00AE0FE0" w:rsidRDefault="00AE0FE0">
            <w:pPr>
              <w:pStyle w:val="NormalWeb"/>
            </w:pPr>
            <w:r>
              <w:t>(45.0)</w:t>
            </w:r>
          </w:p>
        </w:tc>
      </w:tr>
      <w:tr w:rsidR="009525C9" w14:paraId="555461C1"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DB6C1A6" w14:textId="77777777" w:rsidR="00AE0FE0" w:rsidRDefault="00AE0FE0">
            <w:pPr>
              <w:pStyle w:val="NormalWeb"/>
            </w:pPr>
            <w:r>
              <w:t>dT</w:t>
            </w:r>
          </w:p>
        </w:tc>
        <w:tc>
          <w:tcPr>
            <w:tcW w:w="0" w:type="auto"/>
            <w:tcMar>
              <w:top w:w="142" w:type="dxa"/>
              <w:left w:w="142" w:type="dxa"/>
              <w:bottom w:w="142" w:type="dxa"/>
              <w:right w:w="142" w:type="dxa"/>
            </w:tcMar>
            <w:hideMark/>
          </w:tcPr>
          <w:p w14:paraId="572FC7C8" w14:textId="77777777" w:rsidR="00AE0FE0" w:rsidRDefault="00AE0FE0">
            <w:pPr>
              <w:pStyle w:val="NormalWeb"/>
            </w:pPr>
            <w:r>
              <w:t>19</w:t>
            </w:r>
          </w:p>
        </w:tc>
        <w:tc>
          <w:tcPr>
            <w:tcW w:w="0" w:type="auto"/>
            <w:tcMar>
              <w:top w:w="142" w:type="dxa"/>
              <w:left w:w="142" w:type="dxa"/>
              <w:bottom w:w="142" w:type="dxa"/>
              <w:right w:w="142" w:type="dxa"/>
            </w:tcMar>
            <w:hideMark/>
          </w:tcPr>
          <w:p w14:paraId="5F1032A0" w14:textId="77777777" w:rsidR="00AE0FE0" w:rsidRDefault="00AE0FE0">
            <w:pPr>
              <w:pStyle w:val="NormalWeb"/>
            </w:pPr>
            <w:r>
              <w:t>(0.6)</w:t>
            </w:r>
          </w:p>
        </w:tc>
        <w:tc>
          <w:tcPr>
            <w:tcW w:w="0" w:type="auto"/>
            <w:tcMar>
              <w:top w:w="142" w:type="dxa"/>
              <w:left w:w="142" w:type="dxa"/>
              <w:bottom w:w="142" w:type="dxa"/>
              <w:right w:w="142" w:type="dxa"/>
            </w:tcMar>
            <w:hideMark/>
          </w:tcPr>
          <w:p w14:paraId="0B72FE58" w14:textId="77777777" w:rsidR="00AE0FE0" w:rsidRDefault="00AE0FE0">
            <w:pPr>
              <w:pStyle w:val="NormalWeb"/>
            </w:pPr>
            <w:r>
              <w:t>8</w:t>
            </w:r>
          </w:p>
        </w:tc>
        <w:tc>
          <w:tcPr>
            <w:tcW w:w="0" w:type="auto"/>
            <w:tcMar>
              <w:top w:w="142" w:type="dxa"/>
              <w:left w:w="142" w:type="dxa"/>
              <w:bottom w:w="142" w:type="dxa"/>
              <w:right w:w="142" w:type="dxa"/>
            </w:tcMar>
            <w:hideMark/>
          </w:tcPr>
          <w:p w14:paraId="55941DC1" w14:textId="77777777" w:rsidR="00AE0FE0" w:rsidRDefault="00AE0FE0">
            <w:pPr>
              <w:pStyle w:val="NormalWeb"/>
            </w:pPr>
            <w:r>
              <w:t>(42.1)</w:t>
            </w:r>
          </w:p>
        </w:tc>
        <w:tc>
          <w:tcPr>
            <w:tcW w:w="0" w:type="auto"/>
            <w:tcMar>
              <w:top w:w="142" w:type="dxa"/>
              <w:left w:w="142" w:type="dxa"/>
              <w:bottom w:w="142" w:type="dxa"/>
              <w:right w:w="142" w:type="dxa"/>
            </w:tcMar>
            <w:hideMark/>
          </w:tcPr>
          <w:p w14:paraId="2E466043" w14:textId="77777777" w:rsidR="00AE0FE0" w:rsidRDefault="00AE0FE0">
            <w:pPr>
              <w:pStyle w:val="NormalWeb"/>
            </w:pPr>
            <w:r>
              <w:t>1</w:t>
            </w:r>
          </w:p>
        </w:tc>
        <w:tc>
          <w:tcPr>
            <w:tcW w:w="0" w:type="auto"/>
            <w:tcMar>
              <w:top w:w="142" w:type="dxa"/>
              <w:left w:w="142" w:type="dxa"/>
              <w:bottom w:w="142" w:type="dxa"/>
              <w:right w:w="142" w:type="dxa"/>
            </w:tcMar>
            <w:hideMark/>
          </w:tcPr>
          <w:p w14:paraId="5CE7BA70" w14:textId="77777777" w:rsidR="00AE0FE0" w:rsidRDefault="00AE0FE0">
            <w:pPr>
              <w:pStyle w:val="NormalWeb"/>
            </w:pPr>
            <w:r>
              <w:t>(5.3)</w:t>
            </w:r>
          </w:p>
        </w:tc>
        <w:tc>
          <w:tcPr>
            <w:tcW w:w="0" w:type="auto"/>
            <w:tcMar>
              <w:top w:w="142" w:type="dxa"/>
              <w:left w:w="142" w:type="dxa"/>
              <w:bottom w:w="142" w:type="dxa"/>
              <w:right w:w="142" w:type="dxa"/>
            </w:tcMar>
            <w:hideMark/>
          </w:tcPr>
          <w:p w14:paraId="40E83B32" w14:textId="77777777" w:rsidR="00AE0FE0" w:rsidRDefault="00AE0FE0">
            <w:pPr>
              <w:pStyle w:val="NormalWeb"/>
            </w:pPr>
            <w:r>
              <w:t>0</w:t>
            </w:r>
          </w:p>
        </w:tc>
        <w:tc>
          <w:tcPr>
            <w:tcW w:w="0" w:type="auto"/>
            <w:tcMar>
              <w:top w:w="142" w:type="dxa"/>
              <w:left w:w="142" w:type="dxa"/>
              <w:bottom w:w="142" w:type="dxa"/>
              <w:right w:w="142" w:type="dxa"/>
            </w:tcMar>
            <w:hideMark/>
          </w:tcPr>
          <w:p w14:paraId="2833C535" w14:textId="77777777" w:rsidR="00AE0FE0" w:rsidRDefault="00AE0FE0">
            <w:pPr>
              <w:pStyle w:val="NormalWeb"/>
            </w:pPr>
            <w:r>
              <w:t>–</w:t>
            </w:r>
          </w:p>
        </w:tc>
        <w:tc>
          <w:tcPr>
            <w:tcW w:w="0" w:type="auto"/>
            <w:tcMar>
              <w:top w:w="142" w:type="dxa"/>
              <w:left w:w="142" w:type="dxa"/>
              <w:bottom w:w="142" w:type="dxa"/>
              <w:right w:w="142" w:type="dxa"/>
            </w:tcMar>
            <w:hideMark/>
          </w:tcPr>
          <w:p w14:paraId="65214623" w14:textId="77777777" w:rsidR="00AE0FE0" w:rsidRDefault="00AE0FE0">
            <w:pPr>
              <w:pStyle w:val="NormalWeb"/>
            </w:pPr>
            <w:r>
              <w:t>19</w:t>
            </w:r>
          </w:p>
        </w:tc>
        <w:tc>
          <w:tcPr>
            <w:tcW w:w="0" w:type="auto"/>
            <w:tcMar>
              <w:top w:w="142" w:type="dxa"/>
              <w:left w:w="142" w:type="dxa"/>
              <w:bottom w:w="142" w:type="dxa"/>
              <w:right w:w="142" w:type="dxa"/>
            </w:tcMar>
            <w:hideMark/>
          </w:tcPr>
          <w:p w14:paraId="488C9C48" w14:textId="77777777" w:rsidR="00AE0FE0" w:rsidRDefault="00AE0FE0">
            <w:pPr>
              <w:pStyle w:val="NormalWeb"/>
            </w:pPr>
            <w:r>
              <w:t>(100.0)</w:t>
            </w:r>
          </w:p>
        </w:tc>
      </w:tr>
      <w:tr w:rsidR="00AE0FE0" w14:paraId="3D7E5DA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136FCA9" w14:textId="77777777" w:rsidR="00AE0FE0" w:rsidRDefault="00AE0FE0">
            <w:pPr>
              <w:pStyle w:val="NormalWeb"/>
            </w:pPr>
            <w:r>
              <w:t>Typhoid</w:t>
            </w:r>
          </w:p>
        </w:tc>
        <w:tc>
          <w:tcPr>
            <w:tcW w:w="0" w:type="auto"/>
            <w:tcMar>
              <w:top w:w="142" w:type="dxa"/>
              <w:left w:w="142" w:type="dxa"/>
              <w:bottom w:w="142" w:type="dxa"/>
              <w:right w:w="142" w:type="dxa"/>
            </w:tcMar>
            <w:hideMark/>
          </w:tcPr>
          <w:p w14:paraId="5587A72D" w14:textId="77777777" w:rsidR="00AE0FE0" w:rsidRDefault="00AE0FE0">
            <w:pPr>
              <w:pStyle w:val="NormalWeb"/>
            </w:pPr>
            <w:r>
              <w:t>16</w:t>
            </w:r>
          </w:p>
        </w:tc>
        <w:tc>
          <w:tcPr>
            <w:tcW w:w="0" w:type="auto"/>
            <w:tcMar>
              <w:top w:w="142" w:type="dxa"/>
              <w:left w:w="142" w:type="dxa"/>
              <w:bottom w:w="142" w:type="dxa"/>
              <w:right w:w="142" w:type="dxa"/>
            </w:tcMar>
            <w:hideMark/>
          </w:tcPr>
          <w:p w14:paraId="502543A3" w14:textId="77777777" w:rsidR="00AE0FE0" w:rsidRDefault="00AE0FE0">
            <w:pPr>
              <w:pStyle w:val="NormalWeb"/>
            </w:pPr>
            <w:r>
              <w:t>(0.5)</w:t>
            </w:r>
          </w:p>
        </w:tc>
        <w:tc>
          <w:tcPr>
            <w:tcW w:w="0" w:type="auto"/>
            <w:tcMar>
              <w:top w:w="142" w:type="dxa"/>
              <w:left w:w="142" w:type="dxa"/>
              <w:bottom w:w="142" w:type="dxa"/>
              <w:right w:w="142" w:type="dxa"/>
            </w:tcMar>
            <w:hideMark/>
          </w:tcPr>
          <w:p w14:paraId="40A09955" w14:textId="77777777" w:rsidR="00AE0FE0" w:rsidRDefault="00AE0FE0">
            <w:pPr>
              <w:pStyle w:val="NormalWeb"/>
            </w:pPr>
            <w:r>
              <w:t>7</w:t>
            </w:r>
          </w:p>
        </w:tc>
        <w:tc>
          <w:tcPr>
            <w:tcW w:w="0" w:type="auto"/>
            <w:tcMar>
              <w:top w:w="142" w:type="dxa"/>
              <w:left w:w="142" w:type="dxa"/>
              <w:bottom w:w="142" w:type="dxa"/>
              <w:right w:w="142" w:type="dxa"/>
            </w:tcMar>
            <w:hideMark/>
          </w:tcPr>
          <w:p w14:paraId="6C2738E7" w14:textId="77777777" w:rsidR="00AE0FE0" w:rsidRDefault="00AE0FE0">
            <w:pPr>
              <w:pStyle w:val="NormalWeb"/>
            </w:pPr>
            <w:r>
              <w:t>(43.8)</w:t>
            </w:r>
          </w:p>
        </w:tc>
        <w:tc>
          <w:tcPr>
            <w:tcW w:w="0" w:type="auto"/>
            <w:tcMar>
              <w:top w:w="142" w:type="dxa"/>
              <w:left w:w="142" w:type="dxa"/>
              <w:bottom w:w="142" w:type="dxa"/>
              <w:right w:w="142" w:type="dxa"/>
            </w:tcMar>
            <w:hideMark/>
          </w:tcPr>
          <w:p w14:paraId="37BEECC1" w14:textId="77777777" w:rsidR="00AE0FE0" w:rsidRDefault="00AE0FE0">
            <w:pPr>
              <w:pStyle w:val="NormalWeb"/>
            </w:pPr>
            <w:r>
              <w:t>4</w:t>
            </w:r>
          </w:p>
        </w:tc>
        <w:tc>
          <w:tcPr>
            <w:tcW w:w="0" w:type="auto"/>
            <w:tcMar>
              <w:top w:w="142" w:type="dxa"/>
              <w:left w:w="142" w:type="dxa"/>
              <w:bottom w:w="142" w:type="dxa"/>
              <w:right w:w="142" w:type="dxa"/>
            </w:tcMar>
            <w:hideMark/>
          </w:tcPr>
          <w:p w14:paraId="328D8540" w14:textId="77777777" w:rsidR="00AE0FE0" w:rsidRDefault="00AE0FE0">
            <w:pPr>
              <w:pStyle w:val="NormalWeb"/>
            </w:pPr>
            <w:r>
              <w:t>(25.0)</w:t>
            </w:r>
          </w:p>
        </w:tc>
        <w:tc>
          <w:tcPr>
            <w:tcW w:w="0" w:type="auto"/>
            <w:tcMar>
              <w:top w:w="142" w:type="dxa"/>
              <w:left w:w="142" w:type="dxa"/>
              <w:bottom w:w="142" w:type="dxa"/>
              <w:right w:w="142" w:type="dxa"/>
            </w:tcMar>
            <w:hideMark/>
          </w:tcPr>
          <w:p w14:paraId="7A3DB99E" w14:textId="77777777" w:rsidR="00AE0FE0" w:rsidRDefault="00AE0FE0">
            <w:pPr>
              <w:pStyle w:val="NormalWeb"/>
            </w:pPr>
            <w:r>
              <w:t>0</w:t>
            </w:r>
          </w:p>
        </w:tc>
        <w:tc>
          <w:tcPr>
            <w:tcW w:w="0" w:type="auto"/>
            <w:tcMar>
              <w:top w:w="142" w:type="dxa"/>
              <w:left w:w="142" w:type="dxa"/>
              <w:bottom w:w="142" w:type="dxa"/>
              <w:right w:w="142" w:type="dxa"/>
            </w:tcMar>
            <w:hideMark/>
          </w:tcPr>
          <w:p w14:paraId="2D06ECA5" w14:textId="77777777" w:rsidR="00AE0FE0" w:rsidRDefault="00AE0FE0">
            <w:pPr>
              <w:pStyle w:val="NormalWeb"/>
            </w:pPr>
            <w:r>
              <w:t>–</w:t>
            </w:r>
          </w:p>
        </w:tc>
        <w:tc>
          <w:tcPr>
            <w:tcW w:w="0" w:type="auto"/>
            <w:tcMar>
              <w:top w:w="142" w:type="dxa"/>
              <w:left w:w="142" w:type="dxa"/>
              <w:bottom w:w="142" w:type="dxa"/>
              <w:right w:w="142" w:type="dxa"/>
            </w:tcMar>
            <w:hideMark/>
          </w:tcPr>
          <w:p w14:paraId="7DB12E5C" w14:textId="77777777" w:rsidR="00AE0FE0" w:rsidRDefault="00AE0FE0">
            <w:pPr>
              <w:pStyle w:val="NormalWeb"/>
            </w:pPr>
            <w:r>
              <w:t>16</w:t>
            </w:r>
          </w:p>
        </w:tc>
        <w:tc>
          <w:tcPr>
            <w:tcW w:w="0" w:type="auto"/>
            <w:tcMar>
              <w:top w:w="142" w:type="dxa"/>
              <w:left w:w="142" w:type="dxa"/>
              <w:bottom w:w="142" w:type="dxa"/>
              <w:right w:w="142" w:type="dxa"/>
            </w:tcMar>
            <w:hideMark/>
          </w:tcPr>
          <w:p w14:paraId="114C7703" w14:textId="77777777" w:rsidR="00AE0FE0" w:rsidRDefault="00AE0FE0">
            <w:pPr>
              <w:pStyle w:val="NormalWeb"/>
            </w:pPr>
            <w:r>
              <w:t>(100.0)</w:t>
            </w:r>
          </w:p>
        </w:tc>
      </w:tr>
      <w:tr w:rsidR="009525C9" w14:paraId="219BB96E"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3DC5013" w14:textId="77777777" w:rsidR="00AE0FE0" w:rsidRDefault="00AE0FE0">
            <w:pPr>
              <w:pStyle w:val="NormalWeb"/>
            </w:pPr>
            <w:r>
              <w:t>Rabies</w:t>
            </w:r>
          </w:p>
        </w:tc>
        <w:tc>
          <w:tcPr>
            <w:tcW w:w="0" w:type="auto"/>
            <w:tcMar>
              <w:top w:w="142" w:type="dxa"/>
              <w:left w:w="142" w:type="dxa"/>
              <w:bottom w:w="142" w:type="dxa"/>
              <w:right w:w="142" w:type="dxa"/>
            </w:tcMar>
            <w:hideMark/>
          </w:tcPr>
          <w:p w14:paraId="25F8B269" w14:textId="77777777" w:rsidR="00AE0FE0" w:rsidRDefault="00AE0FE0">
            <w:pPr>
              <w:pStyle w:val="NormalWeb"/>
            </w:pPr>
            <w:r>
              <w:t>16</w:t>
            </w:r>
          </w:p>
        </w:tc>
        <w:tc>
          <w:tcPr>
            <w:tcW w:w="0" w:type="auto"/>
            <w:tcMar>
              <w:top w:w="142" w:type="dxa"/>
              <w:left w:w="142" w:type="dxa"/>
              <w:bottom w:w="142" w:type="dxa"/>
              <w:right w:w="142" w:type="dxa"/>
            </w:tcMar>
            <w:hideMark/>
          </w:tcPr>
          <w:p w14:paraId="50E120E3" w14:textId="77777777" w:rsidR="00AE0FE0" w:rsidRDefault="00AE0FE0">
            <w:pPr>
              <w:pStyle w:val="NormalWeb"/>
            </w:pPr>
            <w:r>
              <w:t>(0.5)</w:t>
            </w:r>
          </w:p>
        </w:tc>
        <w:tc>
          <w:tcPr>
            <w:tcW w:w="0" w:type="auto"/>
            <w:tcMar>
              <w:top w:w="142" w:type="dxa"/>
              <w:left w:w="142" w:type="dxa"/>
              <w:bottom w:w="142" w:type="dxa"/>
              <w:right w:w="142" w:type="dxa"/>
            </w:tcMar>
            <w:hideMark/>
          </w:tcPr>
          <w:p w14:paraId="67B78DE3" w14:textId="77777777" w:rsidR="00AE0FE0" w:rsidRDefault="00AE0FE0">
            <w:pPr>
              <w:pStyle w:val="NormalWeb"/>
            </w:pPr>
            <w:r>
              <w:t>13</w:t>
            </w:r>
          </w:p>
        </w:tc>
        <w:tc>
          <w:tcPr>
            <w:tcW w:w="0" w:type="auto"/>
            <w:tcMar>
              <w:top w:w="142" w:type="dxa"/>
              <w:left w:w="142" w:type="dxa"/>
              <w:bottom w:w="142" w:type="dxa"/>
              <w:right w:w="142" w:type="dxa"/>
            </w:tcMar>
            <w:hideMark/>
          </w:tcPr>
          <w:p w14:paraId="07CB2D1D" w14:textId="77777777" w:rsidR="00AE0FE0" w:rsidRDefault="00AE0FE0">
            <w:pPr>
              <w:pStyle w:val="NormalWeb"/>
            </w:pPr>
            <w:r>
              <w:t>(81.3)</w:t>
            </w:r>
          </w:p>
        </w:tc>
        <w:tc>
          <w:tcPr>
            <w:tcW w:w="0" w:type="auto"/>
            <w:tcMar>
              <w:top w:w="142" w:type="dxa"/>
              <w:left w:w="142" w:type="dxa"/>
              <w:bottom w:w="142" w:type="dxa"/>
              <w:right w:w="142" w:type="dxa"/>
            </w:tcMar>
            <w:hideMark/>
          </w:tcPr>
          <w:p w14:paraId="188E5760" w14:textId="77777777" w:rsidR="00AE0FE0" w:rsidRDefault="00AE0FE0">
            <w:pPr>
              <w:pStyle w:val="NormalWeb"/>
            </w:pPr>
            <w:r>
              <w:t>2</w:t>
            </w:r>
          </w:p>
        </w:tc>
        <w:tc>
          <w:tcPr>
            <w:tcW w:w="0" w:type="auto"/>
            <w:tcMar>
              <w:top w:w="142" w:type="dxa"/>
              <w:left w:w="142" w:type="dxa"/>
              <w:bottom w:w="142" w:type="dxa"/>
              <w:right w:w="142" w:type="dxa"/>
            </w:tcMar>
            <w:hideMark/>
          </w:tcPr>
          <w:p w14:paraId="27BACD4D" w14:textId="77777777" w:rsidR="00AE0FE0" w:rsidRDefault="00AE0FE0">
            <w:pPr>
              <w:pStyle w:val="NormalWeb"/>
            </w:pPr>
            <w:r>
              <w:t>(12.5)</w:t>
            </w:r>
          </w:p>
        </w:tc>
        <w:tc>
          <w:tcPr>
            <w:tcW w:w="0" w:type="auto"/>
            <w:tcMar>
              <w:top w:w="142" w:type="dxa"/>
              <w:left w:w="142" w:type="dxa"/>
              <w:bottom w:w="142" w:type="dxa"/>
              <w:right w:w="142" w:type="dxa"/>
            </w:tcMar>
            <w:hideMark/>
          </w:tcPr>
          <w:p w14:paraId="4462CB21" w14:textId="77777777" w:rsidR="00AE0FE0" w:rsidRDefault="00AE0FE0">
            <w:pPr>
              <w:pStyle w:val="NormalWeb"/>
            </w:pPr>
            <w:r>
              <w:t>1</w:t>
            </w:r>
          </w:p>
        </w:tc>
        <w:tc>
          <w:tcPr>
            <w:tcW w:w="0" w:type="auto"/>
            <w:tcMar>
              <w:top w:w="142" w:type="dxa"/>
              <w:left w:w="142" w:type="dxa"/>
              <w:bottom w:w="142" w:type="dxa"/>
              <w:right w:w="142" w:type="dxa"/>
            </w:tcMar>
            <w:hideMark/>
          </w:tcPr>
          <w:p w14:paraId="1D1787C2" w14:textId="77777777" w:rsidR="00AE0FE0" w:rsidRDefault="00AE0FE0">
            <w:pPr>
              <w:pStyle w:val="NormalWeb"/>
            </w:pPr>
            <w:r>
              <w:t>(6.3)</w:t>
            </w:r>
          </w:p>
        </w:tc>
        <w:tc>
          <w:tcPr>
            <w:tcW w:w="0" w:type="auto"/>
            <w:tcMar>
              <w:top w:w="142" w:type="dxa"/>
              <w:left w:w="142" w:type="dxa"/>
              <w:bottom w:w="142" w:type="dxa"/>
              <w:right w:w="142" w:type="dxa"/>
            </w:tcMar>
            <w:hideMark/>
          </w:tcPr>
          <w:p w14:paraId="2ABFDDFE" w14:textId="77777777" w:rsidR="00AE0FE0" w:rsidRDefault="00AE0FE0">
            <w:pPr>
              <w:pStyle w:val="NormalWeb"/>
            </w:pPr>
            <w:r>
              <w:t>15</w:t>
            </w:r>
          </w:p>
        </w:tc>
        <w:tc>
          <w:tcPr>
            <w:tcW w:w="0" w:type="auto"/>
            <w:tcMar>
              <w:top w:w="142" w:type="dxa"/>
              <w:left w:w="142" w:type="dxa"/>
              <w:bottom w:w="142" w:type="dxa"/>
              <w:right w:w="142" w:type="dxa"/>
            </w:tcMar>
            <w:hideMark/>
          </w:tcPr>
          <w:p w14:paraId="1DB41BD0" w14:textId="77777777" w:rsidR="00AE0FE0" w:rsidRDefault="00AE0FE0">
            <w:pPr>
              <w:pStyle w:val="NormalWeb"/>
            </w:pPr>
            <w:r>
              <w:t>(93.8)</w:t>
            </w:r>
          </w:p>
        </w:tc>
      </w:tr>
      <w:tr w:rsidR="00AE0FE0" w14:paraId="1F1E86CA"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E2573A5" w14:textId="77777777" w:rsidR="00AE0FE0" w:rsidRDefault="00AE0FE0">
            <w:pPr>
              <w:pStyle w:val="NormalWeb"/>
            </w:pPr>
            <w:r>
              <w:t>Yellow fever</w:t>
            </w:r>
          </w:p>
        </w:tc>
        <w:tc>
          <w:tcPr>
            <w:tcW w:w="0" w:type="auto"/>
            <w:tcMar>
              <w:top w:w="142" w:type="dxa"/>
              <w:left w:w="142" w:type="dxa"/>
              <w:bottom w:w="142" w:type="dxa"/>
              <w:right w:w="142" w:type="dxa"/>
            </w:tcMar>
            <w:hideMark/>
          </w:tcPr>
          <w:p w14:paraId="2DD2741C" w14:textId="77777777" w:rsidR="00AE0FE0" w:rsidRDefault="00AE0FE0">
            <w:pPr>
              <w:pStyle w:val="NormalWeb"/>
            </w:pPr>
            <w:r>
              <w:t>14</w:t>
            </w:r>
          </w:p>
        </w:tc>
        <w:tc>
          <w:tcPr>
            <w:tcW w:w="0" w:type="auto"/>
            <w:tcMar>
              <w:top w:w="142" w:type="dxa"/>
              <w:left w:w="142" w:type="dxa"/>
              <w:bottom w:w="142" w:type="dxa"/>
              <w:right w:w="142" w:type="dxa"/>
            </w:tcMar>
            <w:hideMark/>
          </w:tcPr>
          <w:p w14:paraId="7DBD10B0" w14:textId="77777777" w:rsidR="00AE0FE0" w:rsidRDefault="00AE0FE0">
            <w:pPr>
              <w:pStyle w:val="NormalWeb"/>
            </w:pPr>
            <w:r>
              <w:t>(0.4)</w:t>
            </w:r>
          </w:p>
        </w:tc>
        <w:tc>
          <w:tcPr>
            <w:tcW w:w="0" w:type="auto"/>
            <w:tcMar>
              <w:top w:w="142" w:type="dxa"/>
              <w:left w:w="142" w:type="dxa"/>
              <w:bottom w:w="142" w:type="dxa"/>
              <w:right w:w="142" w:type="dxa"/>
            </w:tcMar>
            <w:hideMark/>
          </w:tcPr>
          <w:p w14:paraId="59362AD2" w14:textId="77777777" w:rsidR="00AE0FE0" w:rsidRDefault="00AE0FE0">
            <w:pPr>
              <w:pStyle w:val="NormalWeb"/>
            </w:pPr>
            <w:r>
              <w:t>10</w:t>
            </w:r>
          </w:p>
        </w:tc>
        <w:tc>
          <w:tcPr>
            <w:tcW w:w="0" w:type="auto"/>
            <w:tcMar>
              <w:top w:w="142" w:type="dxa"/>
              <w:left w:w="142" w:type="dxa"/>
              <w:bottom w:w="142" w:type="dxa"/>
              <w:right w:w="142" w:type="dxa"/>
            </w:tcMar>
            <w:hideMark/>
          </w:tcPr>
          <w:p w14:paraId="0E158FEF" w14:textId="77777777" w:rsidR="00AE0FE0" w:rsidRDefault="00AE0FE0">
            <w:pPr>
              <w:pStyle w:val="NormalWeb"/>
            </w:pPr>
            <w:r>
              <w:t>(71.4)</w:t>
            </w:r>
          </w:p>
        </w:tc>
        <w:tc>
          <w:tcPr>
            <w:tcW w:w="0" w:type="auto"/>
            <w:tcMar>
              <w:top w:w="142" w:type="dxa"/>
              <w:left w:w="142" w:type="dxa"/>
              <w:bottom w:w="142" w:type="dxa"/>
              <w:right w:w="142" w:type="dxa"/>
            </w:tcMar>
            <w:hideMark/>
          </w:tcPr>
          <w:p w14:paraId="6C3F8EE6" w14:textId="77777777" w:rsidR="00AE0FE0" w:rsidRDefault="00AE0FE0">
            <w:pPr>
              <w:pStyle w:val="NormalWeb"/>
            </w:pPr>
            <w:r>
              <w:t>2</w:t>
            </w:r>
          </w:p>
        </w:tc>
        <w:tc>
          <w:tcPr>
            <w:tcW w:w="0" w:type="auto"/>
            <w:tcMar>
              <w:top w:w="142" w:type="dxa"/>
              <w:left w:w="142" w:type="dxa"/>
              <w:bottom w:w="142" w:type="dxa"/>
              <w:right w:w="142" w:type="dxa"/>
            </w:tcMar>
            <w:hideMark/>
          </w:tcPr>
          <w:p w14:paraId="5D5A0DE8" w14:textId="77777777" w:rsidR="00AE0FE0" w:rsidRDefault="00AE0FE0">
            <w:pPr>
              <w:pStyle w:val="NormalWeb"/>
            </w:pPr>
            <w:r>
              <w:t>(14.3)</w:t>
            </w:r>
          </w:p>
        </w:tc>
        <w:tc>
          <w:tcPr>
            <w:tcW w:w="0" w:type="auto"/>
            <w:tcMar>
              <w:top w:w="142" w:type="dxa"/>
              <w:left w:w="142" w:type="dxa"/>
              <w:bottom w:w="142" w:type="dxa"/>
              <w:right w:w="142" w:type="dxa"/>
            </w:tcMar>
            <w:hideMark/>
          </w:tcPr>
          <w:p w14:paraId="62D45CF6" w14:textId="77777777" w:rsidR="00AE0FE0" w:rsidRDefault="00AE0FE0">
            <w:pPr>
              <w:pStyle w:val="NormalWeb"/>
            </w:pPr>
            <w:r>
              <w:t>0</w:t>
            </w:r>
          </w:p>
        </w:tc>
        <w:tc>
          <w:tcPr>
            <w:tcW w:w="0" w:type="auto"/>
            <w:tcMar>
              <w:top w:w="142" w:type="dxa"/>
              <w:left w:w="142" w:type="dxa"/>
              <w:bottom w:w="142" w:type="dxa"/>
              <w:right w:w="142" w:type="dxa"/>
            </w:tcMar>
            <w:hideMark/>
          </w:tcPr>
          <w:p w14:paraId="07FF47DA" w14:textId="77777777" w:rsidR="00AE0FE0" w:rsidRDefault="00AE0FE0">
            <w:pPr>
              <w:pStyle w:val="NormalWeb"/>
            </w:pPr>
            <w:r>
              <w:t>–</w:t>
            </w:r>
          </w:p>
        </w:tc>
        <w:tc>
          <w:tcPr>
            <w:tcW w:w="0" w:type="auto"/>
            <w:tcMar>
              <w:top w:w="142" w:type="dxa"/>
              <w:left w:w="142" w:type="dxa"/>
              <w:bottom w:w="142" w:type="dxa"/>
              <w:right w:w="142" w:type="dxa"/>
            </w:tcMar>
            <w:hideMark/>
          </w:tcPr>
          <w:p w14:paraId="67741AAF" w14:textId="77777777" w:rsidR="00AE0FE0" w:rsidRDefault="00AE0FE0">
            <w:pPr>
              <w:pStyle w:val="NormalWeb"/>
            </w:pPr>
            <w:r>
              <w:t>13</w:t>
            </w:r>
          </w:p>
        </w:tc>
        <w:tc>
          <w:tcPr>
            <w:tcW w:w="0" w:type="auto"/>
            <w:tcMar>
              <w:top w:w="142" w:type="dxa"/>
              <w:left w:w="142" w:type="dxa"/>
              <w:bottom w:w="142" w:type="dxa"/>
              <w:right w:w="142" w:type="dxa"/>
            </w:tcMar>
            <w:hideMark/>
          </w:tcPr>
          <w:p w14:paraId="6C309705" w14:textId="77777777" w:rsidR="00AE0FE0" w:rsidRDefault="00AE0FE0">
            <w:pPr>
              <w:pStyle w:val="NormalWeb"/>
            </w:pPr>
            <w:r>
              <w:t>(92.9)</w:t>
            </w:r>
          </w:p>
        </w:tc>
      </w:tr>
      <w:tr w:rsidR="009525C9" w14:paraId="7F5666A3"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125C37A" w14:textId="77777777" w:rsidR="00AE0FE0" w:rsidRDefault="00AE0FE0">
            <w:pPr>
              <w:pStyle w:val="NormalWeb"/>
            </w:pPr>
            <w:r>
              <w:t>Q fever</w:t>
            </w:r>
          </w:p>
        </w:tc>
        <w:tc>
          <w:tcPr>
            <w:tcW w:w="0" w:type="auto"/>
            <w:tcMar>
              <w:top w:w="142" w:type="dxa"/>
              <w:left w:w="142" w:type="dxa"/>
              <w:bottom w:w="142" w:type="dxa"/>
              <w:right w:w="142" w:type="dxa"/>
            </w:tcMar>
            <w:hideMark/>
          </w:tcPr>
          <w:p w14:paraId="50C92631" w14:textId="77777777" w:rsidR="00AE0FE0" w:rsidRDefault="00AE0FE0">
            <w:pPr>
              <w:pStyle w:val="NormalWeb"/>
            </w:pPr>
            <w:r>
              <w:t>10</w:t>
            </w:r>
          </w:p>
        </w:tc>
        <w:tc>
          <w:tcPr>
            <w:tcW w:w="0" w:type="auto"/>
            <w:tcMar>
              <w:top w:w="142" w:type="dxa"/>
              <w:left w:w="142" w:type="dxa"/>
              <w:bottom w:w="142" w:type="dxa"/>
              <w:right w:w="142" w:type="dxa"/>
            </w:tcMar>
            <w:hideMark/>
          </w:tcPr>
          <w:p w14:paraId="4FCAFDD7" w14:textId="77777777" w:rsidR="00AE0FE0" w:rsidRDefault="00AE0FE0">
            <w:pPr>
              <w:pStyle w:val="NormalWeb"/>
            </w:pPr>
            <w:r>
              <w:t>(0.3)</w:t>
            </w:r>
          </w:p>
        </w:tc>
        <w:tc>
          <w:tcPr>
            <w:tcW w:w="0" w:type="auto"/>
            <w:tcMar>
              <w:top w:w="142" w:type="dxa"/>
              <w:left w:w="142" w:type="dxa"/>
              <w:bottom w:w="142" w:type="dxa"/>
              <w:right w:w="142" w:type="dxa"/>
            </w:tcMar>
            <w:hideMark/>
          </w:tcPr>
          <w:p w14:paraId="39790B5B" w14:textId="77777777" w:rsidR="00AE0FE0" w:rsidRDefault="00AE0FE0">
            <w:pPr>
              <w:pStyle w:val="NormalWeb"/>
            </w:pPr>
            <w:r>
              <w:t>10</w:t>
            </w:r>
          </w:p>
        </w:tc>
        <w:tc>
          <w:tcPr>
            <w:tcW w:w="0" w:type="auto"/>
            <w:tcMar>
              <w:top w:w="142" w:type="dxa"/>
              <w:left w:w="142" w:type="dxa"/>
              <w:bottom w:w="142" w:type="dxa"/>
              <w:right w:w="142" w:type="dxa"/>
            </w:tcMar>
            <w:hideMark/>
          </w:tcPr>
          <w:p w14:paraId="73B56B43" w14:textId="77777777" w:rsidR="00AE0FE0" w:rsidRDefault="00AE0FE0">
            <w:pPr>
              <w:pStyle w:val="NormalWeb"/>
            </w:pPr>
            <w:r>
              <w:t>(100.0)</w:t>
            </w:r>
          </w:p>
        </w:tc>
        <w:tc>
          <w:tcPr>
            <w:tcW w:w="0" w:type="auto"/>
            <w:tcMar>
              <w:top w:w="142" w:type="dxa"/>
              <w:left w:w="142" w:type="dxa"/>
              <w:bottom w:w="142" w:type="dxa"/>
              <w:right w:w="142" w:type="dxa"/>
            </w:tcMar>
            <w:hideMark/>
          </w:tcPr>
          <w:p w14:paraId="11E0D4F1" w14:textId="77777777" w:rsidR="00AE0FE0" w:rsidRDefault="00AE0FE0">
            <w:pPr>
              <w:pStyle w:val="NormalWeb"/>
            </w:pPr>
            <w:r>
              <w:t>1</w:t>
            </w:r>
          </w:p>
        </w:tc>
        <w:tc>
          <w:tcPr>
            <w:tcW w:w="0" w:type="auto"/>
            <w:tcMar>
              <w:top w:w="142" w:type="dxa"/>
              <w:left w:w="142" w:type="dxa"/>
              <w:bottom w:w="142" w:type="dxa"/>
              <w:right w:w="142" w:type="dxa"/>
            </w:tcMar>
            <w:hideMark/>
          </w:tcPr>
          <w:p w14:paraId="7955CEBB" w14:textId="77777777" w:rsidR="00AE0FE0" w:rsidRDefault="00AE0FE0">
            <w:pPr>
              <w:pStyle w:val="NormalWeb"/>
            </w:pPr>
            <w:r>
              <w:t>(10.0)</w:t>
            </w:r>
          </w:p>
        </w:tc>
        <w:tc>
          <w:tcPr>
            <w:tcW w:w="0" w:type="auto"/>
            <w:tcMar>
              <w:top w:w="142" w:type="dxa"/>
              <w:left w:w="142" w:type="dxa"/>
              <w:bottom w:w="142" w:type="dxa"/>
              <w:right w:w="142" w:type="dxa"/>
            </w:tcMar>
            <w:hideMark/>
          </w:tcPr>
          <w:p w14:paraId="6BE8CA13" w14:textId="77777777" w:rsidR="00AE0FE0" w:rsidRDefault="00AE0FE0">
            <w:pPr>
              <w:pStyle w:val="NormalWeb"/>
            </w:pPr>
            <w:r>
              <w:t>0</w:t>
            </w:r>
          </w:p>
        </w:tc>
        <w:tc>
          <w:tcPr>
            <w:tcW w:w="0" w:type="auto"/>
            <w:tcMar>
              <w:top w:w="142" w:type="dxa"/>
              <w:left w:w="142" w:type="dxa"/>
              <w:bottom w:w="142" w:type="dxa"/>
              <w:right w:w="142" w:type="dxa"/>
            </w:tcMar>
            <w:hideMark/>
          </w:tcPr>
          <w:p w14:paraId="5C9D3BB4" w14:textId="77777777" w:rsidR="00AE0FE0" w:rsidRDefault="00AE0FE0">
            <w:pPr>
              <w:pStyle w:val="NormalWeb"/>
            </w:pPr>
            <w:r>
              <w:t>–</w:t>
            </w:r>
          </w:p>
        </w:tc>
        <w:tc>
          <w:tcPr>
            <w:tcW w:w="0" w:type="auto"/>
            <w:tcMar>
              <w:top w:w="142" w:type="dxa"/>
              <w:left w:w="142" w:type="dxa"/>
              <w:bottom w:w="142" w:type="dxa"/>
              <w:right w:w="142" w:type="dxa"/>
            </w:tcMar>
            <w:hideMark/>
          </w:tcPr>
          <w:p w14:paraId="17084B86" w14:textId="77777777" w:rsidR="00AE0FE0" w:rsidRDefault="00AE0FE0">
            <w:pPr>
              <w:pStyle w:val="NormalWeb"/>
            </w:pPr>
            <w:r>
              <w:t>9</w:t>
            </w:r>
          </w:p>
        </w:tc>
        <w:tc>
          <w:tcPr>
            <w:tcW w:w="0" w:type="auto"/>
            <w:tcMar>
              <w:top w:w="142" w:type="dxa"/>
              <w:left w:w="142" w:type="dxa"/>
              <w:bottom w:w="142" w:type="dxa"/>
              <w:right w:w="142" w:type="dxa"/>
            </w:tcMar>
            <w:hideMark/>
          </w:tcPr>
          <w:p w14:paraId="34461312" w14:textId="77777777" w:rsidR="00AE0FE0" w:rsidRDefault="00AE0FE0">
            <w:pPr>
              <w:pStyle w:val="NormalWeb"/>
            </w:pPr>
            <w:r>
              <w:t>(90.0)</w:t>
            </w:r>
          </w:p>
        </w:tc>
      </w:tr>
      <w:tr w:rsidR="00AE0FE0" w14:paraId="73961CD9"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0AC77E6" w14:textId="77777777" w:rsidR="00AE0FE0" w:rsidRDefault="00AE0FE0">
            <w:pPr>
              <w:pStyle w:val="NormalWeb"/>
            </w:pPr>
            <w:r>
              <w:t>Hib</w:t>
            </w:r>
          </w:p>
        </w:tc>
        <w:tc>
          <w:tcPr>
            <w:tcW w:w="0" w:type="auto"/>
            <w:tcMar>
              <w:top w:w="142" w:type="dxa"/>
              <w:left w:w="142" w:type="dxa"/>
              <w:bottom w:w="142" w:type="dxa"/>
              <w:right w:w="142" w:type="dxa"/>
            </w:tcMar>
            <w:hideMark/>
          </w:tcPr>
          <w:p w14:paraId="63806F9F" w14:textId="77777777" w:rsidR="00AE0FE0" w:rsidRDefault="00AE0FE0">
            <w:pPr>
              <w:pStyle w:val="NormalWeb"/>
            </w:pPr>
            <w:r>
              <w:t>7</w:t>
            </w:r>
          </w:p>
        </w:tc>
        <w:tc>
          <w:tcPr>
            <w:tcW w:w="0" w:type="auto"/>
            <w:tcMar>
              <w:top w:w="142" w:type="dxa"/>
              <w:left w:w="142" w:type="dxa"/>
              <w:bottom w:w="142" w:type="dxa"/>
              <w:right w:w="142" w:type="dxa"/>
            </w:tcMar>
            <w:hideMark/>
          </w:tcPr>
          <w:p w14:paraId="51470206" w14:textId="77777777" w:rsidR="00AE0FE0" w:rsidRDefault="00AE0FE0">
            <w:pPr>
              <w:pStyle w:val="NormalWeb"/>
            </w:pPr>
            <w:r>
              <w:t>(0.2)</w:t>
            </w:r>
          </w:p>
        </w:tc>
        <w:tc>
          <w:tcPr>
            <w:tcW w:w="0" w:type="auto"/>
            <w:tcMar>
              <w:top w:w="142" w:type="dxa"/>
              <w:left w:w="142" w:type="dxa"/>
              <w:bottom w:w="142" w:type="dxa"/>
              <w:right w:w="142" w:type="dxa"/>
            </w:tcMar>
            <w:hideMark/>
          </w:tcPr>
          <w:p w14:paraId="2C258329" w14:textId="77777777" w:rsidR="00AE0FE0" w:rsidRDefault="00AE0FE0">
            <w:pPr>
              <w:pStyle w:val="NormalWeb"/>
            </w:pPr>
            <w:r>
              <w:t>2</w:t>
            </w:r>
          </w:p>
        </w:tc>
        <w:tc>
          <w:tcPr>
            <w:tcW w:w="0" w:type="auto"/>
            <w:tcMar>
              <w:top w:w="142" w:type="dxa"/>
              <w:left w:w="142" w:type="dxa"/>
              <w:bottom w:w="142" w:type="dxa"/>
              <w:right w:w="142" w:type="dxa"/>
            </w:tcMar>
            <w:hideMark/>
          </w:tcPr>
          <w:p w14:paraId="362593B6" w14:textId="77777777" w:rsidR="00AE0FE0" w:rsidRDefault="00AE0FE0">
            <w:pPr>
              <w:pStyle w:val="NormalWeb"/>
            </w:pPr>
            <w:r>
              <w:t>(28.6)</w:t>
            </w:r>
          </w:p>
        </w:tc>
        <w:tc>
          <w:tcPr>
            <w:tcW w:w="0" w:type="auto"/>
            <w:tcMar>
              <w:top w:w="142" w:type="dxa"/>
              <w:left w:w="142" w:type="dxa"/>
              <w:bottom w:w="142" w:type="dxa"/>
              <w:right w:w="142" w:type="dxa"/>
            </w:tcMar>
            <w:hideMark/>
          </w:tcPr>
          <w:p w14:paraId="5AA08276" w14:textId="77777777" w:rsidR="00AE0FE0" w:rsidRDefault="00AE0FE0">
            <w:pPr>
              <w:pStyle w:val="NormalWeb"/>
            </w:pPr>
            <w:r>
              <w:t>1</w:t>
            </w:r>
          </w:p>
        </w:tc>
        <w:tc>
          <w:tcPr>
            <w:tcW w:w="0" w:type="auto"/>
            <w:tcMar>
              <w:top w:w="142" w:type="dxa"/>
              <w:left w:w="142" w:type="dxa"/>
              <w:bottom w:w="142" w:type="dxa"/>
              <w:right w:w="142" w:type="dxa"/>
            </w:tcMar>
            <w:hideMark/>
          </w:tcPr>
          <w:p w14:paraId="5AB9BE6F" w14:textId="77777777" w:rsidR="00AE0FE0" w:rsidRDefault="00AE0FE0">
            <w:pPr>
              <w:pStyle w:val="NormalWeb"/>
            </w:pPr>
            <w:r>
              <w:t>(14.3)</w:t>
            </w:r>
          </w:p>
        </w:tc>
        <w:tc>
          <w:tcPr>
            <w:tcW w:w="0" w:type="auto"/>
            <w:tcMar>
              <w:top w:w="142" w:type="dxa"/>
              <w:left w:w="142" w:type="dxa"/>
              <w:bottom w:w="142" w:type="dxa"/>
              <w:right w:w="142" w:type="dxa"/>
            </w:tcMar>
            <w:hideMark/>
          </w:tcPr>
          <w:p w14:paraId="22CB92CD" w14:textId="77777777" w:rsidR="00AE0FE0" w:rsidRDefault="00AE0FE0">
            <w:pPr>
              <w:pStyle w:val="NormalWeb"/>
            </w:pPr>
            <w:r>
              <w:t>5</w:t>
            </w:r>
          </w:p>
        </w:tc>
        <w:tc>
          <w:tcPr>
            <w:tcW w:w="0" w:type="auto"/>
            <w:tcMar>
              <w:top w:w="142" w:type="dxa"/>
              <w:left w:w="142" w:type="dxa"/>
              <w:bottom w:w="142" w:type="dxa"/>
              <w:right w:w="142" w:type="dxa"/>
            </w:tcMar>
            <w:hideMark/>
          </w:tcPr>
          <w:p w14:paraId="76CB7A37" w14:textId="77777777" w:rsidR="00AE0FE0" w:rsidRDefault="00AE0FE0">
            <w:pPr>
              <w:pStyle w:val="NormalWeb"/>
            </w:pPr>
            <w:r>
              <w:t>(71.4)</w:t>
            </w:r>
          </w:p>
        </w:tc>
        <w:tc>
          <w:tcPr>
            <w:tcW w:w="0" w:type="auto"/>
            <w:tcMar>
              <w:top w:w="142" w:type="dxa"/>
              <w:left w:w="142" w:type="dxa"/>
              <w:bottom w:w="142" w:type="dxa"/>
              <w:right w:w="142" w:type="dxa"/>
            </w:tcMar>
            <w:hideMark/>
          </w:tcPr>
          <w:p w14:paraId="771C9593" w14:textId="77777777" w:rsidR="00AE0FE0" w:rsidRDefault="00AE0FE0">
            <w:pPr>
              <w:pStyle w:val="NormalWeb"/>
            </w:pPr>
            <w:r>
              <w:t>2</w:t>
            </w:r>
          </w:p>
        </w:tc>
        <w:tc>
          <w:tcPr>
            <w:tcW w:w="0" w:type="auto"/>
            <w:tcMar>
              <w:top w:w="142" w:type="dxa"/>
              <w:left w:w="142" w:type="dxa"/>
              <w:bottom w:w="142" w:type="dxa"/>
              <w:right w:w="142" w:type="dxa"/>
            </w:tcMar>
            <w:hideMark/>
          </w:tcPr>
          <w:p w14:paraId="1EA32383" w14:textId="77777777" w:rsidR="00AE0FE0" w:rsidRDefault="00AE0FE0">
            <w:pPr>
              <w:pStyle w:val="NormalWeb"/>
            </w:pPr>
            <w:r>
              <w:t>(28.6)</w:t>
            </w:r>
          </w:p>
        </w:tc>
      </w:tr>
      <w:tr w:rsidR="009525C9" w14:paraId="5220089C"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0DD9CE1" w14:textId="77777777" w:rsidR="00AE0FE0" w:rsidRDefault="00AE0FE0">
            <w:pPr>
              <w:pStyle w:val="NormalWeb"/>
            </w:pPr>
            <w:r>
              <w:t>Hepatitis A + B</w:t>
            </w:r>
          </w:p>
        </w:tc>
        <w:tc>
          <w:tcPr>
            <w:tcW w:w="0" w:type="auto"/>
            <w:tcMar>
              <w:top w:w="142" w:type="dxa"/>
              <w:left w:w="142" w:type="dxa"/>
              <w:bottom w:w="142" w:type="dxa"/>
              <w:right w:w="142" w:type="dxa"/>
            </w:tcMar>
            <w:hideMark/>
          </w:tcPr>
          <w:p w14:paraId="30D83AE2" w14:textId="77777777" w:rsidR="00AE0FE0" w:rsidRDefault="00AE0FE0">
            <w:pPr>
              <w:pStyle w:val="NormalWeb"/>
            </w:pPr>
            <w:r>
              <w:t>4</w:t>
            </w:r>
          </w:p>
        </w:tc>
        <w:tc>
          <w:tcPr>
            <w:tcW w:w="0" w:type="auto"/>
            <w:tcMar>
              <w:top w:w="142" w:type="dxa"/>
              <w:left w:w="142" w:type="dxa"/>
              <w:bottom w:w="142" w:type="dxa"/>
              <w:right w:w="142" w:type="dxa"/>
            </w:tcMar>
            <w:hideMark/>
          </w:tcPr>
          <w:p w14:paraId="7257AD17" w14:textId="77777777" w:rsidR="00AE0FE0" w:rsidRDefault="00AE0FE0">
            <w:pPr>
              <w:pStyle w:val="NormalWeb"/>
            </w:pPr>
            <w:r>
              <w:t>(0.1)</w:t>
            </w:r>
          </w:p>
        </w:tc>
        <w:tc>
          <w:tcPr>
            <w:tcW w:w="0" w:type="auto"/>
            <w:tcMar>
              <w:top w:w="142" w:type="dxa"/>
              <w:left w:w="142" w:type="dxa"/>
              <w:bottom w:w="142" w:type="dxa"/>
              <w:right w:w="142" w:type="dxa"/>
            </w:tcMar>
            <w:hideMark/>
          </w:tcPr>
          <w:p w14:paraId="28984604" w14:textId="77777777" w:rsidR="00AE0FE0" w:rsidRDefault="00AE0FE0">
            <w:pPr>
              <w:pStyle w:val="NormalWeb"/>
            </w:pPr>
            <w:r>
              <w:t>2</w:t>
            </w:r>
          </w:p>
        </w:tc>
        <w:tc>
          <w:tcPr>
            <w:tcW w:w="0" w:type="auto"/>
            <w:tcMar>
              <w:top w:w="142" w:type="dxa"/>
              <w:left w:w="142" w:type="dxa"/>
              <w:bottom w:w="142" w:type="dxa"/>
              <w:right w:w="142" w:type="dxa"/>
            </w:tcMar>
            <w:hideMark/>
          </w:tcPr>
          <w:p w14:paraId="74C2C843" w14:textId="77777777" w:rsidR="00AE0FE0" w:rsidRDefault="00AE0FE0">
            <w:pPr>
              <w:pStyle w:val="NormalWeb"/>
            </w:pPr>
            <w:r>
              <w:t>(50.0)</w:t>
            </w:r>
          </w:p>
        </w:tc>
        <w:tc>
          <w:tcPr>
            <w:tcW w:w="0" w:type="auto"/>
            <w:tcMar>
              <w:top w:w="142" w:type="dxa"/>
              <w:left w:w="142" w:type="dxa"/>
              <w:bottom w:w="142" w:type="dxa"/>
              <w:right w:w="142" w:type="dxa"/>
            </w:tcMar>
            <w:hideMark/>
          </w:tcPr>
          <w:p w14:paraId="6F89B71C" w14:textId="77777777" w:rsidR="00AE0FE0" w:rsidRDefault="00AE0FE0">
            <w:pPr>
              <w:pStyle w:val="NormalWeb"/>
            </w:pPr>
            <w:r>
              <w:t>0</w:t>
            </w:r>
          </w:p>
        </w:tc>
        <w:tc>
          <w:tcPr>
            <w:tcW w:w="0" w:type="auto"/>
            <w:tcMar>
              <w:top w:w="142" w:type="dxa"/>
              <w:left w:w="142" w:type="dxa"/>
              <w:bottom w:w="142" w:type="dxa"/>
              <w:right w:w="142" w:type="dxa"/>
            </w:tcMar>
            <w:hideMark/>
          </w:tcPr>
          <w:p w14:paraId="1142A848" w14:textId="77777777" w:rsidR="00AE0FE0" w:rsidRDefault="00AE0FE0">
            <w:pPr>
              <w:pStyle w:val="NormalWeb"/>
            </w:pPr>
            <w:r>
              <w:t>–</w:t>
            </w:r>
          </w:p>
        </w:tc>
        <w:tc>
          <w:tcPr>
            <w:tcW w:w="0" w:type="auto"/>
            <w:tcMar>
              <w:top w:w="142" w:type="dxa"/>
              <w:left w:w="142" w:type="dxa"/>
              <w:bottom w:w="142" w:type="dxa"/>
              <w:right w:w="142" w:type="dxa"/>
            </w:tcMar>
            <w:hideMark/>
          </w:tcPr>
          <w:p w14:paraId="453E966A" w14:textId="77777777" w:rsidR="00AE0FE0" w:rsidRDefault="00AE0FE0">
            <w:pPr>
              <w:pStyle w:val="NormalWeb"/>
            </w:pPr>
            <w:r>
              <w:t>0</w:t>
            </w:r>
          </w:p>
        </w:tc>
        <w:tc>
          <w:tcPr>
            <w:tcW w:w="0" w:type="auto"/>
            <w:tcMar>
              <w:top w:w="142" w:type="dxa"/>
              <w:left w:w="142" w:type="dxa"/>
              <w:bottom w:w="142" w:type="dxa"/>
              <w:right w:w="142" w:type="dxa"/>
            </w:tcMar>
            <w:hideMark/>
          </w:tcPr>
          <w:p w14:paraId="0D1D4C8F" w14:textId="77777777" w:rsidR="00AE0FE0" w:rsidRDefault="00AE0FE0">
            <w:pPr>
              <w:pStyle w:val="NormalWeb"/>
            </w:pPr>
            <w:r>
              <w:t>–</w:t>
            </w:r>
          </w:p>
        </w:tc>
        <w:tc>
          <w:tcPr>
            <w:tcW w:w="0" w:type="auto"/>
            <w:tcMar>
              <w:top w:w="142" w:type="dxa"/>
              <w:left w:w="142" w:type="dxa"/>
              <w:bottom w:w="142" w:type="dxa"/>
              <w:right w:w="142" w:type="dxa"/>
            </w:tcMar>
            <w:hideMark/>
          </w:tcPr>
          <w:p w14:paraId="380EBA94" w14:textId="77777777" w:rsidR="00AE0FE0" w:rsidRDefault="00AE0FE0">
            <w:pPr>
              <w:pStyle w:val="NormalWeb"/>
            </w:pPr>
            <w:r>
              <w:t>4</w:t>
            </w:r>
          </w:p>
        </w:tc>
        <w:tc>
          <w:tcPr>
            <w:tcW w:w="0" w:type="auto"/>
            <w:tcMar>
              <w:top w:w="142" w:type="dxa"/>
              <w:left w:w="142" w:type="dxa"/>
              <w:bottom w:w="142" w:type="dxa"/>
              <w:right w:w="142" w:type="dxa"/>
            </w:tcMar>
            <w:hideMark/>
          </w:tcPr>
          <w:p w14:paraId="28189530" w14:textId="77777777" w:rsidR="00AE0FE0" w:rsidRDefault="00AE0FE0">
            <w:pPr>
              <w:pStyle w:val="NormalWeb"/>
            </w:pPr>
            <w:r>
              <w:t>(100.0)</w:t>
            </w:r>
          </w:p>
        </w:tc>
      </w:tr>
      <w:tr w:rsidR="00AE0FE0" w14:paraId="66867578"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1F72F06" w14:textId="77777777" w:rsidR="00AE0FE0" w:rsidRDefault="00AE0FE0">
            <w:pPr>
              <w:pStyle w:val="NormalWeb"/>
            </w:pPr>
            <w:r>
              <w:t>Cholera</w:t>
            </w:r>
          </w:p>
        </w:tc>
        <w:tc>
          <w:tcPr>
            <w:tcW w:w="0" w:type="auto"/>
            <w:tcMar>
              <w:top w:w="142" w:type="dxa"/>
              <w:left w:w="142" w:type="dxa"/>
              <w:bottom w:w="142" w:type="dxa"/>
              <w:right w:w="142" w:type="dxa"/>
            </w:tcMar>
            <w:hideMark/>
          </w:tcPr>
          <w:p w14:paraId="72D3D7A9" w14:textId="77777777" w:rsidR="00AE0FE0" w:rsidRDefault="00AE0FE0">
            <w:pPr>
              <w:pStyle w:val="NormalWeb"/>
            </w:pPr>
            <w:r>
              <w:t>2</w:t>
            </w:r>
          </w:p>
        </w:tc>
        <w:tc>
          <w:tcPr>
            <w:tcW w:w="0" w:type="auto"/>
            <w:tcMar>
              <w:top w:w="142" w:type="dxa"/>
              <w:left w:w="142" w:type="dxa"/>
              <w:bottom w:w="142" w:type="dxa"/>
              <w:right w:w="142" w:type="dxa"/>
            </w:tcMar>
            <w:hideMark/>
          </w:tcPr>
          <w:p w14:paraId="44057078" w14:textId="77777777" w:rsidR="00AE0FE0" w:rsidRDefault="00AE0FE0">
            <w:pPr>
              <w:pStyle w:val="NormalWeb"/>
            </w:pPr>
            <w:r>
              <w:t>(0.1)</w:t>
            </w:r>
          </w:p>
        </w:tc>
        <w:tc>
          <w:tcPr>
            <w:tcW w:w="0" w:type="auto"/>
            <w:tcMar>
              <w:top w:w="142" w:type="dxa"/>
              <w:left w:w="142" w:type="dxa"/>
              <w:bottom w:w="142" w:type="dxa"/>
              <w:right w:w="142" w:type="dxa"/>
            </w:tcMar>
            <w:hideMark/>
          </w:tcPr>
          <w:p w14:paraId="1FB89206" w14:textId="77777777" w:rsidR="00AE0FE0" w:rsidRDefault="00AE0FE0">
            <w:pPr>
              <w:pStyle w:val="NormalWeb"/>
            </w:pPr>
            <w:r>
              <w:t>1</w:t>
            </w:r>
          </w:p>
        </w:tc>
        <w:tc>
          <w:tcPr>
            <w:tcW w:w="0" w:type="auto"/>
            <w:tcMar>
              <w:top w:w="142" w:type="dxa"/>
              <w:left w:w="142" w:type="dxa"/>
              <w:bottom w:w="142" w:type="dxa"/>
              <w:right w:w="142" w:type="dxa"/>
            </w:tcMar>
            <w:hideMark/>
          </w:tcPr>
          <w:p w14:paraId="06C6AF46" w14:textId="77777777" w:rsidR="00AE0FE0" w:rsidRDefault="00AE0FE0">
            <w:pPr>
              <w:pStyle w:val="NormalWeb"/>
            </w:pPr>
            <w:r>
              <w:t>(50.0)</w:t>
            </w:r>
          </w:p>
        </w:tc>
        <w:tc>
          <w:tcPr>
            <w:tcW w:w="0" w:type="auto"/>
            <w:tcMar>
              <w:top w:w="142" w:type="dxa"/>
              <w:left w:w="142" w:type="dxa"/>
              <w:bottom w:w="142" w:type="dxa"/>
              <w:right w:w="142" w:type="dxa"/>
            </w:tcMar>
            <w:hideMark/>
          </w:tcPr>
          <w:p w14:paraId="0F3EC1A9" w14:textId="77777777" w:rsidR="00AE0FE0" w:rsidRDefault="00AE0FE0">
            <w:pPr>
              <w:pStyle w:val="NormalWeb"/>
            </w:pPr>
            <w:r>
              <w:t>1</w:t>
            </w:r>
          </w:p>
        </w:tc>
        <w:tc>
          <w:tcPr>
            <w:tcW w:w="0" w:type="auto"/>
            <w:tcMar>
              <w:top w:w="142" w:type="dxa"/>
              <w:left w:w="142" w:type="dxa"/>
              <w:bottom w:w="142" w:type="dxa"/>
              <w:right w:w="142" w:type="dxa"/>
            </w:tcMar>
            <w:hideMark/>
          </w:tcPr>
          <w:p w14:paraId="759830D4" w14:textId="77777777" w:rsidR="00AE0FE0" w:rsidRDefault="00AE0FE0">
            <w:pPr>
              <w:pStyle w:val="NormalWeb"/>
            </w:pPr>
            <w:r>
              <w:t>(50.0)</w:t>
            </w:r>
          </w:p>
        </w:tc>
        <w:tc>
          <w:tcPr>
            <w:tcW w:w="0" w:type="auto"/>
            <w:tcMar>
              <w:top w:w="142" w:type="dxa"/>
              <w:left w:w="142" w:type="dxa"/>
              <w:bottom w:w="142" w:type="dxa"/>
              <w:right w:w="142" w:type="dxa"/>
            </w:tcMar>
            <w:hideMark/>
          </w:tcPr>
          <w:p w14:paraId="6A963D4F" w14:textId="77777777" w:rsidR="00AE0FE0" w:rsidRDefault="00AE0FE0">
            <w:pPr>
              <w:pStyle w:val="NormalWeb"/>
            </w:pPr>
            <w:r>
              <w:t>0</w:t>
            </w:r>
          </w:p>
        </w:tc>
        <w:tc>
          <w:tcPr>
            <w:tcW w:w="0" w:type="auto"/>
            <w:tcMar>
              <w:top w:w="142" w:type="dxa"/>
              <w:left w:w="142" w:type="dxa"/>
              <w:bottom w:w="142" w:type="dxa"/>
              <w:right w:w="142" w:type="dxa"/>
            </w:tcMar>
            <w:hideMark/>
          </w:tcPr>
          <w:p w14:paraId="20BAE920" w14:textId="77777777" w:rsidR="00AE0FE0" w:rsidRDefault="00AE0FE0">
            <w:pPr>
              <w:pStyle w:val="NormalWeb"/>
            </w:pPr>
            <w:r>
              <w:t>–</w:t>
            </w:r>
          </w:p>
        </w:tc>
        <w:tc>
          <w:tcPr>
            <w:tcW w:w="0" w:type="auto"/>
            <w:tcMar>
              <w:top w:w="142" w:type="dxa"/>
              <w:left w:w="142" w:type="dxa"/>
              <w:bottom w:w="142" w:type="dxa"/>
              <w:right w:w="142" w:type="dxa"/>
            </w:tcMar>
            <w:hideMark/>
          </w:tcPr>
          <w:p w14:paraId="3D8E39E8" w14:textId="77777777" w:rsidR="00AE0FE0" w:rsidRDefault="00AE0FE0">
            <w:pPr>
              <w:pStyle w:val="NormalWeb"/>
            </w:pPr>
            <w:r>
              <w:t>1</w:t>
            </w:r>
          </w:p>
        </w:tc>
        <w:tc>
          <w:tcPr>
            <w:tcW w:w="0" w:type="auto"/>
            <w:tcMar>
              <w:top w:w="142" w:type="dxa"/>
              <w:left w:w="142" w:type="dxa"/>
              <w:bottom w:w="142" w:type="dxa"/>
              <w:right w:w="142" w:type="dxa"/>
            </w:tcMar>
            <w:hideMark/>
          </w:tcPr>
          <w:p w14:paraId="1450457C" w14:textId="77777777" w:rsidR="00AE0FE0" w:rsidRDefault="00AE0FE0">
            <w:pPr>
              <w:pStyle w:val="NormalWeb"/>
            </w:pPr>
            <w:r>
              <w:t>(50.0)</w:t>
            </w:r>
          </w:p>
        </w:tc>
      </w:tr>
      <w:tr w:rsidR="009525C9" w14:paraId="6F83217A"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F556B1D" w14:textId="77777777" w:rsidR="00AE0FE0" w:rsidRDefault="00AE0FE0">
            <w:pPr>
              <w:pStyle w:val="NormalWeb"/>
            </w:pPr>
            <w:r>
              <w:t>Japanese encephalitis</w:t>
            </w:r>
          </w:p>
        </w:tc>
        <w:tc>
          <w:tcPr>
            <w:tcW w:w="0" w:type="auto"/>
            <w:tcMar>
              <w:top w:w="142" w:type="dxa"/>
              <w:left w:w="142" w:type="dxa"/>
              <w:bottom w:w="142" w:type="dxa"/>
              <w:right w:w="142" w:type="dxa"/>
            </w:tcMar>
            <w:hideMark/>
          </w:tcPr>
          <w:p w14:paraId="1AFB0E4E" w14:textId="77777777" w:rsidR="00AE0FE0" w:rsidRDefault="00AE0FE0">
            <w:pPr>
              <w:pStyle w:val="NormalWeb"/>
            </w:pPr>
            <w:r>
              <w:t>1</w:t>
            </w:r>
          </w:p>
        </w:tc>
        <w:tc>
          <w:tcPr>
            <w:tcW w:w="0" w:type="auto"/>
            <w:tcMar>
              <w:top w:w="142" w:type="dxa"/>
              <w:left w:w="142" w:type="dxa"/>
              <w:bottom w:w="142" w:type="dxa"/>
              <w:right w:w="142" w:type="dxa"/>
            </w:tcMar>
            <w:hideMark/>
          </w:tcPr>
          <w:p w14:paraId="2C6086DA" w14:textId="77777777" w:rsidR="00AE0FE0" w:rsidRDefault="00AE0FE0">
            <w:pPr>
              <w:pStyle w:val="NormalWeb"/>
            </w:pPr>
            <w:r>
              <w:t>(0.0)</w:t>
            </w:r>
          </w:p>
        </w:tc>
        <w:tc>
          <w:tcPr>
            <w:tcW w:w="0" w:type="auto"/>
            <w:tcMar>
              <w:top w:w="142" w:type="dxa"/>
              <w:left w:w="142" w:type="dxa"/>
              <w:bottom w:w="142" w:type="dxa"/>
              <w:right w:w="142" w:type="dxa"/>
            </w:tcMar>
            <w:hideMark/>
          </w:tcPr>
          <w:p w14:paraId="0E221BBC" w14:textId="77777777" w:rsidR="00AE0FE0" w:rsidRDefault="00AE0FE0">
            <w:pPr>
              <w:pStyle w:val="NormalWeb"/>
            </w:pPr>
            <w:r>
              <w:t>0</w:t>
            </w:r>
          </w:p>
        </w:tc>
        <w:tc>
          <w:tcPr>
            <w:tcW w:w="0" w:type="auto"/>
            <w:tcMar>
              <w:top w:w="142" w:type="dxa"/>
              <w:left w:w="142" w:type="dxa"/>
              <w:bottom w:w="142" w:type="dxa"/>
              <w:right w:w="142" w:type="dxa"/>
            </w:tcMar>
            <w:hideMark/>
          </w:tcPr>
          <w:p w14:paraId="4D8EBA29" w14:textId="77777777" w:rsidR="00AE0FE0" w:rsidRDefault="00AE0FE0">
            <w:pPr>
              <w:pStyle w:val="NormalWeb"/>
            </w:pPr>
            <w:r>
              <w:t>–</w:t>
            </w:r>
          </w:p>
        </w:tc>
        <w:tc>
          <w:tcPr>
            <w:tcW w:w="0" w:type="auto"/>
            <w:tcMar>
              <w:top w:w="142" w:type="dxa"/>
              <w:left w:w="142" w:type="dxa"/>
              <w:bottom w:w="142" w:type="dxa"/>
              <w:right w:w="142" w:type="dxa"/>
            </w:tcMar>
            <w:hideMark/>
          </w:tcPr>
          <w:p w14:paraId="77889FF1" w14:textId="77777777" w:rsidR="00AE0FE0" w:rsidRDefault="00AE0FE0">
            <w:pPr>
              <w:pStyle w:val="NormalWeb"/>
            </w:pPr>
            <w:r>
              <w:t>0</w:t>
            </w:r>
          </w:p>
        </w:tc>
        <w:tc>
          <w:tcPr>
            <w:tcW w:w="0" w:type="auto"/>
            <w:tcMar>
              <w:top w:w="142" w:type="dxa"/>
              <w:left w:w="142" w:type="dxa"/>
              <w:bottom w:w="142" w:type="dxa"/>
              <w:right w:w="142" w:type="dxa"/>
            </w:tcMar>
            <w:hideMark/>
          </w:tcPr>
          <w:p w14:paraId="4F6CD3B7" w14:textId="77777777" w:rsidR="00AE0FE0" w:rsidRDefault="00AE0FE0">
            <w:pPr>
              <w:pStyle w:val="NormalWeb"/>
            </w:pPr>
            <w:r>
              <w:t>–</w:t>
            </w:r>
          </w:p>
        </w:tc>
        <w:tc>
          <w:tcPr>
            <w:tcW w:w="0" w:type="auto"/>
            <w:tcMar>
              <w:top w:w="142" w:type="dxa"/>
              <w:left w:w="142" w:type="dxa"/>
              <w:bottom w:w="142" w:type="dxa"/>
              <w:right w:w="142" w:type="dxa"/>
            </w:tcMar>
            <w:hideMark/>
          </w:tcPr>
          <w:p w14:paraId="1D02F45D" w14:textId="77777777" w:rsidR="00AE0FE0" w:rsidRDefault="00AE0FE0">
            <w:pPr>
              <w:pStyle w:val="NormalWeb"/>
            </w:pPr>
            <w:r>
              <w:t>0</w:t>
            </w:r>
          </w:p>
        </w:tc>
        <w:tc>
          <w:tcPr>
            <w:tcW w:w="0" w:type="auto"/>
            <w:tcMar>
              <w:top w:w="142" w:type="dxa"/>
              <w:left w:w="142" w:type="dxa"/>
              <w:bottom w:w="142" w:type="dxa"/>
              <w:right w:w="142" w:type="dxa"/>
            </w:tcMar>
            <w:hideMark/>
          </w:tcPr>
          <w:p w14:paraId="1565684F" w14:textId="77777777" w:rsidR="00AE0FE0" w:rsidRDefault="00AE0FE0">
            <w:pPr>
              <w:pStyle w:val="NormalWeb"/>
            </w:pPr>
            <w:r>
              <w:t>–</w:t>
            </w:r>
          </w:p>
        </w:tc>
        <w:tc>
          <w:tcPr>
            <w:tcW w:w="0" w:type="auto"/>
            <w:tcMar>
              <w:top w:w="142" w:type="dxa"/>
              <w:left w:w="142" w:type="dxa"/>
              <w:bottom w:w="142" w:type="dxa"/>
              <w:right w:w="142" w:type="dxa"/>
            </w:tcMar>
            <w:hideMark/>
          </w:tcPr>
          <w:p w14:paraId="6E5F4DFA" w14:textId="77777777" w:rsidR="00AE0FE0" w:rsidRDefault="00AE0FE0">
            <w:pPr>
              <w:pStyle w:val="NormalWeb"/>
            </w:pPr>
            <w:r>
              <w:t>1</w:t>
            </w:r>
          </w:p>
        </w:tc>
        <w:tc>
          <w:tcPr>
            <w:tcW w:w="0" w:type="auto"/>
            <w:tcMar>
              <w:top w:w="142" w:type="dxa"/>
              <w:left w:w="142" w:type="dxa"/>
              <w:bottom w:w="142" w:type="dxa"/>
              <w:right w:w="142" w:type="dxa"/>
            </w:tcMar>
            <w:hideMark/>
          </w:tcPr>
          <w:p w14:paraId="593F6143" w14:textId="77777777" w:rsidR="00AE0FE0" w:rsidRDefault="00AE0FE0">
            <w:pPr>
              <w:pStyle w:val="NormalWeb"/>
            </w:pPr>
            <w:r>
              <w:t>(100.0)</w:t>
            </w:r>
          </w:p>
        </w:tc>
      </w:tr>
      <w:tr w:rsidR="00AE0FE0" w14:paraId="37EF7A78"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4A832DE" w14:textId="77777777" w:rsidR="00AE0FE0" w:rsidRDefault="00AE0FE0">
            <w:pPr>
              <w:pStyle w:val="NormalWeb"/>
            </w:pPr>
            <w:r>
              <w:t>Total**</w:t>
            </w:r>
          </w:p>
        </w:tc>
        <w:tc>
          <w:tcPr>
            <w:tcW w:w="0" w:type="auto"/>
            <w:tcMar>
              <w:top w:w="142" w:type="dxa"/>
              <w:left w:w="142" w:type="dxa"/>
              <w:bottom w:w="142" w:type="dxa"/>
              <w:right w:w="142" w:type="dxa"/>
            </w:tcMar>
            <w:hideMark/>
          </w:tcPr>
          <w:p w14:paraId="13B437B5" w14:textId="77777777" w:rsidR="00AE0FE0" w:rsidRDefault="00AE0FE0">
            <w:pPr>
              <w:pStyle w:val="NormalWeb"/>
            </w:pPr>
            <w:r>
              <w:t>3407</w:t>
            </w:r>
          </w:p>
        </w:tc>
        <w:tc>
          <w:tcPr>
            <w:tcW w:w="0" w:type="auto"/>
            <w:tcMar>
              <w:top w:w="142" w:type="dxa"/>
              <w:left w:w="142" w:type="dxa"/>
              <w:bottom w:w="142" w:type="dxa"/>
              <w:right w:w="142" w:type="dxa"/>
            </w:tcMar>
            <w:hideMark/>
          </w:tcPr>
          <w:p w14:paraId="03C9D20E" w14:textId="77777777" w:rsidR="00AE0FE0" w:rsidRDefault="00AE0FE0">
            <w:pPr>
              <w:pStyle w:val="NormalWeb"/>
            </w:pPr>
            <w:r>
              <w:t>(100.0)</w:t>
            </w:r>
          </w:p>
        </w:tc>
        <w:tc>
          <w:tcPr>
            <w:tcW w:w="0" w:type="auto"/>
            <w:tcMar>
              <w:top w:w="142" w:type="dxa"/>
              <w:left w:w="142" w:type="dxa"/>
              <w:bottom w:w="142" w:type="dxa"/>
              <w:right w:w="142" w:type="dxa"/>
            </w:tcMar>
            <w:hideMark/>
          </w:tcPr>
          <w:p w14:paraId="708C1882" w14:textId="77777777" w:rsidR="00AE0FE0" w:rsidRDefault="00AE0FE0">
            <w:pPr>
              <w:pStyle w:val="NormalWeb"/>
            </w:pPr>
            <w:r>
              <w:t>2158</w:t>
            </w:r>
          </w:p>
        </w:tc>
        <w:tc>
          <w:tcPr>
            <w:tcW w:w="0" w:type="auto"/>
            <w:tcMar>
              <w:top w:w="142" w:type="dxa"/>
              <w:left w:w="142" w:type="dxa"/>
              <w:bottom w:w="142" w:type="dxa"/>
              <w:right w:w="142" w:type="dxa"/>
            </w:tcMar>
            <w:hideMark/>
          </w:tcPr>
          <w:p w14:paraId="4995209F" w14:textId="77777777" w:rsidR="00AE0FE0" w:rsidRDefault="00AE0FE0">
            <w:pPr>
              <w:pStyle w:val="NormalWeb"/>
            </w:pPr>
            <w:r>
              <w:t>(63.3)</w:t>
            </w:r>
          </w:p>
        </w:tc>
        <w:tc>
          <w:tcPr>
            <w:tcW w:w="0" w:type="auto"/>
            <w:tcMar>
              <w:top w:w="142" w:type="dxa"/>
              <w:left w:w="142" w:type="dxa"/>
              <w:bottom w:w="142" w:type="dxa"/>
              <w:right w:w="142" w:type="dxa"/>
            </w:tcMar>
            <w:hideMark/>
          </w:tcPr>
          <w:p w14:paraId="79115517" w14:textId="77777777" w:rsidR="00AE0FE0" w:rsidRDefault="00AE0FE0">
            <w:pPr>
              <w:pStyle w:val="NormalWeb"/>
            </w:pPr>
            <w:r>
              <w:t>334</w:t>
            </w:r>
          </w:p>
        </w:tc>
        <w:tc>
          <w:tcPr>
            <w:tcW w:w="0" w:type="auto"/>
            <w:tcMar>
              <w:top w:w="142" w:type="dxa"/>
              <w:left w:w="142" w:type="dxa"/>
              <w:bottom w:w="142" w:type="dxa"/>
              <w:right w:w="142" w:type="dxa"/>
            </w:tcMar>
            <w:hideMark/>
          </w:tcPr>
          <w:p w14:paraId="28FA51B0" w14:textId="77777777" w:rsidR="00AE0FE0" w:rsidRDefault="00AE0FE0">
            <w:pPr>
              <w:pStyle w:val="NormalWeb"/>
            </w:pPr>
            <w:r>
              <w:t>(9.8)</w:t>
            </w:r>
          </w:p>
        </w:tc>
        <w:tc>
          <w:tcPr>
            <w:tcW w:w="0" w:type="auto"/>
            <w:tcMar>
              <w:top w:w="142" w:type="dxa"/>
              <w:left w:w="142" w:type="dxa"/>
              <w:bottom w:w="142" w:type="dxa"/>
              <w:right w:w="142" w:type="dxa"/>
            </w:tcMar>
            <w:hideMark/>
          </w:tcPr>
          <w:p w14:paraId="261C8A02" w14:textId="77777777" w:rsidR="00AE0FE0" w:rsidRDefault="00AE0FE0">
            <w:pPr>
              <w:pStyle w:val="NormalWeb"/>
            </w:pPr>
            <w:r>
              <w:t>1648</w:t>
            </w:r>
          </w:p>
        </w:tc>
        <w:tc>
          <w:tcPr>
            <w:tcW w:w="0" w:type="auto"/>
            <w:tcMar>
              <w:top w:w="142" w:type="dxa"/>
              <w:left w:w="142" w:type="dxa"/>
              <w:bottom w:w="142" w:type="dxa"/>
              <w:right w:w="142" w:type="dxa"/>
            </w:tcMar>
            <w:hideMark/>
          </w:tcPr>
          <w:p w14:paraId="2FE723A1" w14:textId="77777777" w:rsidR="00AE0FE0" w:rsidRDefault="00AE0FE0">
            <w:pPr>
              <w:pStyle w:val="NormalWeb"/>
            </w:pPr>
            <w:r>
              <w:t>(48.4)</w:t>
            </w:r>
          </w:p>
        </w:tc>
        <w:tc>
          <w:tcPr>
            <w:tcW w:w="0" w:type="auto"/>
            <w:tcMar>
              <w:top w:w="142" w:type="dxa"/>
              <w:left w:w="142" w:type="dxa"/>
              <w:bottom w:w="142" w:type="dxa"/>
              <w:right w:w="142" w:type="dxa"/>
            </w:tcMar>
            <w:hideMark/>
          </w:tcPr>
          <w:p w14:paraId="514E941B" w14:textId="77777777" w:rsidR="00AE0FE0" w:rsidRDefault="00AE0FE0">
            <w:pPr>
              <w:pStyle w:val="NormalWeb"/>
            </w:pPr>
            <w:r>
              <w:t>1642</w:t>
            </w:r>
          </w:p>
        </w:tc>
        <w:tc>
          <w:tcPr>
            <w:tcW w:w="0" w:type="auto"/>
            <w:tcMar>
              <w:top w:w="142" w:type="dxa"/>
              <w:left w:w="142" w:type="dxa"/>
              <w:bottom w:w="142" w:type="dxa"/>
              <w:right w:w="142" w:type="dxa"/>
            </w:tcMar>
            <w:hideMark/>
          </w:tcPr>
          <w:p w14:paraId="4E94A7A0" w14:textId="77777777" w:rsidR="00AE0FE0" w:rsidRDefault="00AE0FE0">
            <w:pPr>
              <w:pStyle w:val="NormalWeb"/>
            </w:pPr>
            <w:r>
              <w:t>(48.2)</w:t>
            </w:r>
          </w:p>
        </w:tc>
      </w:tr>
    </w:tbl>
    <w:p w14:paraId="793A2329" w14:textId="77777777" w:rsidR="00AE0FE0" w:rsidRDefault="00AE0FE0" w:rsidP="00600995">
      <w:pPr>
        <w:pStyle w:val="CDIfootnotes"/>
      </w:pPr>
      <w:r>
        <w:rPr>
          <w:vertAlign w:val="superscript"/>
        </w:rPr>
        <w:t>*</w:t>
      </w:r>
      <w:r>
        <w:t xml:space="preserve"> See appendix for abbreviations of vaccine names.</w:t>
      </w:r>
      <w:r w:rsidR="00CB0324">
        <w:br/>
      </w:r>
      <w:r>
        <w:rPr>
          <w:vertAlign w:val="superscript"/>
        </w:rPr>
        <w:t>†</w:t>
      </w:r>
      <w:r>
        <w:t xml:space="preserve"> AEFI records where only one vaccine was suspected of involvement in a reported adverse event.</w:t>
      </w:r>
      <w:r w:rsidR="00CB0324">
        <w:br/>
      </w:r>
      <w:r>
        <w:rPr>
          <w:vertAlign w:val="superscript"/>
        </w:rPr>
        <w:t>§</w:t>
      </w:r>
      <w:r>
        <w:t xml:space="preserve"> ‘Serious’ is defined in the Methods section.</w:t>
      </w:r>
      <w:r w:rsidR="00CB0324">
        <w:br/>
      </w:r>
      <w:r>
        <w:rPr>
          <w:vertAlign w:val="superscript"/>
        </w:rPr>
        <w:t>||</w:t>
      </w:r>
      <w:r>
        <w:t xml:space="preserve"> Includes only AEFI records where an age or date of birth has been reported.</w:t>
      </w:r>
      <w:r w:rsidR="00CB0324">
        <w:br/>
      </w:r>
      <w:r>
        <w:rPr>
          <w:vertAlign w:val="superscript"/>
        </w:rPr>
        <w:t>¶</w:t>
      </w:r>
      <w:r>
        <w:t xml:space="preserve"> Percentages are calculated for the number of AEFI records where the vaccine was suspected of involvement in the AEFI</w:t>
      </w:r>
      <w:r w:rsidR="00CB0324">
        <w:br/>
      </w:r>
      <w:r>
        <w:rPr>
          <w:vertAlign w:val="superscript"/>
        </w:rPr>
        <w:t>**</w:t>
      </w:r>
      <w:r>
        <w:t xml:space="preserve"> Total number of AEFI records analysed, not the total in each column as categories are not mutually exclusive and an AEFI record may list more than one vaccine.</w:t>
      </w:r>
    </w:p>
    <w:p w14:paraId="4663C65E" w14:textId="77777777" w:rsidR="00AE0FE0" w:rsidRDefault="00AE0FE0">
      <w:pPr>
        <w:pStyle w:val="NormalWeb"/>
      </w:pPr>
      <w:r>
        <w:lastRenderedPageBreak/>
        <w:t xml:space="preserve">The most frequently reported individual vaccine was seasonal influenza vaccine with 700 records (21%) followed by hexavalent </w:t>
      </w:r>
      <w:proofErr w:type="spellStart"/>
      <w:r>
        <w:t>DTPa</w:t>
      </w:r>
      <w:proofErr w:type="spellEnd"/>
      <w:r>
        <w:t>-IPV-</w:t>
      </w:r>
      <w:proofErr w:type="spellStart"/>
      <w:r>
        <w:t>HepB</w:t>
      </w:r>
      <w:proofErr w:type="spellEnd"/>
      <w:r>
        <w:t xml:space="preserve">-Hib (n=474; 14%), 13vPCV (n=436; 13%), </w:t>
      </w:r>
      <w:proofErr w:type="spellStart"/>
      <w:r>
        <w:t>DTPa</w:t>
      </w:r>
      <w:proofErr w:type="spellEnd"/>
      <w:r>
        <w:t>-IPV (n= 433; n=13%), rotavirus vaccine (n=426; 13%) and HPV (n=396; 12%) (Table 4).</w:t>
      </w:r>
    </w:p>
    <w:p w14:paraId="7CBDE254" w14:textId="77777777" w:rsidR="00AE0FE0" w:rsidRDefault="00AE0FE0">
      <w:pPr>
        <w:pStyle w:val="NormalWeb"/>
      </w:pPr>
      <w:r>
        <w:t xml:space="preserve">For the newly funded </w:t>
      </w:r>
      <w:proofErr w:type="spellStart"/>
      <w:r>
        <w:t>DTPa</w:t>
      </w:r>
      <w:proofErr w:type="spellEnd"/>
      <w:r>
        <w:t xml:space="preserve"> vaccine in March 2016, there were 310 reports and 5% of these were coded as serious (Table 4). Of the total reports of </w:t>
      </w:r>
      <w:proofErr w:type="spellStart"/>
      <w:r>
        <w:t>DTPa</w:t>
      </w:r>
      <w:proofErr w:type="spellEnd"/>
      <w:r>
        <w:t xml:space="preserve"> (n=310), 90% of these were in children aged between 1 to 2 years of age in</w:t>
      </w:r>
      <w:r w:rsidR="00E7452D">
        <w:t> </w:t>
      </w:r>
      <w:r>
        <w:t>2016.</w:t>
      </w:r>
    </w:p>
    <w:p w14:paraId="1BA0BD15" w14:textId="77777777" w:rsidR="00AE0FE0" w:rsidRDefault="00AE0FE0">
      <w:pPr>
        <w:pStyle w:val="NormalWeb"/>
      </w:pPr>
      <w:r>
        <w:t>Similarly, for the newly funded zoster vaccine in November 2016, there were 165 reports and only 4% of these were coded as serious in 2016.</w:t>
      </w:r>
    </w:p>
    <w:p w14:paraId="00829F2E" w14:textId="77777777" w:rsidR="00AE0FE0" w:rsidRDefault="00AE0FE0">
      <w:pPr>
        <w:pStyle w:val="NormalWeb"/>
      </w:pPr>
      <w:r>
        <w:t xml:space="preserve">For seasonal influenza vaccine in 2016, there were </w:t>
      </w:r>
      <w:r w:rsidR="003B401D">
        <w:t>3</w:t>
      </w:r>
      <w:r>
        <w:t xml:space="preserve"> reports of Aboriginal and Torres Strait Islander children aged 6 months to 5 years who had an adverse event following an influenza vaccine and these were reported as ‘not</w:t>
      </w:r>
      <w:r w:rsidR="00E7452D">
        <w:t> </w:t>
      </w:r>
      <w:proofErr w:type="gramStart"/>
      <w:r>
        <w:t>serious’</w:t>
      </w:r>
      <w:proofErr w:type="gramEnd"/>
      <w:r>
        <w:t>.</w:t>
      </w:r>
    </w:p>
    <w:p w14:paraId="2E21654E" w14:textId="77777777" w:rsidR="00AE0FE0" w:rsidRPr="003A6918" w:rsidRDefault="00AE0FE0" w:rsidP="003A6918">
      <w:pPr>
        <w:pStyle w:val="Heading2"/>
      </w:pPr>
      <w:r w:rsidRPr="003A6918">
        <w:rPr>
          <w:rStyle w:val="Strong"/>
          <w:b/>
          <w:bCs/>
        </w:rPr>
        <w:t>Reactions</w:t>
      </w:r>
      <w:r w:rsidRPr="003A6918">
        <w:t xml:space="preserve"> </w:t>
      </w:r>
    </w:p>
    <w:p w14:paraId="523820A7" w14:textId="77777777" w:rsidR="00444D2B" w:rsidRDefault="00AE0FE0" w:rsidP="00444D2B">
      <w:pPr>
        <w:pStyle w:val="NormalWeb"/>
      </w:pPr>
      <w:r>
        <w:t>In 2016, out of the 3,407 records, the most frequently reported adverse events were injection site reactions (ISRs) (n=1,001; 29%), pyrexia (n=649; 19%), rash (n=585; 17%), vomiting (n=281; 8%), extensive swelling of vaccinated limb (n=257; 8%) and headache (n=240; 7%) (Table 5, Figure 4). Some of the other reactions of interest were hypotonic-hyporesponsive episode (n=46; 1.4%), convulsions (n=45; 1.3%), intussusception (n=16; 0.5%) and Guillain-Barré Syndrome (n=6; 0.2%) (Table 5). Anaphylaxis (n=8) was reported for 0.2 per cent of AEFI records in</w:t>
      </w:r>
      <w:r w:rsidR="009F181C">
        <w:t> </w:t>
      </w:r>
      <w:r>
        <w:t>2016.</w:t>
      </w:r>
    </w:p>
    <w:p w14:paraId="4E49784D" w14:textId="77777777" w:rsidR="00444D2B" w:rsidRDefault="00444D2B" w:rsidP="00444D2B">
      <w:pPr>
        <w:pStyle w:val="NormalWeb"/>
      </w:pPr>
      <w:r>
        <w:rPr>
          <w:rStyle w:val="Strong"/>
        </w:rPr>
        <w:t>Figure 4: Selected frequently reported adverse events following immunisation, ADRS database, 2000 to 2016, by quarter of vaccination, by date of vaccination</w:t>
      </w:r>
      <w:r>
        <w:rPr>
          <w:b/>
          <w:bCs/>
          <w:noProof/>
        </w:rPr>
        <w:drawing>
          <wp:inline distT="0" distB="0" distL="0" distR="0" wp14:anchorId="64961ED4" wp14:editId="2A148BDC">
            <wp:extent cx="6232525" cy="4268852"/>
            <wp:effectExtent l="0" t="0" r="0" b="0"/>
            <wp:docPr id="6" name="Picture 6" descr="Figure 4 is a line graph showing selected frequently reported adverse events following immunisation (injection site reaction, pyrexia, rash, syncope, extensive limb swelling and convulsions), by year (2000 to 2016), by quarter of vacc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aging\CDESS\ZoFE\CDI\Desktopping\OpenCDI\OpenCDI-2018-volume\14-Aditi Dey - Surveillance of adverse event\DOCx Output\14-Aditi-Dey---Surveillance-of-adverse-event-v7-web-resources\image\371384.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232525" cy="4268852"/>
                    </a:xfrm>
                    <a:prstGeom prst="rect">
                      <a:avLst/>
                    </a:prstGeom>
                    <a:noFill/>
                    <a:ln>
                      <a:noFill/>
                    </a:ln>
                  </pic:spPr>
                </pic:pic>
              </a:graphicData>
            </a:graphic>
          </wp:inline>
        </w:drawing>
      </w:r>
    </w:p>
    <w:p w14:paraId="73990B05" w14:textId="77777777" w:rsidR="00FC5731" w:rsidRDefault="00444D2B" w:rsidP="00784D9C">
      <w:pPr>
        <w:pStyle w:val="CDIfootnotes"/>
      </w:pPr>
      <w:r w:rsidRPr="00784D9C">
        <w:rPr>
          <w:rStyle w:val="CDIfootnotesChar"/>
        </w:rPr>
        <w:lastRenderedPageBreak/>
        <w:t xml:space="preserve">* Associated with administration of Seqirus (formerly bioCSL) </w:t>
      </w:r>
      <w:proofErr w:type="spellStart"/>
      <w:r w:rsidRPr="00784D9C">
        <w:rPr>
          <w:rStyle w:val="CDIfootnotesChar"/>
        </w:rPr>
        <w:t>Fluvax</w:t>
      </w:r>
      <w:proofErr w:type="spellEnd"/>
      <w:r w:rsidRPr="00784D9C">
        <w:rPr>
          <w:rStyle w:val="CDIfootnotesChar"/>
        </w:rPr>
        <w:t xml:space="preserve"> 2010 TIV and associated stimulated reporting.</w:t>
      </w:r>
      <w:r w:rsidRPr="00784D9C">
        <w:rPr>
          <w:rStyle w:val="CDIfootnotesChar"/>
        </w:rPr>
        <w:br/>
        <w:t>** The peak in syncope coincided with the enhanced HPV surveillance program in which there was stimulated reporting of syncope for the first 6 months of 2013.</w:t>
      </w:r>
      <w:r>
        <w:br/>
        <w:t>Note: For reports where the date of vaccination was not recorded, the date of onset or date event was reported to TGA was used as a proxy for vaccination date. Also, grouping for reactions are different for this report though these reactions have been mapped back to 2000 as mentioned in the Methods section.</w:t>
      </w:r>
    </w:p>
    <w:p w14:paraId="5148B1FB" w14:textId="77777777" w:rsidR="00AE0FE0" w:rsidRDefault="00AE0FE0" w:rsidP="00FC5731">
      <w:pPr>
        <w:pStyle w:val="CDIFigures"/>
      </w:pPr>
      <w:r>
        <w:t>Table 5: Selected reported adverse e</w:t>
      </w:r>
      <w:r w:rsidR="00784D9C">
        <w:t>vents and reactions of interest</w:t>
      </w:r>
      <w:r>
        <w:rPr>
          <w:vertAlign w:val="superscript"/>
        </w:rPr>
        <w:t>*</w:t>
      </w:r>
      <w:r>
        <w:t xml:space="preserve"> classified by MedDRA Preferred Terms in records of adverse events following immunisation (AEFI), ADRS database, 2016 </w:t>
      </w:r>
      <w:r>
        <w:rPr>
          <w:vertAlign w:val="superscript"/>
        </w:rPr>
        <w:t>¥</w:t>
      </w:r>
    </w:p>
    <w:tbl>
      <w:tblPr>
        <w:tblStyle w:val="CDI-StandardTable"/>
        <w:tblW w:w="0" w:type="auto"/>
        <w:tblLook w:val="04A0" w:firstRow="1" w:lastRow="0" w:firstColumn="1" w:lastColumn="0" w:noHBand="0" w:noVBand="1"/>
        <w:tblCaption w:val="Table 5: Selected reported adverse events and reactions of interest * classified by MedDRA Preferred Terms in records of adverse events following immunisation (AEFI), ADRS database, 2016 ¥"/>
        <w:tblDescription w:val="Table 5 shows selected reported adverse events and reactions of interest classified by MedDRA Preferred Terms in 2016."/>
      </w:tblPr>
      <w:tblGrid>
        <w:gridCol w:w="3132"/>
        <w:gridCol w:w="1216"/>
        <w:gridCol w:w="872"/>
        <w:gridCol w:w="1138"/>
        <w:gridCol w:w="508"/>
        <w:gridCol w:w="808"/>
        <w:gridCol w:w="619"/>
        <w:gridCol w:w="919"/>
        <w:gridCol w:w="619"/>
        <w:gridCol w:w="919"/>
      </w:tblGrid>
      <w:tr w:rsidR="00AE0FE0" w14:paraId="5EFD7D31" w14:textId="77777777" w:rsidTr="009525C9">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Mar>
              <w:top w:w="142" w:type="dxa"/>
              <w:left w:w="142" w:type="dxa"/>
              <w:bottom w:w="142" w:type="dxa"/>
              <w:right w:w="142" w:type="dxa"/>
            </w:tcMar>
            <w:hideMark/>
          </w:tcPr>
          <w:p w14:paraId="6CE0CB10" w14:textId="77777777" w:rsidR="00AE0FE0" w:rsidRPr="00750079" w:rsidRDefault="00AE0FE0">
            <w:pPr>
              <w:pStyle w:val="NormalWeb"/>
              <w:rPr>
                <w:color w:val="FFFFFF" w:themeColor="background1"/>
              </w:rPr>
            </w:pPr>
            <w:r w:rsidRPr="00750079">
              <w:rPr>
                <w:color w:val="FFFFFF" w:themeColor="background1"/>
              </w:rPr>
              <w:t>MedDRA Preferred Terms (Adverse events)</w:t>
            </w:r>
          </w:p>
        </w:tc>
        <w:tc>
          <w:tcPr>
            <w:tcW w:w="0" w:type="auto"/>
            <w:tcMar>
              <w:top w:w="142" w:type="dxa"/>
              <w:left w:w="142" w:type="dxa"/>
              <w:bottom w:w="142" w:type="dxa"/>
              <w:right w:w="142" w:type="dxa"/>
            </w:tcMar>
            <w:hideMark/>
          </w:tcPr>
          <w:p w14:paraId="06DB1FB3" w14:textId="77777777" w:rsidR="00AE0FE0" w:rsidRPr="00750079" w:rsidRDefault="00AE0FE0">
            <w:pPr>
              <w:pStyle w:val="NormalWeb"/>
              <w:rPr>
                <w:color w:val="FFFFFF" w:themeColor="background1"/>
              </w:rPr>
            </w:pPr>
            <w:r w:rsidRPr="00750079">
              <w:rPr>
                <w:color w:val="FFFFFF" w:themeColor="background1"/>
              </w:rPr>
              <w:t>AEFI records</w:t>
            </w:r>
          </w:p>
        </w:tc>
        <w:tc>
          <w:tcPr>
            <w:tcW w:w="0" w:type="auto"/>
            <w:gridSpan w:val="2"/>
            <w:tcMar>
              <w:top w:w="142" w:type="dxa"/>
              <w:left w:w="142" w:type="dxa"/>
              <w:bottom w:w="142" w:type="dxa"/>
              <w:right w:w="142" w:type="dxa"/>
            </w:tcMar>
            <w:hideMark/>
          </w:tcPr>
          <w:p w14:paraId="1F5BC54F" w14:textId="77777777" w:rsidR="00AE0FE0" w:rsidRPr="00750079" w:rsidRDefault="00AE0FE0">
            <w:pPr>
              <w:pStyle w:val="NormalWeb"/>
              <w:rPr>
                <w:color w:val="FFFFFF" w:themeColor="background1"/>
              </w:rPr>
            </w:pPr>
            <w:r w:rsidRPr="00750079">
              <w:rPr>
                <w:color w:val="FFFFFF" w:themeColor="background1"/>
              </w:rPr>
              <w:t>Only reaction reported†</w:t>
            </w:r>
          </w:p>
        </w:tc>
        <w:tc>
          <w:tcPr>
            <w:tcW w:w="0" w:type="auto"/>
            <w:gridSpan w:val="2"/>
            <w:tcMar>
              <w:top w:w="142" w:type="dxa"/>
              <w:left w:w="142" w:type="dxa"/>
              <w:bottom w:w="142" w:type="dxa"/>
              <w:right w:w="142" w:type="dxa"/>
            </w:tcMar>
            <w:hideMark/>
          </w:tcPr>
          <w:p w14:paraId="1EAD32C8" w14:textId="77777777" w:rsidR="00AE0FE0" w:rsidRPr="00750079" w:rsidRDefault="00AE0FE0">
            <w:pPr>
              <w:pStyle w:val="NormalWeb"/>
              <w:rPr>
                <w:color w:val="FFFFFF" w:themeColor="background1"/>
              </w:rPr>
            </w:pPr>
            <w:r w:rsidRPr="00750079">
              <w:rPr>
                <w:color w:val="FFFFFF" w:themeColor="background1"/>
              </w:rPr>
              <w:t>‘Serious’</w:t>
            </w:r>
          </w:p>
        </w:tc>
        <w:tc>
          <w:tcPr>
            <w:tcW w:w="0" w:type="auto"/>
            <w:gridSpan w:val="2"/>
            <w:tcMar>
              <w:top w:w="142" w:type="dxa"/>
              <w:left w:w="142" w:type="dxa"/>
              <w:bottom w:w="142" w:type="dxa"/>
              <w:right w:w="142" w:type="dxa"/>
            </w:tcMar>
            <w:hideMark/>
          </w:tcPr>
          <w:p w14:paraId="7581D647" w14:textId="77777777" w:rsidR="00AE0FE0" w:rsidRPr="00750079" w:rsidRDefault="00AE0FE0">
            <w:pPr>
              <w:pStyle w:val="NormalWeb"/>
              <w:rPr>
                <w:color w:val="FFFFFF" w:themeColor="background1"/>
              </w:rPr>
            </w:pPr>
            <w:r w:rsidRPr="00750079">
              <w:rPr>
                <w:color w:val="FFFFFF" w:themeColor="background1"/>
              </w:rPr>
              <w:t>Age group</w:t>
            </w:r>
            <w:r w:rsidRPr="002705D9">
              <w:rPr>
                <w:color w:val="FFFFFF" w:themeColor="background1"/>
                <w:vertAlign w:val="superscript"/>
              </w:rPr>
              <w:t>‡</w:t>
            </w:r>
          </w:p>
          <w:p w14:paraId="110667C5" w14:textId="77777777" w:rsidR="00AE0FE0" w:rsidRPr="00750079" w:rsidRDefault="00AE0FE0">
            <w:pPr>
              <w:pStyle w:val="NormalWeb"/>
              <w:rPr>
                <w:color w:val="FFFFFF" w:themeColor="background1"/>
              </w:rPr>
            </w:pPr>
            <w:r w:rsidRPr="00750079">
              <w:rPr>
                <w:color w:val="FFFFFF" w:themeColor="background1"/>
              </w:rPr>
              <w:t>&lt;7 years</w:t>
            </w:r>
          </w:p>
        </w:tc>
        <w:tc>
          <w:tcPr>
            <w:tcW w:w="0" w:type="auto"/>
            <w:gridSpan w:val="2"/>
            <w:tcMar>
              <w:top w:w="142" w:type="dxa"/>
              <w:left w:w="142" w:type="dxa"/>
              <w:bottom w:w="142" w:type="dxa"/>
              <w:right w:w="142" w:type="dxa"/>
            </w:tcMar>
            <w:hideMark/>
          </w:tcPr>
          <w:p w14:paraId="3DC79B5A" w14:textId="77777777" w:rsidR="00AE0FE0" w:rsidRPr="00750079" w:rsidRDefault="00AE0FE0">
            <w:pPr>
              <w:pStyle w:val="NormalWeb"/>
              <w:rPr>
                <w:color w:val="FFFFFF" w:themeColor="background1"/>
              </w:rPr>
            </w:pPr>
            <w:r w:rsidRPr="00750079">
              <w:rPr>
                <w:color w:val="FFFFFF" w:themeColor="background1"/>
              </w:rPr>
              <w:t>Age group</w:t>
            </w:r>
            <w:r w:rsidRPr="002705D9">
              <w:rPr>
                <w:color w:val="FFFFFF" w:themeColor="background1"/>
                <w:vertAlign w:val="superscript"/>
              </w:rPr>
              <w:t>‡</w:t>
            </w:r>
          </w:p>
          <w:p w14:paraId="2D9F9AAC" w14:textId="77777777" w:rsidR="00AE0FE0" w:rsidRPr="00750079" w:rsidRDefault="00AE0FE0">
            <w:pPr>
              <w:pStyle w:val="NormalWeb"/>
              <w:rPr>
                <w:color w:val="FFFFFF" w:themeColor="background1"/>
              </w:rPr>
            </w:pPr>
            <w:r w:rsidRPr="00750079">
              <w:rPr>
                <w:color w:val="FFFFFF" w:themeColor="background1"/>
              </w:rPr>
              <w:t>≥7 years</w:t>
            </w:r>
          </w:p>
        </w:tc>
      </w:tr>
      <w:tr w:rsidR="009525C9" w14:paraId="4C9B38B9" w14:textId="77777777" w:rsidTr="009525C9">
        <w:trPr>
          <w:cnfStyle w:val="100000000000" w:firstRow="1" w:lastRow="0" w:firstColumn="0" w:lastColumn="0" w:oddVBand="0" w:evenVBand="0" w:oddHBand="0" w:evenHBand="0" w:firstRowFirstColumn="0" w:firstRowLastColumn="0" w:lastRowFirstColumn="0" w:lastRowLastColumn="0"/>
          <w:tblHeader/>
        </w:trPr>
        <w:tc>
          <w:tcPr>
            <w:tcW w:w="0" w:type="auto"/>
            <w:vMerge/>
            <w:tcMar>
              <w:top w:w="142" w:type="dxa"/>
              <w:left w:w="142" w:type="dxa"/>
              <w:bottom w:w="142" w:type="dxa"/>
              <w:right w:w="142" w:type="dxa"/>
            </w:tcMar>
            <w:hideMark/>
          </w:tcPr>
          <w:p w14:paraId="3DB8B04B" w14:textId="77777777" w:rsidR="00AE0FE0" w:rsidRPr="00750079" w:rsidRDefault="00AE0FE0">
            <w:pPr>
              <w:rPr>
                <w:color w:val="FFFFFF" w:themeColor="background1"/>
                <w:sz w:val="24"/>
                <w:szCs w:val="24"/>
              </w:rPr>
            </w:pPr>
          </w:p>
        </w:tc>
        <w:tc>
          <w:tcPr>
            <w:tcW w:w="0" w:type="auto"/>
            <w:tcMar>
              <w:top w:w="142" w:type="dxa"/>
              <w:left w:w="142" w:type="dxa"/>
              <w:bottom w:w="142" w:type="dxa"/>
              <w:right w:w="142" w:type="dxa"/>
            </w:tcMar>
            <w:hideMark/>
          </w:tcPr>
          <w:p w14:paraId="715011DF" w14:textId="77777777" w:rsidR="00AE0FE0" w:rsidRPr="00750079" w:rsidRDefault="00AE0FE0">
            <w:pPr>
              <w:pStyle w:val="NormalWeb"/>
              <w:rPr>
                <w:color w:val="FFFFFF" w:themeColor="background1"/>
              </w:rPr>
            </w:pPr>
            <w:r w:rsidRPr="00750079">
              <w:rPr>
                <w:color w:val="FFFFFF" w:themeColor="background1"/>
              </w:rPr>
              <w:t>N</w:t>
            </w:r>
          </w:p>
        </w:tc>
        <w:tc>
          <w:tcPr>
            <w:tcW w:w="0" w:type="auto"/>
            <w:tcMar>
              <w:top w:w="142" w:type="dxa"/>
              <w:left w:w="142" w:type="dxa"/>
              <w:bottom w:w="142" w:type="dxa"/>
              <w:right w:w="142" w:type="dxa"/>
            </w:tcMar>
            <w:hideMark/>
          </w:tcPr>
          <w:p w14:paraId="27CA960B" w14:textId="77777777" w:rsidR="00AE0FE0" w:rsidRPr="00750079" w:rsidRDefault="00AE0FE0">
            <w:pPr>
              <w:pStyle w:val="NormalWeb"/>
              <w:rPr>
                <w:color w:val="FFFFFF" w:themeColor="background1"/>
              </w:rPr>
            </w:pPr>
            <w:r w:rsidRPr="00750079">
              <w:rPr>
                <w:color w:val="FFFFFF" w:themeColor="background1"/>
              </w:rPr>
              <w:t>n</w:t>
            </w:r>
          </w:p>
        </w:tc>
        <w:tc>
          <w:tcPr>
            <w:tcW w:w="0" w:type="auto"/>
            <w:tcMar>
              <w:top w:w="142" w:type="dxa"/>
              <w:left w:w="142" w:type="dxa"/>
              <w:bottom w:w="142" w:type="dxa"/>
              <w:right w:w="142" w:type="dxa"/>
            </w:tcMar>
            <w:hideMark/>
          </w:tcPr>
          <w:p w14:paraId="21EAEB8E" w14:textId="77777777" w:rsidR="00AE0FE0" w:rsidRPr="00750079" w:rsidRDefault="00AE0FE0">
            <w:pPr>
              <w:pStyle w:val="NormalWeb"/>
              <w:rPr>
                <w:color w:val="FFFFFF" w:themeColor="background1"/>
              </w:rPr>
            </w:pPr>
            <w:r w:rsidRPr="00750079">
              <w:rPr>
                <w:color w:val="FFFFFF" w:themeColor="background1"/>
              </w:rPr>
              <w:t>(%)</w:t>
            </w:r>
            <w:r w:rsidRPr="002705D9">
              <w:rPr>
                <w:color w:val="FFFFFF" w:themeColor="background1"/>
                <w:vertAlign w:val="superscript"/>
              </w:rPr>
              <w:t>||</w:t>
            </w:r>
          </w:p>
        </w:tc>
        <w:tc>
          <w:tcPr>
            <w:tcW w:w="0" w:type="auto"/>
            <w:tcMar>
              <w:top w:w="142" w:type="dxa"/>
              <w:left w:w="142" w:type="dxa"/>
              <w:bottom w:w="142" w:type="dxa"/>
              <w:right w:w="142" w:type="dxa"/>
            </w:tcMar>
            <w:hideMark/>
          </w:tcPr>
          <w:p w14:paraId="4C5B6BF8" w14:textId="77777777" w:rsidR="00AE0FE0" w:rsidRPr="00750079" w:rsidRDefault="00AE0FE0">
            <w:pPr>
              <w:pStyle w:val="NormalWeb"/>
              <w:rPr>
                <w:color w:val="FFFFFF" w:themeColor="background1"/>
              </w:rPr>
            </w:pPr>
            <w:r w:rsidRPr="00750079">
              <w:rPr>
                <w:color w:val="FFFFFF" w:themeColor="background1"/>
              </w:rPr>
              <w:t>n</w:t>
            </w:r>
          </w:p>
        </w:tc>
        <w:tc>
          <w:tcPr>
            <w:tcW w:w="0" w:type="auto"/>
            <w:tcMar>
              <w:top w:w="142" w:type="dxa"/>
              <w:left w:w="142" w:type="dxa"/>
              <w:bottom w:w="142" w:type="dxa"/>
              <w:right w:w="142" w:type="dxa"/>
            </w:tcMar>
            <w:hideMark/>
          </w:tcPr>
          <w:p w14:paraId="6A49EA93" w14:textId="77777777" w:rsidR="00AE0FE0" w:rsidRPr="00750079" w:rsidRDefault="00AE0FE0">
            <w:pPr>
              <w:pStyle w:val="NormalWeb"/>
              <w:rPr>
                <w:color w:val="FFFFFF" w:themeColor="background1"/>
              </w:rPr>
            </w:pPr>
            <w:r w:rsidRPr="00750079">
              <w:rPr>
                <w:color w:val="FFFFFF" w:themeColor="background1"/>
              </w:rPr>
              <w:t>(%)</w:t>
            </w:r>
            <w:r w:rsidRPr="002705D9">
              <w:rPr>
                <w:color w:val="FFFFFF" w:themeColor="background1"/>
                <w:vertAlign w:val="superscript"/>
              </w:rPr>
              <w:t>||</w:t>
            </w:r>
          </w:p>
        </w:tc>
        <w:tc>
          <w:tcPr>
            <w:tcW w:w="0" w:type="auto"/>
            <w:tcMar>
              <w:top w:w="142" w:type="dxa"/>
              <w:left w:w="142" w:type="dxa"/>
              <w:bottom w:w="142" w:type="dxa"/>
              <w:right w:w="142" w:type="dxa"/>
            </w:tcMar>
            <w:hideMark/>
          </w:tcPr>
          <w:p w14:paraId="30B8EF4E" w14:textId="77777777" w:rsidR="00AE0FE0" w:rsidRPr="00750079" w:rsidRDefault="00AE0FE0">
            <w:pPr>
              <w:pStyle w:val="NormalWeb"/>
              <w:rPr>
                <w:color w:val="FFFFFF" w:themeColor="background1"/>
              </w:rPr>
            </w:pPr>
            <w:r w:rsidRPr="00750079">
              <w:rPr>
                <w:color w:val="FFFFFF" w:themeColor="background1"/>
              </w:rPr>
              <w:t>n</w:t>
            </w:r>
          </w:p>
        </w:tc>
        <w:tc>
          <w:tcPr>
            <w:tcW w:w="0" w:type="auto"/>
            <w:tcMar>
              <w:top w:w="142" w:type="dxa"/>
              <w:left w:w="142" w:type="dxa"/>
              <w:bottom w:w="142" w:type="dxa"/>
              <w:right w:w="142" w:type="dxa"/>
            </w:tcMar>
            <w:hideMark/>
          </w:tcPr>
          <w:p w14:paraId="41C15E60" w14:textId="77777777" w:rsidR="00AE0FE0" w:rsidRPr="00750079" w:rsidRDefault="00AE0FE0">
            <w:pPr>
              <w:pStyle w:val="NormalWeb"/>
              <w:rPr>
                <w:color w:val="FFFFFF" w:themeColor="background1"/>
              </w:rPr>
            </w:pPr>
            <w:r w:rsidRPr="00750079">
              <w:rPr>
                <w:color w:val="FFFFFF" w:themeColor="background1"/>
              </w:rPr>
              <w:t>(%)</w:t>
            </w:r>
            <w:r w:rsidRPr="002705D9">
              <w:rPr>
                <w:color w:val="FFFFFF" w:themeColor="background1"/>
                <w:vertAlign w:val="superscript"/>
              </w:rPr>
              <w:t>||</w:t>
            </w:r>
          </w:p>
        </w:tc>
        <w:tc>
          <w:tcPr>
            <w:tcW w:w="0" w:type="auto"/>
            <w:tcMar>
              <w:top w:w="142" w:type="dxa"/>
              <w:left w:w="142" w:type="dxa"/>
              <w:bottom w:w="142" w:type="dxa"/>
              <w:right w:w="142" w:type="dxa"/>
            </w:tcMar>
            <w:hideMark/>
          </w:tcPr>
          <w:p w14:paraId="324E56F4" w14:textId="77777777" w:rsidR="00AE0FE0" w:rsidRPr="00750079" w:rsidRDefault="00AE0FE0">
            <w:pPr>
              <w:pStyle w:val="NormalWeb"/>
              <w:rPr>
                <w:color w:val="FFFFFF" w:themeColor="background1"/>
              </w:rPr>
            </w:pPr>
            <w:r w:rsidRPr="00750079">
              <w:rPr>
                <w:color w:val="FFFFFF" w:themeColor="background1"/>
              </w:rPr>
              <w:t>n</w:t>
            </w:r>
          </w:p>
        </w:tc>
        <w:tc>
          <w:tcPr>
            <w:tcW w:w="0" w:type="auto"/>
            <w:tcMar>
              <w:top w:w="142" w:type="dxa"/>
              <w:left w:w="142" w:type="dxa"/>
              <w:bottom w:w="142" w:type="dxa"/>
              <w:right w:w="142" w:type="dxa"/>
            </w:tcMar>
            <w:hideMark/>
          </w:tcPr>
          <w:p w14:paraId="026A8C76" w14:textId="77777777" w:rsidR="00AE0FE0" w:rsidRPr="00750079" w:rsidRDefault="00AE0FE0">
            <w:pPr>
              <w:pStyle w:val="NormalWeb"/>
              <w:rPr>
                <w:color w:val="FFFFFF" w:themeColor="background1"/>
              </w:rPr>
            </w:pPr>
            <w:r w:rsidRPr="00750079">
              <w:rPr>
                <w:color w:val="FFFFFF" w:themeColor="background1"/>
              </w:rPr>
              <w:t>(%)</w:t>
            </w:r>
            <w:r w:rsidRPr="002705D9">
              <w:rPr>
                <w:color w:val="FFFFFF" w:themeColor="background1"/>
                <w:vertAlign w:val="superscript"/>
              </w:rPr>
              <w:t>||</w:t>
            </w:r>
          </w:p>
        </w:tc>
      </w:tr>
      <w:tr w:rsidR="00751C2F" w14:paraId="30DF6706"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9DBF157" w14:textId="77777777" w:rsidR="00AE0FE0" w:rsidRDefault="00AE0FE0">
            <w:pPr>
              <w:pStyle w:val="NormalWeb"/>
            </w:pPr>
            <w:r>
              <w:t>Injection site reaction**</w:t>
            </w:r>
          </w:p>
        </w:tc>
        <w:tc>
          <w:tcPr>
            <w:tcW w:w="0" w:type="auto"/>
            <w:tcMar>
              <w:top w:w="142" w:type="dxa"/>
              <w:left w:w="142" w:type="dxa"/>
              <w:bottom w:w="142" w:type="dxa"/>
              <w:right w:w="142" w:type="dxa"/>
            </w:tcMar>
            <w:hideMark/>
          </w:tcPr>
          <w:p w14:paraId="05C6892D" w14:textId="77777777" w:rsidR="00AE0FE0" w:rsidRDefault="00AE0FE0">
            <w:pPr>
              <w:pStyle w:val="NormalWeb"/>
            </w:pPr>
            <w:r>
              <w:t>1</w:t>
            </w:r>
            <w:r w:rsidR="001A26A3">
              <w:t>,</w:t>
            </w:r>
            <w:r>
              <w:t>001</w:t>
            </w:r>
          </w:p>
        </w:tc>
        <w:tc>
          <w:tcPr>
            <w:tcW w:w="0" w:type="auto"/>
            <w:tcMar>
              <w:top w:w="142" w:type="dxa"/>
              <w:left w:w="142" w:type="dxa"/>
              <w:bottom w:w="142" w:type="dxa"/>
              <w:right w:w="142" w:type="dxa"/>
            </w:tcMar>
            <w:hideMark/>
          </w:tcPr>
          <w:p w14:paraId="2C892C7C" w14:textId="77777777" w:rsidR="00AE0FE0" w:rsidRDefault="00AE0FE0">
            <w:pPr>
              <w:pStyle w:val="NormalWeb"/>
            </w:pPr>
            <w:r>
              <w:t>517</w:t>
            </w:r>
          </w:p>
        </w:tc>
        <w:tc>
          <w:tcPr>
            <w:tcW w:w="0" w:type="auto"/>
            <w:tcMar>
              <w:top w:w="142" w:type="dxa"/>
              <w:left w:w="142" w:type="dxa"/>
              <w:bottom w:w="142" w:type="dxa"/>
              <w:right w:w="142" w:type="dxa"/>
            </w:tcMar>
            <w:hideMark/>
          </w:tcPr>
          <w:p w14:paraId="257C602C" w14:textId="77777777" w:rsidR="00AE0FE0" w:rsidRDefault="00AE0FE0">
            <w:pPr>
              <w:pStyle w:val="NormalWeb"/>
            </w:pPr>
            <w:r>
              <w:t>(51.6)</w:t>
            </w:r>
          </w:p>
        </w:tc>
        <w:tc>
          <w:tcPr>
            <w:tcW w:w="0" w:type="auto"/>
            <w:tcMar>
              <w:top w:w="142" w:type="dxa"/>
              <w:left w:w="142" w:type="dxa"/>
              <w:bottom w:w="142" w:type="dxa"/>
              <w:right w:w="142" w:type="dxa"/>
            </w:tcMar>
            <w:hideMark/>
          </w:tcPr>
          <w:p w14:paraId="2F824AA2" w14:textId="77777777" w:rsidR="00AE0FE0" w:rsidRDefault="00AE0FE0">
            <w:pPr>
              <w:pStyle w:val="NormalWeb"/>
            </w:pPr>
            <w:r>
              <w:t>42</w:t>
            </w:r>
          </w:p>
        </w:tc>
        <w:tc>
          <w:tcPr>
            <w:tcW w:w="0" w:type="auto"/>
            <w:tcMar>
              <w:top w:w="142" w:type="dxa"/>
              <w:left w:w="142" w:type="dxa"/>
              <w:bottom w:w="142" w:type="dxa"/>
              <w:right w:w="142" w:type="dxa"/>
            </w:tcMar>
            <w:hideMark/>
          </w:tcPr>
          <w:p w14:paraId="3475E9BE" w14:textId="77777777" w:rsidR="00AE0FE0" w:rsidRDefault="00AE0FE0">
            <w:pPr>
              <w:pStyle w:val="NormalWeb"/>
            </w:pPr>
            <w:r>
              <w:t>(4.2)</w:t>
            </w:r>
          </w:p>
        </w:tc>
        <w:tc>
          <w:tcPr>
            <w:tcW w:w="0" w:type="auto"/>
            <w:tcMar>
              <w:top w:w="142" w:type="dxa"/>
              <w:left w:w="142" w:type="dxa"/>
              <w:bottom w:w="142" w:type="dxa"/>
              <w:right w:w="142" w:type="dxa"/>
            </w:tcMar>
            <w:hideMark/>
          </w:tcPr>
          <w:p w14:paraId="2A94DD0A" w14:textId="77777777" w:rsidR="00AE0FE0" w:rsidRDefault="00AE0FE0">
            <w:pPr>
              <w:pStyle w:val="NormalWeb"/>
            </w:pPr>
            <w:r>
              <w:t>512</w:t>
            </w:r>
          </w:p>
        </w:tc>
        <w:tc>
          <w:tcPr>
            <w:tcW w:w="0" w:type="auto"/>
            <w:tcMar>
              <w:top w:w="142" w:type="dxa"/>
              <w:left w:w="142" w:type="dxa"/>
              <w:bottom w:w="142" w:type="dxa"/>
              <w:right w:w="142" w:type="dxa"/>
            </w:tcMar>
            <w:hideMark/>
          </w:tcPr>
          <w:p w14:paraId="2BF09942" w14:textId="77777777" w:rsidR="00AE0FE0" w:rsidRDefault="00AE0FE0">
            <w:pPr>
              <w:pStyle w:val="NormalWeb"/>
            </w:pPr>
            <w:r>
              <w:t>(51.1)</w:t>
            </w:r>
          </w:p>
        </w:tc>
        <w:tc>
          <w:tcPr>
            <w:tcW w:w="0" w:type="auto"/>
            <w:tcMar>
              <w:top w:w="142" w:type="dxa"/>
              <w:left w:w="142" w:type="dxa"/>
              <w:bottom w:w="142" w:type="dxa"/>
              <w:right w:w="142" w:type="dxa"/>
            </w:tcMar>
            <w:hideMark/>
          </w:tcPr>
          <w:p w14:paraId="48343D89" w14:textId="77777777" w:rsidR="00AE0FE0" w:rsidRDefault="00AE0FE0">
            <w:pPr>
              <w:pStyle w:val="NormalWeb"/>
            </w:pPr>
            <w:r>
              <w:t>467</w:t>
            </w:r>
          </w:p>
        </w:tc>
        <w:tc>
          <w:tcPr>
            <w:tcW w:w="0" w:type="auto"/>
            <w:tcMar>
              <w:top w:w="142" w:type="dxa"/>
              <w:left w:w="142" w:type="dxa"/>
              <w:bottom w:w="142" w:type="dxa"/>
              <w:right w:w="142" w:type="dxa"/>
            </w:tcMar>
            <w:hideMark/>
          </w:tcPr>
          <w:p w14:paraId="17299254" w14:textId="77777777" w:rsidR="00AE0FE0" w:rsidRDefault="00AE0FE0">
            <w:pPr>
              <w:pStyle w:val="NormalWeb"/>
            </w:pPr>
            <w:r>
              <w:t>(46.7)</w:t>
            </w:r>
          </w:p>
        </w:tc>
      </w:tr>
      <w:tr w:rsidR="009525C9" w14:paraId="5A76898A"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580281A" w14:textId="77777777" w:rsidR="00AE0FE0" w:rsidRDefault="00AE0FE0">
            <w:pPr>
              <w:pStyle w:val="NormalWeb"/>
            </w:pPr>
            <w:r>
              <w:t>Pyrexia</w:t>
            </w:r>
          </w:p>
        </w:tc>
        <w:tc>
          <w:tcPr>
            <w:tcW w:w="0" w:type="auto"/>
            <w:tcMar>
              <w:top w:w="142" w:type="dxa"/>
              <w:left w:w="142" w:type="dxa"/>
              <w:bottom w:w="142" w:type="dxa"/>
              <w:right w:w="142" w:type="dxa"/>
            </w:tcMar>
            <w:hideMark/>
          </w:tcPr>
          <w:p w14:paraId="208F1589" w14:textId="77777777" w:rsidR="00AE0FE0" w:rsidRDefault="00AE0FE0">
            <w:pPr>
              <w:pStyle w:val="NormalWeb"/>
            </w:pPr>
            <w:r>
              <w:t>649</w:t>
            </w:r>
          </w:p>
        </w:tc>
        <w:tc>
          <w:tcPr>
            <w:tcW w:w="0" w:type="auto"/>
            <w:tcMar>
              <w:top w:w="142" w:type="dxa"/>
              <w:left w:w="142" w:type="dxa"/>
              <w:bottom w:w="142" w:type="dxa"/>
              <w:right w:w="142" w:type="dxa"/>
            </w:tcMar>
            <w:hideMark/>
          </w:tcPr>
          <w:p w14:paraId="2C39E311" w14:textId="77777777" w:rsidR="00AE0FE0" w:rsidRDefault="00AE0FE0">
            <w:pPr>
              <w:pStyle w:val="NormalWeb"/>
            </w:pPr>
            <w:r>
              <w:t>27</w:t>
            </w:r>
          </w:p>
        </w:tc>
        <w:tc>
          <w:tcPr>
            <w:tcW w:w="0" w:type="auto"/>
            <w:tcMar>
              <w:top w:w="142" w:type="dxa"/>
              <w:left w:w="142" w:type="dxa"/>
              <w:bottom w:w="142" w:type="dxa"/>
              <w:right w:w="142" w:type="dxa"/>
            </w:tcMar>
            <w:hideMark/>
          </w:tcPr>
          <w:p w14:paraId="43C8C2CA" w14:textId="77777777" w:rsidR="00AE0FE0" w:rsidRDefault="00AE0FE0">
            <w:pPr>
              <w:pStyle w:val="NormalWeb"/>
            </w:pPr>
            <w:r>
              <w:t>(4.2)</w:t>
            </w:r>
          </w:p>
        </w:tc>
        <w:tc>
          <w:tcPr>
            <w:tcW w:w="0" w:type="auto"/>
            <w:tcMar>
              <w:top w:w="142" w:type="dxa"/>
              <w:left w:w="142" w:type="dxa"/>
              <w:bottom w:w="142" w:type="dxa"/>
              <w:right w:w="142" w:type="dxa"/>
            </w:tcMar>
            <w:hideMark/>
          </w:tcPr>
          <w:p w14:paraId="07E5A165" w14:textId="77777777" w:rsidR="00AE0FE0" w:rsidRDefault="00AE0FE0">
            <w:pPr>
              <w:pStyle w:val="NormalWeb"/>
            </w:pPr>
            <w:r>
              <w:t>76</w:t>
            </w:r>
          </w:p>
        </w:tc>
        <w:tc>
          <w:tcPr>
            <w:tcW w:w="0" w:type="auto"/>
            <w:tcMar>
              <w:top w:w="142" w:type="dxa"/>
              <w:left w:w="142" w:type="dxa"/>
              <w:bottom w:w="142" w:type="dxa"/>
              <w:right w:w="142" w:type="dxa"/>
            </w:tcMar>
            <w:hideMark/>
          </w:tcPr>
          <w:p w14:paraId="0F6D4349" w14:textId="77777777" w:rsidR="00AE0FE0" w:rsidRDefault="00AE0FE0">
            <w:pPr>
              <w:pStyle w:val="NormalWeb"/>
            </w:pPr>
            <w:r>
              <w:t>(11.7)</w:t>
            </w:r>
          </w:p>
        </w:tc>
        <w:tc>
          <w:tcPr>
            <w:tcW w:w="0" w:type="auto"/>
            <w:tcMar>
              <w:top w:w="142" w:type="dxa"/>
              <w:left w:w="142" w:type="dxa"/>
              <w:bottom w:w="142" w:type="dxa"/>
              <w:right w:w="142" w:type="dxa"/>
            </w:tcMar>
            <w:hideMark/>
          </w:tcPr>
          <w:p w14:paraId="6DBB05B5" w14:textId="77777777" w:rsidR="00AE0FE0" w:rsidRDefault="00AE0FE0">
            <w:pPr>
              <w:pStyle w:val="NormalWeb"/>
            </w:pPr>
            <w:r>
              <w:t>415</w:t>
            </w:r>
          </w:p>
        </w:tc>
        <w:tc>
          <w:tcPr>
            <w:tcW w:w="0" w:type="auto"/>
            <w:tcMar>
              <w:top w:w="142" w:type="dxa"/>
              <w:left w:w="142" w:type="dxa"/>
              <w:bottom w:w="142" w:type="dxa"/>
              <w:right w:w="142" w:type="dxa"/>
            </w:tcMar>
            <w:hideMark/>
          </w:tcPr>
          <w:p w14:paraId="3AD6E7D1" w14:textId="77777777" w:rsidR="00AE0FE0" w:rsidRDefault="00AE0FE0">
            <w:pPr>
              <w:pStyle w:val="NormalWeb"/>
            </w:pPr>
            <w:r>
              <w:t>(63.9)</w:t>
            </w:r>
          </w:p>
        </w:tc>
        <w:tc>
          <w:tcPr>
            <w:tcW w:w="0" w:type="auto"/>
            <w:tcMar>
              <w:top w:w="142" w:type="dxa"/>
              <w:left w:w="142" w:type="dxa"/>
              <w:bottom w:w="142" w:type="dxa"/>
              <w:right w:w="142" w:type="dxa"/>
            </w:tcMar>
            <w:hideMark/>
          </w:tcPr>
          <w:p w14:paraId="61880887" w14:textId="77777777" w:rsidR="00AE0FE0" w:rsidRDefault="00AE0FE0">
            <w:pPr>
              <w:pStyle w:val="NormalWeb"/>
            </w:pPr>
            <w:r>
              <w:t>221</w:t>
            </w:r>
          </w:p>
        </w:tc>
        <w:tc>
          <w:tcPr>
            <w:tcW w:w="0" w:type="auto"/>
            <w:tcMar>
              <w:top w:w="142" w:type="dxa"/>
              <w:left w:w="142" w:type="dxa"/>
              <w:bottom w:w="142" w:type="dxa"/>
              <w:right w:w="142" w:type="dxa"/>
            </w:tcMar>
            <w:hideMark/>
          </w:tcPr>
          <w:p w14:paraId="3ABC0773" w14:textId="77777777" w:rsidR="00AE0FE0" w:rsidRDefault="00AE0FE0">
            <w:pPr>
              <w:pStyle w:val="NormalWeb"/>
            </w:pPr>
            <w:r>
              <w:t>(34.1)</w:t>
            </w:r>
          </w:p>
        </w:tc>
      </w:tr>
      <w:tr w:rsidR="00751C2F" w14:paraId="6E979447"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08746E8" w14:textId="77777777" w:rsidR="00AE0FE0" w:rsidRDefault="00AE0FE0">
            <w:pPr>
              <w:pStyle w:val="NormalWeb"/>
            </w:pPr>
            <w:r>
              <w:t>Rash***</w:t>
            </w:r>
          </w:p>
        </w:tc>
        <w:tc>
          <w:tcPr>
            <w:tcW w:w="0" w:type="auto"/>
            <w:tcMar>
              <w:top w:w="142" w:type="dxa"/>
              <w:left w:w="142" w:type="dxa"/>
              <w:bottom w:w="142" w:type="dxa"/>
              <w:right w:w="142" w:type="dxa"/>
            </w:tcMar>
            <w:hideMark/>
          </w:tcPr>
          <w:p w14:paraId="30B7E89B" w14:textId="77777777" w:rsidR="00AE0FE0" w:rsidRDefault="00AE0FE0">
            <w:pPr>
              <w:pStyle w:val="NormalWeb"/>
            </w:pPr>
            <w:r>
              <w:t>585</w:t>
            </w:r>
          </w:p>
        </w:tc>
        <w:tc>
          <w:tcPr>
            <w:tcW w:w="0" w:type="auto"/>
            <w:tcMar>
              <w:top w:w="142" w:type="dxa"/>
              <w:left w:w="142" w:type="dxa"/>
              <w:bottom w:w="142" w:type="dxa"/>
              <w:right w:w="142" w:type="dxa"/>
            </w:tcMar>
            <w:hideMark/>
          </w:tcPr>
          <w:p w14:paraId="1A63503D" w14:textId="77777777" w:rsidR="00AE0FE0" w:rsidRDefault="00AE0FE0">
            <w:pPr>
              <w:pStyle w:val="NormalWeb"/>
            </w:pPr>
            <w:r>
              <w:t>203</w:t>
            </w:r>
          </w:p>
        </w:tc>
        <w:tc>
          <w:tcPr>
            <w:tcW w:w="0" w:type="auto"/>
            <w:tcMar>
              <w:top w:w="142" w:type="dxa"/>
              <w:left w:w="142" w:type="dxa"/>
              <w:bottom w:w="142" w:type="dxa"/>
              <w:right w:w="142" w:type="dxa"/>
            </w:tcMar>
            <w:hideMark/>
          </w:tcPr>
          <w:p w14:paraId="6F09E409" w14:textId="77777777" w:rsidR="00AE0FE0" w:rsidRDefault="00AE0FE0">
            <w:pPr>
              <w:pStyle w:val="NormalWeb"/>
            </w:pPr>
            <w:r>
              <w:t>(34.7)</w:t>
            </w:r>
          </w:p>
        </w:tc>
        <w:tc>
          <w:tcPr>
            <w:tcW w:w="0" w:type="auto"/>
            <w:tcMar>
              <w:top w:w="142" w:type="dxa"/>
              <w:left w:w="142" w:type="dxa"/>
              <w:bottom w:w="142" w:type="dxa"/>
              <w:right w:w="142" w:type="dxa"/>
            </w:tcMar>
            <w:hideMark/>
          </w:tcPr>
          <w:p w14:paraId="697E3018" w14:textId="77777777" w:rsidR="00AE0FE0" w:rsidRDefault="00AE0FE0">
            <w:pPr>
              <w:pStyle w:val="NormalWeb"/>
            </w:pPr>
            <w:r>
              <w:t>54</w:t>
            </w:r>
          </w:p>
        </w:tc>
        <w:tc>
          <w:tcPr>
            <w:tcW w:w="0" w:type="auto"/>
            <w:tcMar>
              <w:top w:w="142" w:type="dxa"/>
              <w:left w:w="142" w:type="dxa"/>
              <w:bottom w:w="142" w:type="dxa"/>
              <w:right w:w="142" w:type="dxa"/>
            </w:tcMar>
            <w:hideMark/>
          </w:tcPr>
          <w:p w14:paraId="2907E841" w14:textId="77777777" w:rsidR="00AE0FE0" w:rsidRDefault="00AE0FE0">
            <w:pPr>
              <w:pStyle w:val="NormalWeb"/>
            </w:pPr>
            <w:r>
              <w:t>(9.2)</w:t>
            </w:r>
          </w:p>
        </w:tc>
        <w:tc>
          <w:tcPr>
            <w:tcW w:w="0" w:type="auto"/>
            <w:tcMar>
              <w:top w:w="142" w:type="dxa"/>
              <w:left w:w="142" w:type="dxa"/>
              <w:bottom w:w="142" w:type="dxa"/>
              <w:right w:w="142" w:type="dxa"/>
            </w:tcMar>
            <w:hideMark/>
          </w:tcPr>
          <w:p w14:paraId="2F65CFCB" w14:textId="77777777" w:rsidR="00AE0FE0" w:rsidRDefault="00AE0FE0">
            <w:pPr>
              <w:pStyle w:val="NormalWeb"/>
            </w:pPr>
            <w:r>
              <w:t>378</w:t>
            </w:r>
          </w:p>
        </w:tc>
        <w:tc>
          <w:tcPr>
            <w:tcW w:w="0" w:type="auto"/>
            <w:tcMar>
              <w:top w:w="142" w:type="dxa"/>
              <w:left w:w="142" w:type="dxa"/>
              <w:bottom w:w="142" w:type="dxa"/>
              <w:right w:w="142" w:type="dxa"/>
            </w:tcMar>
            <w:hideMark/>
          </w:tcPr>
          <w:p w14:paraId="6FE171D7" w14:textId="77777777" w:rsidR="00AE0FE0" w:rsidRDefault="00AE0FE0">
            <w:pPr>
              <w:pStyle w:val="NormalWeb"/>
            </w:pPr>
            <w:r>
              <w:t>(64.6)</w:t>
            </w:r>
          </w:p>
        </w:tc>
        <w:tc>
          <w:tcPr>
            <w:tcW w:w="0" w:type="auto"/>
            <w:tcMar>
              <w:top w:w="142" w:type="dxa"/>
              <w:left w:w="142" w:type="dxa"/>
              <w:bottom w:w="142" w:type="dxa"/>
              <w:right w:w="142" w:type="dxa"/>
            </w:tcMar>
            <w:hideMark/>
          </w:tcPr>
          <w:p w14:paraId="36D92FCE" w14:textId="77777777" w:rsidR="00AE0FE0" w:rsidRDefault="00AE0FE0">
            <w:pPr>
              <w:pStyle w:val="NormalWeb"/>
            </w:pPr>
            <w:r>
              <w:t>191</w:t>
            </w:r>
          </w:p>
        </w:tc>
        <w:tc>
          <w:tcPr>
            <w:tcW w:w="0" w:type="auto"/>
            <w:tcMar>
              <w:top w:w="142" w:type="dxa"/>
              <w:left w:w="142" w:type="dxa"/>
              <w:bottom w:w="142" w:type="dxa"/>
              <w:right w:w="142" w:type="dxa"/>
            </w:tcMar>
            <w:hideMark/>
          </w:tcPr>
          <w:p w14:paraId="450BBE7D" w14:textId="77777777" w:rsidR="00AE0FE0" w:rsidRDefault="00AE0FE0">
            <w:pPr>
              <w:pStyle w:val="NormalWeb"/>
            </w:pPr>
            <w:r>
              <w:t>(32.6)</w:t>
            </w:r>
          </w:p>
        </w:tc>
      </w:tr>
      <w:tr w:rsidR="009525C9" w14:paraId="2CE08B62"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82063F3" w14:textId="77777777" w:rsidR="00AE0FE0" w:rsidRDefault="00AE0FE0">
            <w:pPr>
              <w:pStyle w:val="NormalWeb"/>
            </w:pPr>
            <w:r>
              <w:t>Vomiting</w:t>
            </w:r>
          </w:p>
        </w:tc>
        <w:tc>
          <w:tcPr>
            <w:tcW w:w="0" w:type="auto"/>
            <w:tcMar>
              <w:top w:w="142" w:type="dxa"/>
              <w:left w:w="142" w:type="dxa"/>
              <w:bottom w:w="142" w:type="dxa"/>
              <w:right w:w="142" w:type="dxa"/>
            </w:tcMar>
            <w:hideMark/>
          </w:tcPr>
          <w:p w14:paraId="1DA73A5F" w14:textId="77777777" w:rsidR="00AE0FE0" w:rsidRDefault="00AE0FE0">
            <w:pPr>
              <w:pStyle w:val="NormalWeb"/>
            </w:pPr>
            <w:r>
              <w:t>281</w:t>
            </w:r>
          </w:p>
        </w:tc>
        <w:tc>
          <w:tcPr>
            <w:tcW w:w="0" w:type="auto"/>
            <w:tcMar>
              <w:top w:w="142" w:type="dxa"/>
              <w:left w:w="142" w:type="dxa"/>
              <w:bottom w:w="142" w:type="dxa"/>
              <w:right w:w="142" w:type="dxa"/>
            </w:tcMar>
            <w:hideMark/>
          </w:tcPr>
          <w:p w14:paraId="337700DD" w14:textId="77777777" w:rsidR="00AE0FE0" w:rsidRDefault="00AE0FE0">
            <w:pPr>
              <w:pStyle w:val="NormalWeb"/>
            </w:pPr>
            <w:r>
              <w:t>15</w:t>
            </w:r>
          </w:p>
        </w:tc>
        <w:tc>
          <w:tcPr>
            <w:tcW w:w="0" w:type="auto"/>
            <w:tcMar>
              <w:top w:w="142" w:type="dxa"/>
              <w:left w:w="142" w:type="dxa"/>
              <w:bottom w:w="142" w:type="dxa"/>
              <w:right w:w="142" w:type="dxa"/>
            </w:tcMar>
            <w:hideMark/>
          </w:tcPr>
          <w:p w14:paraId="7768FA85" w14:textId="77777777" w:rsidR="00AE0FE0" w:rsidRDefault="00AE0FE0">
            <w:pPr>
              <w:pStyle w:val="NormalWeb"/>
            </w:pPr>
            <w:r>
              <w:t>(5.3)</w:t>
            </w:r>
          </w:p>
        </w:tc>
        <w:tc>
          <w:tcPr>
            <w:tcW w:w="0" w:type="auto"/>
            <w:tcMar>
              <w:top w:w="142" w:type="dxa"/>
              <w:left w:w="142" w:type="dxa"/>
              <w:bottom w:w="142" w:type="dxa"/>
              <w:right w:w="142" w:type="dxa"/>
            </w:tcMar>
            <w:hideMark/>
          </w:tcPr>
          <w:p w14:paraId="115FB129" w14:textId="77777777" w:rsidR="00AE0FE0" w:rsidRDefault="00AE0FE0">
            <w:pPr>
              <w:pStyle w:val="NormalWeb"/>
            </w:pPr>
            <w:r>
              <w:t>32</w:t>
            </w:r>
          </w:p>
        </w:tc>
        <w:tc>
          <w:tcPr>
            <w:tcW w:w="0" w:type="auto"/>
            <w:tcMar>
              <w:top w:w="142" w:type="dxa"/>
              <w:left w:w="142" w:type="dxa"/>
              <w:bottom w:w="142" w:type="dxa"/>
              <w:right w:w="142" w:type="dxa"/>
            </w:tcMar>
            <w:hideMark/>
          </w:tcPr>
          <w:p w14:paraId="1F1C3AA7" w14:textId="77777777" w:rsidR="00AE0FE0" w:rsidRDefault="00AE0FE0">
            <w:pPr>
              <w:pStyle w:val="NormalWeb"/>
            </w:pPr>
            <w:r>
              <w:t>(11.4)</w:t>
            </w:r>
          </w:p>
        </w:tc>
        <w:tc>
          <w:tcPr>
            <w:tcW w:w="0" w:type="auto"/>
            <w:tcMar>
              <w:top w:w="142" w:type="dxa"/>
              <w:left w:w="142" w:type="dxa"/>
              <w:bottom w:w="142" w:type="dxa"/>
              <w:right w:w="142" w:type="dxa"/>
            </w:tcMar>
            <w:hideMark/>
          </w:tcPr>
          <w:p w14:paraId="1902DA75" w14:textId="77777777" w:rsidR="00AE0FE0" w:rsidRDefault="00AE0FE0">
            <w:pPr>
              <w:pStyle w:val="NormalWeb"/>
            </w:pPr>
            <w:r>
              <w:t>156</w:t>
            </w:r>
          </w:p>
        </w:tc>
        <w:tc>
          <w:tcPr>
            <w:tcW w:w="0" w:type="auto"/>
            <w:tcMar>
              <w:top w:w="142" w:type="dxa"/>
              <w:left w:w="142" w:type="dxa"/>
              <w:bottom w:w="142" w:type="dxa"/>
              <w:right w:w="142" w:type="dxa"/>
            </w:tcMar>
            <w:hideMark/>
          </w:tcPr>
          <w:p w14:paraId="1D83806A" w14:textId="77777777" w:rsidR="00AE0FE0" w:rsidRDefault="00AE0FE0">
            <w:pPr>
              <w:pStyle w:val="NormalWeb"/>
            </w:pPr>
            <w:r>
              <w:t>(55.5)</w:t>
            </w:r>
          </w:p>
        </w:tc>
        <w:tc>
          <w:tcPr>
            <w:tcW w:w="0" w:type="auto"/>
            <w:tcMar>
              <w:top w:w="142" w:type="dxa"/>
              <w:left w:w="142" w:type="dxa"/>
              <w:bottom w:w="142" w:type="dxa"/>
              <w:right w:w="142" w:type="dxa"/>
            </w:tcMar>
            <w:hideMark/>
          </w:tcPr>
          <w:p w14:paraId="58E2280A" w14:textId="77777777" w:rsidR="00AE0FE0" w:rsidRDefault="00AE0FE0">
            <w:pPr>
              <w:pStyle w:val="NormalWeb"/>
            </w:pPr>
            <w:r>
              <w:t>119</w:t>
            </w:r>
          </w:p>
        </w:tc>
        <w:tc>
          <w:tcPr>
            <w:tcW w:w="0" w:type="auto"/>
            <w:tcMar>
              <w:top w:w="142" w:type="dxa"/>
              <w:left w:w="142" w:type="dxa"/>
              <w:bottom w:w="142" w:type="dxa"/>
              <w:right w:w="142" w:type="dxa"/>
            </w:tcMar>
            <w:hideMark/>
          </w:tcPr>
          <w:p w14:paraId="7726F70C" w14:textId="77777777" w:rsidR="00AE0FE0" w:rsidRDefault="00AE0FE0">
            <w:pPr>
              <w:pStyle w:val="NormalWeb"/>
            </w:pPr>
            <w:r>
              <w:t>(42.3)</w:t>
            </w:r>
          </w:p>
        </w:tc>
      </w:tr>
      <w:tr w:rsidR="00751C2F" w14:paraId="1B716F19"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D500A8A" w14:textId="77777777" w:rsidR="00AE0FE0" w:rsidRDefault="00AE0FE0">
            <w:pPr>
              <w:pStyle w:val="NormalWeb"/>
            </w:pPr>
            <w:r>
              <w:t>Extensive limb swelling</w:t>
            </w:r>
          </w:p>
        </w:tc>
        <w:tc>
          <w:tcPr>
            <w:tcW w:w="0" w:type="auto"/>
            <w:tcMar>
              <w:top w:w="142" w:type="dxa"/>
              <w:left w:w="142" w:type="dxa"/>
              <w:bottom w:w="142" w:type="dxa"/>
              <w:right w:w="142" w:type="dxa"/>
            </w:tcMar>
            <w:hideMark/>
          </w:tcPr>
          <w:p w14:paraId="42B1251A" w14:textId="77777777" w:rsidR="00AE0FE0" w:rsidRDefault="00AE0FE0">
            <w:pPr>
              <w:pStyle w:val="NormalWeb"/>
            </w:pPr>
            <w:r>
              <w:t>257</w:t>
            </w:r>
          </w:p>
        </w:tc>
        <w:tc>
          <w:tcPr>
            <w:tcW w:w="0" w:type="auto"/>
            <w:tcMar>
              <w:top w:w="142" w:type="dxa"/>
              <w:left w:w="142" w:type="dxa"/>
              <w:bottom w:w="142" w:type="dxa"/>
              <w:right w:w="142" w:type="dxa"/>
            </w:tcMar>
            <w:hideMark/>
          </w:tcPr>
          <w:p w14:paraId="20E92F8A" w14:textId="77777777" w:rsidR="00AE0FE0" w:rsidRDefault="00AE0FE0">
            <w:pPr>
              <w:pStyle w:val="NormalWeb"/>
            </w:pPr>
            <w:r>
              <w:t>170</w:t>
            </w:r>
          </w:p>
        </w:tc>
        <w:tc>
          <w:tcPr>
            <w:tcW w:w="0" w:type="auto"/>
            <w:tcMar>
              <w:top w:w="142" w:type="dxa"/>
              <w:left w:w="142" w:type="dxa"/>
              <w:bottom w:w="142" w:type="dxa"/>
              <w:right w:w="142" w:type="dxa"/>
            </w:tcMar>
            <w:hideMark/>
          </w:tcPr>
          <w:p w14:paraId="2CD1737C" w14:textId="77777777" w:rsidR="00AE0FE0" w:rsidRDefault="00AE0FE0">
            <w:pPr>
              <w:pStyle w:val="NormalWeb"/>
            </w:pPr>
            <w:r>
              <w:t>(66.1)</w:t>
            </w:r>
          </w:p>
        </w:tc>
        <w:tc>
          <w:tcPr>
            <w:tcW w:w="0" w:type="auto"/>
            <w:tcMar>
              <w:top w:w="142" w:type="dxa"/>
              <w:left w:w="142" w:type="dxa"/>
              <w:bottom w:w="142" w:type="dxa"/>
              <w:right w:w="142" w:type="dxa"/>
            </w:tcMar>
            <w:hideMark/>
          </w:tcPr>
          <w:p w14:paraId="7A483848" w14:textId="77777777" w:rsidR="00AE0FE0" w:rsidRDefault="00AE0FE0">
            <w:pPr>
              <w:pStyle w:val="NormalWeb"/>
            </w:pPr>
            <w:r>
              <w:t>9</w:t>
            </w:r>
          </w:p>
        </w:tc>
        <w:tc>
          <w:tcPr>
            <w:tcW w:w="0" w:type="auto"/>
            <w:tcMar>
              <w:top w:w="142" w:type="dxa"/>
              <w:left w:w="142" w:type="dxa"/>
              <w:bottom w:w="142" w:type="dxa"/>
              <w:right w:w="142" w:type="dxa"/>
            </w:tcMar>
            <w:hideMark/>
          </w:tcPr>
          <w:p w14:paraId="3FA41300" w14:textId="77777777" w:rsidR="00AE0FE0" w:rsidRDefault="00AE0FE0">
            <w:pPr>
              <w:pStyle w:val="NormalWeb"/>
            </w:pPr>
            <w:r>
              <w:t>(3.5)</w:t>
            </w:r>
          </w:p>
        </w:tc>
        <w:tc>
          <w:tcPr>
            <w:tcW w:w="0" w:type="auto"/>
            <w:tcMar>
              <w:top w:w="142" w:type="dxa"/>
              <w:left w:w="142" w:type="dxa"/>
              <w:bottom w:w="142" w:type="dxa"/>
              <w:right w:w="142" w:type="dxa"/>
            </w:tcMar>
            <w:hideMark/>
          </w:tcPr>
          <w:p w14:paraId="1479AFC2" w14:textId="77777777" w:rsidR="00AE0FE0" w:rsidRDefault="00AE0FE0">
            <w:pPr>
              <w:pStyle w:val="NormalWeb"/>
            </w:pPr>
            <w:r>
              <w:t>166</w:t>
            </w:r>
          </w:p>
        </w:tc>
        <w:tc>
          <w:tcPr>
            <w:tcW w:w="0" w:type="auto"/>
            <w:tcMar>
              <w:top w:w="142" w:type="dxa"/>
              <w:left w:w="142" w:type="dxa"/>
              <w:bottom w:w="142" w:type="dxa"/>
              <w:right w:w="142" w:type="dxa"/>
            </w:tcMar>
            <w:hideMark/>
          </w:tcPr>
          <w:p w14:paraId="1B586744" w14:textId="77777777" w:rsidR="00AE0FE0" w:rsidRDefault="00AE0FE0">
            <w:pPr>
              <w:pStyle w:val="NormalWeb"/>
            </w:pPr>
            <w:r>
              <w:t>(64.6)</w:t>
            </w:r>
          </w:p>
        </w:tc>
        <w:tc>
          <w:tcPr>
            <w:tcW w:w="0" w:type="auto"/>
            <w:tcMar>
              <w:top w:w="142" w:type="dxa"/>
              <w:left w:w="142" w:type="dxa"/>
              <w:bottom w:w="142" w:type="dxa"/>
              <w:right w:w="142" w:type="dxa"/>
            </w:tcMar>
            <w:hideMark/>
          </w:tcPr>
          <w:p w14:paraId="297E619D" w14:textId="77777777" w:rsidR="00AE0FE0" w:rsidRDefault="00AE0FE0">
            <w:pPr>
              <w:pStyle w:val="NormalWeb"/>
            </w:pPr>
            <w:r>
              <w:t>90</w:t>
            </w:r>
          </w:p>
        </w:tc>
        <w:tc>
          <w:tcPr>
            <w:tcW w:w="0" w:type="auto"/>
            <w:tcMar>
              <w:top w:w="142" w:type="dxa"/>
              <w:left w:w="142" w:type="dxa"/>
              <w:bottom w:w="142" w:type="dxa"/>
              <w:right w:w="142" w:type="dxa"/>
            </w:tcMar>
            <w:hideMark/>
          </w:tcPr>
          <w:p w14:paraId="70738991" w14:textId="77777777" w:rsidR="00AE0FE0" w:rsidRDefault="00AE0FE0">
            <w:pPr>
              <w:pStyle w:val="NormalWeb"/>
            </w:pPr>
            <w:r>
              <w:t>(35.0)</w:t>
            </w:r>
          </w:p>
        </w:tc>
      </w:tr>
      <w:tr w:rsidR="009525C9" w14:paraId="7A7E3A9E"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9BFC974" w14:textId="77777777" w:rsidR="00AE0FE0" w:rsidRDefault="00AE0FE0">
            <w:pPr>
              <w:pStyle w:val="NormalWeb"/>
            </w:pPr>
            <w:r>
              <w:t>Headache</w:t>
            </w:r>
          </w:p>
        </w:tc>
        <w:tc>
          <w:tcPr>
            <w:tcW w:w="0" w:type="auto"/>
            <w:tcMar>
              <w:top w:w="142" w:type="dxa"/>
              <w:left w:w="142" w:type="dxa"/>
              <w:bottom w:w="142" w:type="dxa"/>
              <w:right w:w="142" w:type="dxa"/>
            </w:tcMar>
            <w:hideMark/>
          </w:tcPr>
          <w:p w14:paraId="7DA049E5" w14:textId="77777777" w:rsidR="00AE0FE0" w:rsidRDefault="00AE0FE0">
            <w:pPr>
              <w:pStyle w:val="NormalWeb"/>
            </w:pPr>
            <w:r>
              <w:t>240</w:t>
            </w:r>
          </w:p>
        </w:tc>
        <w:tc>
          <w:tcPr>
            <w:tcW w:w="0" w:type="auto"/>
            <w:tcMar>
              <w:top w:w="142" w:type="dxa"/>
              <w:left w:w="142" w:type="dxa"/>
              <w:bottom w:w="142" w:type="dxa"/>
              <w:right w:w="142" w:type="dxa"/>
            </w:tcMar>
            <w:hideMark/>
          </w:tcPr>
          <w:p w14:paraId="093FBF78" w14:textId="77777777" w:rsidR="00AE0FE0" w:rsidRDefault="00AE0FE0">
            <w:pPr>
              <w:pStyle w:val="NormalWeb"/>
            </w:pPr>
            <w:r>
              <w:t>3</w:t>
            </w:r>
          </w:p>
        </w:tc>
        <w:tc>
          <w:tcPr>
            <w:tcW w:w="0" w:type="auto"/>
            <w:tcMar>
              <w:top w:w="142" w:type="dxa"/>
              <w:left w:w="142" w:type="dxa"/>
              <w:bottom w:w="142" w:type="dxa"/>
              <w:right w:w="142" w:type="dxa"/>
            </w:tcMar>
            <w:hideMark/>
          </w:tcPr>
          <w:p w14:paraId="6DA11A02" w14:textId="77777777" w:rsidR="00AE0FE0" w:rsidRDefault="00AE0FE0">
            <w:pPr>
              <w:pStyle w:val="NormalWeb"/>
            </w:pPr>
            <w:r>
              <w:t>(1.3)</w:t>
            </w:r>
          </w:p>
        </w:tc>
        <w:tc>
          <w:tcPr>
            <w:tcW w:w="0" w:type="auto"/>
            <w:tcMar>
              <w:top w:w="142" w:type="dxa"/>
              <w:left w:w="142" w:type="dxa"/>
              <w:bottom w:w="142" w:type="dxa"/>
              <w:right w:w="142" w:type="dxa"/>
            </w:tcMar>
            <w:hideMark/>
          </w:tcPr>
          <w:p w14:paraId="586FC080" w14:textId="77777777" w:rsidR="00AE0FE0" w:rsidRDefault="00AE0FE0">
            <w:pPr>
              <w:pStyle w:val="NormalWeb"/>
            </w:pPr>
            <w:r>
              <w:t>18</w:t>
            </w:r>
          </w:p>
        </w:tc>
        <w:tc>
          <w:tcPr>
            <w:tcW w:w="0" w:type="auto"/>
            <w:tcMar>
              <w:top w:w="142" w:type="dxa"/>
              <w:left w:w="142" w:type="dxa"/>
              <w:bottom w:w="142" w:type="dxa"/>
              <w:right w:w="142" w:type="dxa"/>
            </w:tcMar>
            <w:hideMark/>
          </w:tcPr>
          <w:p w14:paraId="5238DF6B" w14:textId="77777777" w:rsidR="00AE0FE0" w:rsidRDefault="00AE0FE0">
            <w:pPr>
              <w:pStyle w:val="NormalWeb"/>
            </w:pPr>
            <w:r>
              <w:t>(7.5)</w:t>
            </w:r>
          </w:p>
        </w:tc>
        <w:tc>
          <w:tcPr>
            <w:tcW w:w="0" w:type="auto"/>
            <w:tcMar>
              <w:top w:w="142" w:type="dxa"/>
              <w:left w:w="142" w:type="dxa"/>
              <w:bottom w:w="142" w:type="dxa"/>
              <w:right w:w="142" w:type="dxa"/>
            </w:tcMar>
            <w:hideMark/>
          </w:tcPr>
          <w:p w14:paraId="6ADFDB71" w14:textId="77777777" w:rsidR="00AE0FE0" w:rsidRDefault="00AE0FE0">
            <w:pPr>
              <w:pStyle w:val="NormalWeb"/>
            </w:pPr>
            <w:r>
              <w:t>19</w:t>
            </w:r>
          </w:p>
        </w:tc>
        <w:tc>
          <w:tcPr>
            <w:tcW w:w="0" w:type="auto"/>
            <w:tcMar>
              <w:top w:w="142" w:type="dxa"/>
              <w:left w:w="142" w:type="dxa"/>
              <w:bottom w:w="142" w:type="dxa"/>
              <w:right w:w="142" w:type="dxa"/>
            </w:tcMar>
            <w:hideMark/>
          </w:tcPr>
          <w:p w14:paraId="28F27A82" w14:textId="77777777" w:rsidR="00AE0FE0" w:rsidRDefault="00AE0FE0">
            <w:pPr>
              <w:pStyle w:val="NormalWeb"/>
            </w:pPr>
            <w:r>
              <w:t>(7.9)</w:t>
            </w:r>
          </w:p>
        </w:tc>
        <w:tc>
          <w:tcPr>
            <w:tcW w:w="0" w:type="auto"/>
            <w:tcMar>
              <w:top w:w="142" w:type="dxa"/>
              <w:left w:w="142" w:type="dxa"/>
              <w:bottom w:w="142" w:type="dxa"/>
              <w:right w:w="142" w:type="dxa"/>
            </w:tcMar>
            <w:hideMark/>
          </w:tcPr>
          <w:p w14:paraId="79529BD3" w14:textId="77777777" w:rsidR="00AE0FE0" w:rsidRDefault="00AE0FE0">
            <w:pPr>
              <w:pStyle w:val="NormalWeb"/>
            </w:pPr>
            <w:r>
              <w:t>207</w:t>
            </w:r>
          </w:p>
        </w:tc>
        <w:tc>
          <w:tcPr>
            <w:tcW w:w="0" w:type="auto"/>
            <w:tcMar>
              <w:top w:w="142" w:type="dxa"/>
              <w:left w:w="142" w:type="dxa"/>
              <w:bottom w:w="142" w:type="dxa"/>
              <w:right w:w="142" w:type="dxa"/>
            </w:tcMar>
            <w:hideMark/>
          </w:tcPr>
          <w:p w14:paraId="7130DC3E" w14:textId="77777777" w:rsidR="00AE0FE0" w:rsidRDefault="00AE0FE0">
            <w:pPr>
              <w:pStyle w:val="NormalWeb"/>
            </w:pPr>
            <w:r>
              <w:t>(86.3)</w:t>
            </w:r>
          </w:p>
        </w:tc>
      </w:tr>
      <w:tr w:rsidR="00751C2F" w14:paraId="03340C84"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79BC897" w14:textId="77777777" w:rsidR="00AE0FE0" w:rsidRDefault="00AE0FE0">
            <w:pPr>
              <w:pStyle w:val="NormalWeb"/>
            </w:pPr>
            <w:r>
              <w:t>Pain</w:t>
            </w:r>
          </w:p>
        </w:tc>
        <w:tc>
          <w:tcPr>
            <w:tcW w:w="0" w:type="auto"/>
            <w:tcMar>
              <w:top w:w="142" w:type="dxa"/>
              <w:left w:w="142" w:type="dxa"/>
              <w:bottom w:w="142" w:type="dxa"/>
              <w:right w:w="142" w:type="dxa"/>
            </w:tcMar>
            <w:hideMark/>
          </w:tcPr>
          <w:p w14:paraId="0E6B392D" w14:textId="77777777" w:rsidR="00AE0FE0" w:rsidRDefault="00AE0FE0">
            <w:pPr>
              <w:pStyle w:val="NormalWeb"/>
            </w:pPr>
            <w:r>
              <w:t>188</w:t>
            </w:r>
          </w:p>
        </w:tc>
        <w:tc>
          <w:tcPr>
            <w:tcW w:w="0" w:type="auto"/>
            <w:tcMar>
              <w:top w:w="142" w:type="dxa"/>
              <w:left w:w="142" w:type="dxa"/>
              <w:bottom w:w="142" w:type="dxa"/>
              <w:right w:w="142" w:type="dxa"/>
            </w:tcMar>
            <w:hideMark/>
          </w:tcPr>
          <w:p w14:paraId="427D318A" w14:textId="77777777" w:rsidR="00AE0FE0" w:rsidRDefault="00AE0FE0">
            <w:pPr>
              <w:pStyle w:val="NormalWeb"/>
            </w:pPr>
            <w:r>
              <w:t>16</w:t>
            </w:r>
          </w:p>
        </w:tc>
        <w:tc>
          <w:tcPr>
            <w:tcW w:w="0" w:type="auto"/>
            <w:tcMar>
              <w:top w:w="142" w:type="dxa"/>
              <w:left w:w="142" w:type="dxa"/>
              <w:bottom w:w="142" w:type="dxa"/>
              <w:right w:w="142" w:type="dxa"/>
            </w:tcMar>
            <w:hideMark/>
          </w:tcPr>
          <w:p w14:paraId="57E24BD4" w14:textId="77777777" w:rsidR="00AE0FE0" w:rsidRDefault="00AE0FE0">
            <w:pPr>
              <w:pStyle w:val="NormalWeb"/>
            </w:pPr>
            <w:r>
              <w:t>(8.5)</w:t>
            </w:r>
          </w:p>
        </w:tc>
        <w:tc>
          <w:tcPr>
            <w:tcW w:w="0" w:type="auto"/>
            <w:tcMar>
              <w:top w:w="142" w:type="dxa"/>
              <w:left w:w="142" w:type="dxa"/>
              <w:bottom w:w="142" w:type="dxa"/>
              <w:right w:w="142" w:type="dxa"/>
            </w:tcMar>
            <w:hideMark/>
          </w:tcPr>
          <w:p w14:paraId="1F83F5E9" w14:textId="77777777" w:rsidR="00AE0FE0" w:rsidRDefault="00AE0FE0">
            <w:pPr>
              <w:pStyle w:val="NormalWeb"/>
            </w:pPr>
            <w:r>
              <w:t>12</w:t>
            </w:r>
          </w:p>
        </w:tc>
        <w:tc>
          <w:tcPr>
            <w:tcW w:w="0" w:type="auto"/>
            <w:tcMar>
              <w:top w:w="142" w:type="dxa"/>
              <w:left w:w="142" w:type="dxa"/>
              <w:bottom w:w="142" w:type="dxa"/>
              <w:right w:w="142" w:type="dxa"/>
            </w:tcMar>
            <w:hideMark/>
          </w:tcPr>
          <w:p w14:paraId="247DA2B8" w14:textId="77777777" w:rsidR="00AE0FE0" w:rsidRDefault="00AE0FE0">
            <w:pPr>
              <w:pStyle w:val="NormalWeb"/>
            </w:pPr>
            <w:r>
              <w:t>(6.4)</w:t>
            </w:r>
          </w:p>
        </w:tc>
        <w:tc>
          <w:tcPr>
            <w:tcW w:w="0" w:type="auto"/>
            <w:tcMar>
              <w:top w:w="142" w:type="dxa"/>
              <w:left w:w="142" w:type="dxa"/>
              <w:bottom w:w="142" w:type="dxa"/>
              <w:right w:w="142" w:type="dxa"/>
            </w:tcMar>
            <w:hideMark/>
          </w:tcPr>
          <w:p w14:paraId="02D833BB" w14:textId="77777777" w:rsidR="00AE0FE0" w:rsidRDefault="00AE0FE0">
            <w:pPr>
              <w:pStyle w:val="NormalWeb"/>
            </w:pPr>
            <w:r>
              <w:t>29</w:t>
            </w:r>
          </w:p>
        </w:tc>
        <w:tc>
          <w:tcPr>
            <w:tcW w:w="0" w:type="auto"/>
            <w:tcMar>
              <w:top w:w="142" w:type="dxa"/>
              <w:left w:w="142" w:type="dxa"/>
              <w:bottom w:w="142" w:type="dxa"/>
              <w:right w:w="142" w:type="dxa"/>
            </w:tcMar>
            <w:hideMark/>
          </w:tcPr>
          <w:p w14:paraId="3B4539F7" w14:textId="77777777" w:rsidR="00AE0FE0" w:rsidRDefault="00AE0FE0">
            <w:pPr>
              <w:pStyle w:val="NormalWeb"/>
            </w:pPr>
            <w:r>
              <w:t>(15.4)</w:t>
            </w:r>
          </w:p>
        </w:tc>
        <w:tc>
          <w:tcPr>
            <w:tcW w:w="0" w:type="auto"/>
            <w:tcMar>
              <w:top w:w="142" w:type="dxa"/>
              <w:left w:w="142" w:type="dxa"/>
              <w:bottom w:w="142" w:type="dxa"/>
              <w:right w:w="142" w:type="dxa"/>
            </w:tcMar>
            <w:hideMark/>
          </w:tcPr>
          <w:p w14:paraId="69CD98F0" w14:textId="77777777" w:rsidR="00AE0FE0" w:rsidRDefault="00AE0FE0">
            <w:pPr>
              <w:pStyle w:val="NormalWeb"/>
            </w:pPr>
            <w:r>
              <w:t>151</w:t>
            </w:r>
          </w:p>
        </w:tc>
        <w:tc>
          <w:tcPr>
            <w:tcW w:w="0" w:type="auto"/>
            <w:tcMar>
              <w:top w:w="142" w:type="dxa"/>
              <w:left w:w="142" w:type="dxa"/>
              <w:bottom w:w="142" w:type="dxa"/>
              <w:right w:w="142" w:type="dxa"/>
            </w:tcMar>
            <w:hideMark/>
          </w:tcPr>
          <w:p w14:paraId="0F7128B9" w14:textId="77777777" w:rsidR="00AE0FE0" w:rsidRDefault="00AE0FE0">
            <w:pPr>
              <w:pStyle w:val="NormalWeb"/>
            </w:pPr>
            <w:r>
              <w:t>(80.3)</w:t>
            </w:r>
          </w:p>
        </w:tc>
      </w:tr>
      <w:tr w:rsidR="009525C9" w14:paraId="002B5479"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ED0C61E" w14:textId="77777777" w:rsidR="00AE0FE0" w:rsidRDefault="00AE0FE0">
            <w:pPr>
              <w:pStyle w:val="NormalWeb"/>
            </w:pPr>
            <w:r>
              <w:t>Diarrhoea</w:t>
            </w:r>
          </w:p>
        </w:tc>
        <w:tc>
          <w:tcPr>
            <w:tcW w:w="0" w:type="auto"/>
            <w:tcMar>
              <w:top w:w="142" w:type="dxa"/>
              <w:left w:w="142" w:type="dxa"/>
              <w:bottom w:w="142" w:type="dxa"/>
              <w:right w:w="142" w:type="dxa"/>
            </w:tcMar>
            <w:hideMark/>
          </w:tcPr>
          <w:p w14:paraId="2A4D6683" w14:textId="77777777" w:rsidR="00AE0FE0" w:rsidRDefault="00AE0FE0">
            <w:pPr>
              <w:pStyle w:val="NormalWeb"/>
            </w:pPr>
            <w:r>
              <w:t>168</w:t>
            </w:r>
          </w:p>
        </w:tc>
        <w:tc>
          <w:tcPr>
            <w:tcW w:w="0" w:type="auto"/>
            <w:tcMar>
              <w:top w:w="142" w:type="dxa"/>
              <w:left w:w="142" w:type="dxa"/>
              <w:bottom w:w="142" w:type="dxa"/>
              <w:right w:w="142" w:type="dxa"/>
            </w:tcMar>
            <w:hideMark/>
          </w:tcPr>
          <w:p w14:paraId="7662727F" w14:textId="77777777" w:rsidR="00AE0FE0" w:rsidRDefault="00AE0FE0">
            <w:pPr>
              <w:pStyle w:val="NormalWeb"/>
            </w:pPr>
            <w:r>
              <w:t>14</w:t>
            </w:r>
          </w:p>
        </w:tc>
        <w:tc>
          <w:tcPr>
            <w:tcW w:w="0" w:type="auto"/>
            <w:tcMar>
              <w:top w:w="142" w:type="dxa"/>
              <w:left w:w="142" w:type="dxa"/>
              <w:bottom w:w="142" w:type="dxa"/>
              <w:right w:w="142" w:type="dxa"/>
            </w:tcMar>
            <w:hideMark/>
          </w:tcPr>
          <w:p w14:paraId="39CF7A35" w14:textId="77777777" w:rsidR="00AE0FE0" w:rsidRDefault="00AE0FE0">
            <w:pPr>
              <w:pStyle w:val="NormalWeb"/>
            </w:pPr>
            <w:r>
              <w:t>(8.3)</w:t>
            </w:r>
          </w:p>
        </w:tc>
        <w:tc>
          <w:tcPr>
            <w:tcW w:w="0" w:type="auto"/>
            <w:tcMar>
              <w:top w:w="142" w:type="dxa"/>
              <w:left w:w="142" w:type="dxa"/>
              <w:bottom w:w="142" w:type="dxa"/>
              <w:right w:w="142" w:type="dxa"/>
            </w:tcMar>
            <w:hideMark/>
          </w:tcPr>
          <w:p w14:paraId="679017B2" w14:textId="77777777" w:rsidR="00AE0FE0" w:rsidRDefault="00AE0FE0">
            <w:pPr>
              <w:pStyle w:val="NormalWeb"/>
            </w:pPr>
            <w:r>
              <w:t>24</w:t>
            </w:r>
          </w:p>
        </w:tc>
        <w:tc>
          <w:tcPr>
            <w:tcW w:w="0" w:type="auto"/>
            <w:tcMar>
              <w:top w:w="142" w:type="dxa"/>
              <w:left w:w="142" w:type="dxa"/>
              <w:bottom w:w="142" w:type="dxa"/>
              <w:right w:w="142" w:type="dxa"/>
            </w:tcMar>
            <w:hideMark/>
          </w:tcPr>
          <w:p w14:paraId="1DE9FCB4" w14:textId="77777777" w:rsidR="00AE0FE0" w:rsidRDefault="00AE0FE0">
            <w:pPr>
              <w:pStyle w:val="NormalWeb"/>
            </w:pPr>
            <w:r>
              <w:t>(14.3)</w:t>
            </w:r>
          </w:p>
        </w:tc>
        <w:tc>
          <w:tcPr>
            <w:tcW w:w="0" w:type="auto"/>
            <w:tcMar>
              <w:top w:w="142" w:type="dxa"/>
              <w:left w:w="142" w:type="dxa"/>
              <w:bottom w:w="142" w:type="dxa"/>
              <w:right w:w="142" w:type="dxa"/>
            </w:tcMar>
            <w:hideMark/>
          </w:tcPr>
          <w:p w14:paraId="34905497" w14:textId="77777777" w:rsidR="00AE0FE0" w:rsidRDefault="00AE0FE0">
            <w:pPr>
              <w:pStyle w:val="NormalWeb"/>
            </w:pPr>
            <w:r>
              <w:t>119</w:t>
            </w:r>
          </w:p>
        </w:tc>
        <w:tc>
          <w:tcPr>
            <w:tcW w:w="0" w:type="auto"/>
            <w:tcMar>
              <w:top w:w="142" w:type="dxa"/>
              <w:left w:w="142" w:type="dxa"/>
              <w:bottom w:w="142" w:type="dxa"/>
              <w:right w:w="142" w:type="dxa"/>
            </w:tcMar>
            <w:hideMark/>
          </w:tcPr>
          <w:p w14:paraId="2009FE79" w14:textId="77777777" w:rsidR="00AE0FE0" w:rsidRDefault="00AE0FE0">
            <w:pPr>
              <w:pStyle w:val="NormalWeb"/>
            </w:pPr>
            <w:r>
              <w:t>(70.8)</w:t>
            </w:r>
          </w:p>
        </w:tc>
        <w:tc>
          <w:tcPr>
            <w:tcW w:w="0" w:type="auto"/>
            <w:tcMar>
              <w:top w:w="142" w:type="dxa"/>
              <w:left w:w="142" w:type="dxa"/>
              <w:bottom w:w="142" w:type="dxa"/>
              <w:right w:w="142" w:type="dxa"/>
            </w:tcMar>
            <w:hideMark/>
          </w:tcPr>
          <w:p w14:paraId="3A7424B9" w14:textId="77777777" w:rsidR="00AE0FE0" w:rsidRDefault="00AE0FE0">
            <w:pPr>
              <w:pStyle w:val="NormalWeb"/>
            </w:pPr>
            <w:r>
              <w:t>48</w:t>
            </w:r>
          </w:p>
        </w:tc>
        <w:tc>
          <w:tcPr>
            <w:tcW w:w="0" w:type="auto"/>
            <w:tcMar>
              <w:top w:w="142" w:type="dxa"/>
              <w:left w:w="142" w:type="dxa"/>
              <w:bottom w:w="142" w:type="dxa"/>
              <w:right w:w="142" w:type="dxa"/>
            </w:tcMar>
            <w:hideMark/>
          </w:tcPr>
          <w:p w14:paraId="14B1B2F6" w14:textId="77777777" w:rsidR="00AE0FE0" w:rsidRDefault="00AE0FE0">
            <w:pPr>
              <w:pStyle w:val="NormalWeb"/>
            </w:pPr>
            <w:r>
              <w:t>(28.6)</w:t>
            </w:r>
          </w:p>
        </w:tc>
      </w:tr>
      <w:tr w:rsidR="00751C2F" w14:paraId="03F40A0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95455EA" w14:textId="77777777" w:rsidR="00AE0FE0" w:rsidRDefault="00AE0FE0">
            <w:pPr>
              <w:pStyle w:val="NormalWeb"/>
            </w:pPr>
            <w:r>
              <w:t>Nausea</w:t>
            </w:r>
          </w:p>
        </w:tc>
        <w:tc>
          <w:tcPr>
            <w:tcW w:w="0" w:type="auto"/>
            <w:tcMar>
              <w:top w:w="142" w:type="dxa"/>
              <w:left w:w="142" w:type="dxa"/>
              <w:bottom w:w="142" w:type="dxa"/>
              <w:right w:w="142" w:type="dxa"/>
            </w:tcMar>
            <w:hideMark/>
          </w:tcPr>
          <w:p w14:paraId="5370AF13" w14:textId="77777777" w:rsidR="00AE0FE0" w:rsidRDefault="00AE0FE0">
            <w:pPr>
              <w:pStyle w:val="NormalWeb"/>
            </w:pPr>
            <w:r>
              <w:t>163</w:t>
            </w:r>
          </w:p>
        </w:tc>
        <w:tc>
          <w:tcPr>
            <w:tcW w:w="0" w:type="auto"/>
            <w:tcMar>
              <w:top w:w="142" w:type="dxa"/>
              <w:left w:w="142" w:type="dxa"/>
              <w:bottom w:w="142" w:type="dxa"/>
              <w:right w:w="142" w:type="dxa"/>
            </w:tcMar>
            <w:hideMark/>
          </w:tcPr>
          <w:p w14:paraId="24F95589" w14:textId="77777777" w:rsidR="00AE0FE0" w:rsidRDefault="00AE0FE0">
            <w:pPr>
              <w:pStyle w:val="NormalWeb"/>
            </w:pPr>
            <w:r>
              <w:t>0</w:t>
            </w:r>
          </w:p>
        </w:tc>
        <w:tc>
          <w:tcPr>
            <w:tcW w:w="0" w:type="auto"/>
            <w:tcMar>
              <w:top w:w="142" w:type="dxa"/>
              <w:left w:w="142" w:type="dxa"/>
              <w:bottom w:w="142" w:type="dxa"/>
              <w:right w:w="142" w:type="dxa"/>
            </w:tcMar>
            <w:hideMark/>
          </w:tcPr>
          <w:p w14:paraId="0C532876" w14:textId="77777777" w:rsidR="00AE0FE0" w:rsidRDefault="00AE0FE0">
            <w:pPr>
              <w:pStyle w:val="NormalWeb"/>
            </w:pPr>
            <w:r>
              <w:t>(0.0)</w:t>
            </w:r>
          </w:p>
        </w:tc>
        <w:tc>
          <w:tcPr>
            <w:tcW w:w="0" w:type="auto"/>
            <w:tcMar>
              <w:top w:w="142" w:type="dxa"/>
              <w:left w:w="142" w:type="dxa"/>
              <w:bottom w:w="142" w:type="dxa"/>
              <w:right w:w="142" w:type="dxa"/>
            </w:tcMar>
            <w:hideMark/>
          </w:tcPr>
          <w:p w14:paraId="6D43F97A" w14:textId="77777777" w:rsidR="00AE0FE0" w:rsidRDefault="00AE0FE0">
            <w:pPr>
              <w:pStyle w:val="NormalWeb"/>
            </w:pPr>
            <w:r>
              <w:t>16</w:t>
            </w:r>
          </w:p>
        </w:tc>
        <w:tc>
          <w:tcPr>
            <w:tcW w:w="0" w:type="auto"/>
            <w:tcMar>
              <w:top w:w="142" w:type="dxa"/>
              <w:left w:w="142" w:type="dxa"/>
              <w:bottom w:w="142" w:type="dxa"/>
              <w:right w:w="142" w:type="dxa"/>
            </w:tcMar>
            <w:hideMark/>
          </w:tcPr>
          <w:p w14:paraId="63C6A984" w14:textId="77777777" w:rsidR="00AE0FE0" w:rsidRDefault="00AE0FE0">
            <w:pPr>
              <w:pStyle w:val="NormalWeb"/>
            </w:pPr>
            <w:r>
              <w:t>(9.8)</w:t>
            </w:r>
          </w:p>
        </w:tc>
        <w:tc>
          <w:tcPr>
            <w:tcW w:w="0" w:type="auto"/>
            <w:tcMar>
              <w:top w:w="142" w:type="dxa"/>
              <w:left w:w="142" w:type="dxa"/>
              <w:bottom w:w="142" w:type="dxa"/>
              <w:right w:w="142" w:type="dxa"/>
            </w:tcMar>
            <w:hideMark/>
          </w:tcPr>
          <w:p w14:paraId="576211E1" w14:textId="77777777" w:rsidR="00AE0FE0" w:rsidRDefault="00AE0FE0">
            <w:pPr>
              <w:pStyle w:val="NormalWeb"/>
            </w:pPr>
            <w:r>
              <w:t>6</w:t>
            </w:r>
          </w:p>
        </w:tc>
        <w:tc>
          <w:tcPr>
            <w:tcW w:w="0" w:type="auto"/>
            <w:tcMar>
              <w:top w:w="142" w:type="dxa"/>
              <w:left w:w="142" w:type="dxa"/>
              <w:bottom w:w="142" w:type="dxa"/>
              <w:right w:w="142" w:type="dxa"/>
            </w:tcMar>
            <w:hideMark/>
          </w:tcPr>
          <w:p w14:paraId="6854D847" w14:textId="77777777" w:rsidR="00AE0FE0" w:rsidRDefault="00AE0FE0">
            <w:pPr>
              <w:pStyle w:val="NormalWeb"/>
            </w:pPr>
            <w:r>
              <w:t>(3.7)</w:t>
            </w:r>
          </w:p>
        </w:tc>
        <w:tc>
          <w:tcPr>
            <w:tcW w:w="0" w:type="auto"/>
            <w:tcMar>
              <w:top w:w="142" w:type="dxa"/>
              <w:left w:w="142" w:type="dxa"/>
              <w:bottom w:w="142" w:type="dxa"/>
              <w:right w:w="142" w:type="dxa"/>
            </w:tcMar>
            <w:hideMark/>
          </w:tcPr>
          <w:p w14:paraId="19F9F915" w14:textId="77777777" w:rsidR="00AE0FE0" w:rsidRDefault="00AE0FE0">
            <w:pPr>
              <w:pStyle w:val="NormalWeb"/>
            </w:pPr>
            <w:r>
              <w:t>152</w:t>
            </w:r>
          </w:p>
        </w:tc>
        <w:tc>
          <w:tcPr>
            <w:tcW w:w="0" w:type="auto"/>
            <w:tcMar>
              <w:top w:w="142" w:type="dxa"/>
              <w:left w:w="142" w:type="dxa"/>
              <w:bottom w:w="142" w:type="dxa"/>
              <w:right w:w="142" w:type="dxa"/>
            </w:tcMar>
            <w:hideMark/>
          </w:tcPr>
          <w:p w14:paraId="25D55394" w14:textId="77777777" w:rsidR="00AE0FE0" w:rsidRDefault="00AE0FE0">
            <w:pPr>
              <w:pStyle w:val="NormalWeb"/>
            </w:pPr>
            <w:r>
              <w:t>(93.3)</w:t>
            </w:r>
          </w:p>
        </w:tc>
      </w:tr>
      <w:tr w:rsidR="009525C9" w14:paraId="11C01DAC"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4320117" w14:textId="77777777" w:rsidR="00AE0FE0" w:rsidRDefault="00AE0FE0">
            <w:pPr>
              <w:pStyle w:val="NormalWeb"/>
            </w:pPr>
            <w:r>
              <w:t>Urticaria</w:t>
            </w:r>
          </w:p>
        </w:tc>
        <w:tc>
          <w:tcPr>
            <w:tcW w:w="0" w:type="auto"/>
            <w:tcMar>
              <w:top w:w="142" w:type="dxa"/>
              <w:left w:w="142" w:type="dxa"/>
              <w:bottom w:w="142" w:type="dxa"/>
              <w:right w:w="142" w:type="dxa"/>
            </w:tcMar>
            <w:hideMark/>
          </w:tcPr>
          <w:p w14:paraId="4D60B8EE" w14:textId="77777777" w:rsidR="00AE0FE0" w:rsidRDefault="00AE0FE0">
            <w:pPr>
              <w:pStyle w:val="NormalWeb"/>
            </w:pPr>
            <w:r>
              <w:t>158</w:t>
            </w:r>
          </w:p>
        </w:tc>
        <w:tc>
          <w:tcPr>
            <w:tcW w:w="0" w:type="auto"/>
            <w:tcMar>
              <w:top w:w="142" w:type="dxa"/>
              <w:left w:w="142" w:type="dxa"/>
              <w:bottom w:w="142" w:type="dxa"/>
              <w:right w:w="142" w:type="dxa"/>
            </w:tcMar>
            <w:hideMark/>
          </w:tcPr>
          <w:p w14:paraId="12A359AE" w14:textId="77777777" w:rsidR="00AE0FE0" w:rsidRDefault="00AE0FE0">
            <w:pPr>
              <w:pStyle w:val="NormalWeb"/>
            </w:pPr>
            <w:r>
              <w:t>64</w:t>
            </w:r>
          </w:p>
        </w:tc>
        <w:tc>
          <w:tcPr>
            <w:tcW w:w="0" w:type="auto"/>
            <w:tcMar>
              <w:top w:w="142" w:type="dxa"/>
              <w:left w:w="142" w:type="dxa"/>
              <w:bottom w:w="142" w:type="dxa"/>
              <w:right w:w="142" w:type="dxa"/>
            </w:tcMar>
            <w:hideMark/>
          </w:tcPr>
          <w:p w14:paraId="1FB42C2C" w14:textId="77777777" w:rsidR="00AE0FE0" w:rsidRDefault="00AE0FE0">
            <w:pPr>
              <w:pStyle w:val="NormalWeb"/>
            </w:pPr>
            <w:r>
              <w:t>(40.5)</w:t>
            </w:r>
          </w:p>
        </w:tc>
        <w:tc>
          <w:tcPr>
            <w:tcW w:w="0" w:type="auto"/>
            <w:tcMar>
              <w:top w:w="142" w:type="dxa"/>
              <w:left w:w="142" w:type="dxa"/>
              <w:bottom w:w="142" w:type="dxa"/>
              <w:right w:w="142" w:type="dxa"/>
            </w:tcMar>
            <w:hideMark/>
          </w:tcPr>
          <w:p w14:paraId="5E0F6428" w14:textId="77777777" w:rsidR="00AE0FE0" w:rsidRDefault="00AE0FE0">
            <w:pPr>
              <w:pStyle w:val="NormalWeb"/>
            </w:pPr>
            <w:r>
              <w:t>10</w:t>
            </w:r>
          </w:p>
        </w:tc>
        <w:tc>
          <w:tcPr>
            <w:tcW w:w="0" w:type="auto"/>
            <w:tcMar>
              <w:top w:w="142" w:type="dxa"/>
              <w:left w:w="142" w:type="dxa"/>
              <w:bottom w:w="142" w:type="dxa"/>
              <w:right w:w="142" w:type="dxa"/>
            </w:tcMar>
            <w:hideMark/>
          </w:tcPr>
          <w:p w14:paraId="0F823A03" w14:textId="77777777" w:rsidR="00AE0FE0" w:rsidRDefault="00AE0FE0">
            <w:pPr>
              <w:pStyle w:val="NormalWeb"/>
            </w:pPr>
            <w:r>
              <w:t>(6.3)</w:t>
            </w:r>
          </w:p>
        </w:tc>
        <w:tc>
          <w:tcPr>
            <w:tcW w:w="0" w:type="auto"/>
            <w:tcMar>
              <w:top w:w="142" w:type="dxa"/>
              <w:left w:w="142" w:type="dxa"/>
              <w:bottom w:w="142" w:type="dxa"/>
              <w:right w:w="142" w:type="dxa"/>
            </w:tcMar>
            <w:hideMark/>
          </w:tcPr>
          <w:p w14:paraId="11F832A6" w14:textId="77777777" w:rsidR="00AE0FE0" w:rsidRDefault="00AE0FE0">
            <w:pPr>
              <w:pStyle w:val="NormalWeb"/>
            </w:pPr>
            <w:r>
              <w:t>79</w:t>
            </w:r>
          </w:p>
        </w:tc>
        <w:tc>
          <w:tcPr>
            <w:tcW w:w="0" w:type="auto"/>
            <w:tcMar>
              <w:top w:w="142" w:type="dxa"/>
              <w:left w:w="142" w:type="dxa"/>
              <w:bottom w:w="142" w:type="dxa"/>
              <w:right w:w="142" w:type="dxa"/>
            </w:tcMar>
            <w:hideMark/>
          </w:tcPr>
          <w:p w14:paraId="79BBCE90" w14:textId="77777777" w:rsidR="00AE0FE0" w:rsidRDefault="00AE0FE0">
            <w:pPr>
              <w:pStyle w:val="NormalWeb"/>
            </w:pPr>
            <w:r>
              <w:t>(50.0)</w:t>
            </w:r>
          </w:p>
        </w:tc>
        <w:tc>
          <w:tcPr>
            <w:tcW w:w="0" w:type="auto"/>
            <w:tcMar>
              <w:top w:w="142" w:type="dxa"/>
              <w:left w:w="142" w:type="dxa"/>
              <w:bottom w:w="142" w:type="dxa"/>
              <w:right w:w="142" w:type="dxa"/>
            </w:tcMar>
            <w:hideMark/>
          </w:tcPr>
          <w:p w14:paraId="34F0565C" w14:textId="77777777" w:rsidR="00AE0FE0" w:rsidRDefault="00AE0FE0">
            <w:pPr>
              <w:pStyle w:val="NormalWeb"/>
            </w:pPr>
            <w:r>
              <w:t>74</w:t>
            </w:r>
          </w:p>
        </w:tc>
        <w:tc>
          <w:tcPr>
            <w:tcW w:w="0" w:type="auto"/>
            <w:tcMar>
              <w:top w:w="142" w:type="dxa"/>
              <w:left w:w="142" w:type="dxa"/>
              <w:bottom w:w="142" w:type="dxa"/>
              <w:right w:w="142" w:type="dxa"/>
            </w:tcMar>
            <w:hideMark/>
          </w:tcPr>
          <w:p w14:paraId="032DDE91" w14:textId="77777777" w:rsidR="00AE0FE0" w:rsidRDefault="00AE0FE0">
            <w:pPr>
              <w:pStyle w:val="NormalWeb"/>
            </w:pPr>
            <w:r>
              <w:t>(46.8)</w:t>
            </w:r>
          </w:p>
        </w:tc>
      </w:tr>
      <w:tr w:rsidR="00751C2F" w14:paraId="5E5FE91F"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23EFD6C" w14:textId="77777777" w:rsidR="00AE0FE0" w:rsidRDefault="00AE0FE0">
            <w:pPr>
              <w:pStyle w:val="NormalWeb"/>
            </w:pPr>
            <w:r>
              <w:t>Irritability</w:t>
            </w:r>
          </w:p>
        </w:tc>
        <w:tc>
          <w:tcPr>
            <w:tcW w:w="0" w:type="auto"/>
            <w:tcMar>
              <w:top w:w="142" w:type="dxa"/>
              <w:left w:w="142" w:type="dxa"/>
              <w:bottom w:w="142" w:type="dxa"/>
              <w:right w:w="142" w:type="dxa"/>
            </w:tcMar>
            <w:hideMark/>
          </w:tcPr>
          <w:p w14:paraId="158CC99D" w14:textId="77777777" w:rsidR="00AE0FE0" w:rsidRDefault="00AE0FE0">
            <w:pPr>
              <w:pStyle w:val="NormalWeb"/>
            </w:pPr>
            <w:r>
              <w:t>143</w:t>
            </w:r>
          </w:p>
        </w:tc>
        <w:tc>
          <w:tcPr>
            <w:tcW w:w="0" w:type="auto"/>
            <w:tcMar>
              <w:top w:w="142" w:type="dxa"/>
              <w:left w:w="142" w:type="dxa"/>
              <w:bottom w:w="142" w:type="dxa"/>
              <w:right w:w="142" w:type="dxa"/>
            </w:tcMar>
            <w:hideMark/>
          </w:tcPr>
          <w:p w14:paraId="551F5A69" w14:textId="77777777" w:rsidR="00AE0FE0" w:rsidRDefault="00AE0FE0">
            <w:pPr>
              <w:pStyle w:val="NormalWeb"/>
            </w:pPr>
            <w:r>
              <w:t>4</w:t>
            </w:r>
          </w:p>
        </w:tc>
        <w:tc>
          <w:tcPr>
            <w:tcW w:w="0" w:type="auto"/>
            <w:tcMar>
              <w:top w:w="142" w:type="dxa"/>
              <w:left w:w="142" w:type="dxa"/>
              <w:bottom w:w="142" w:type="dxa"/>
              <w:right w:w="142" w:type="dxa"/>
            </w:tcMar>
            <w:hideMark/>
          </w:tcPr>
          <w:p w14:paraId="2EDC47D6" w14:textId="77777777" w:rsidR="00AE0FE0" w:rsidRDefault="00AE0FE0">
            <w:pPr>
              <w:pStyle w:val="NormalWeb"/>
            </w:pPr>
            <w:r>
              <w:t>(2.8)</w:t>
            </w:r>
          </w:p>
        </w:tc>
        <w:tc>
          <w:tcPr>
            <w:tcW w:w="0" w:type="auto"/>
            <w:tcMar>
              <w:top w:w="142" w:type="dxa"/>
              <w:left w:w="142" w:type="dxa"/>
              <w:bottom w:w="142" w:type="dxa"/>
              <w:right w:w="142" w:type="dxa"/>
            </w:tcMar>
            <w:hideMark/>
          </w:tcPr>
          <w:p w14:paraId="53BCA07A" w14:textId="77777777" w:rsidR="00AE0FE0" w:rsidRDefault="00AE0FE0">
            <w:pPr>
              <w:pStyle w:val="NormalWeb"/>
            </w:pPr>
            <w:r>
              <w:t>18</w:t>
            </w:r>
          </w:p>
        </w:tc>
        <w:tc>
          <w:tcPr>
            <w:tcW w:w="0" w:type="auto"/>
            <w:tcMar>
              <w:top w:w="142" w:type="dxa"/>
              <w:left w:w="142" w:type="dxa"/>
              <w:bottom w:w="142" w:type="dxa"/>
              <w:right w:w="142" w:type="dxa"/>
            </w:tcMar>
            <w:hideMark/>
          </w:tcPr>
          <w:p w14:paraId="066549F5" w14:textId="77777777" w:rsidR="00AE0FE0" w:rsidRDefault="00AE0FE0">
            <w:pPr>
              <w:pStyle w:val="NormalWeb"/>
            </w:pPr>
            <w:r>
              <w:t>(12.6)</w:t>
            </w:r>
          </w:p>
        </w:tc>
        <w:tc>
          <w:tcPr>
            <w:tcW w:w="0" w:type="auto"/>
            <w:tcMar>
              <w:top w:w="142" w:type="dxa"/>
              <w:left w:w="142" w:type="dxa"/>
              <w:bottom w:w="142" w:type="dxa"/>
              <w:right w:w="142" w:type="dxa"/>
            </w:tcMar>
            <w:hideMark/>
          </w:tcPr>
          <w:p w14:paraId="76D2E31D" w14:textId="77777777" w:rsidR="00AE0FE0" w:rsidRDefault="00AE0FE0">
            <w:pPr>
              <w:pStyle w:val="NormalWeb"/>
            </w:pPr>
            <w:r>
              <w:t>136</w:t>
            </w:r>
          </w:p>
        </w:tc>
        <w:tc>
          <w:tcPr>
            <w:tcW w:w="0" w:type="auto"/>
            <w:tcMar>
              <w:top w:w="142" w:type="dxa"/>
              <w:left w:w="142" w:type="dxa"/>
              <w:bottom w:w="142" w:type="dxa"/>
              <w:right w:w="142" w:type="dxa"/>
            </w:tcMar>
            <w:hideMark/>
          </w:tcPr>
          <w:p w14:paraId="135FC8B2" w14:textId="77777777" w:rsidR="00AE0FE0" w:rsidRDefault="00AE0FE0">
            <w:pPr>
              <w:pStyle w:val="NormalWeb"/>
            </w:pPr>
            <w:r>
              <w:t>(95.1)</w:t>
            </w:r>
          </w:p>
        </w:tc>
        <w:tc>
          <w:tcPr>
            <w:tcW w:w="0" w:type="auto"/>
            <w:tcMar>
              <w:top w:w="142" w:type="dxa"/>
              <w:left w:w="142" w:type="dxa"/>
              <w:bottom w:w="142" w:type="dxa"/>
              <w:right w:w="142" w:type="dxa"/>
            </w:tcMar>
            <w:hideMark/>
          </w:tcPr>
          <w:p w14:paraId="5CA32390" w14:textId="77777777" w:rsidR="00AE0FE0" w:rsidRDefault="00AE0FE0">
            <w:pPr>
              <w:pStyle w:val="NormalWeb"/>
            </w:pPr>
            <w:r>
              <w:t>6</w:t>
            </w:r>
          </w:p>
        </w:tc>
        <w:tc>
          <w:tcPr>
            <w:tcW w:w="0" w:type="auto"/>
            <w:tcMar>
              <w:top w:w="142" w:type="dxa"/>
              <w:left w:w="142" w:type="dxa"/>
              <w:bottom w:w="142" w:type="dxa"/>
              <w:right w:w="142" w:type="dxa"/>
            </w:tcMar>
            <w:hideMark/>
          </w:tcPr>
          <w:p w14:paraId="79982F6A" w14:textId="77777777" w:rsidR="00AE0FE0" w:rsidRDefault="00AE0FE0">
            <w:pPr>
              <w:pStyle w:val="NormalWeb"/>
            </w:pPr>
            <w:r>
              <w:t>(4.2)</w:t>
            </w:r>
          </w:p>
        </w:tc>
      </w:tr>
      <w:tr w:rsidR="009525C9" w14:paraId="3F60F6E1"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07F2E98" w14:textId="77777777" w:rsidR="00AE0FE0" w:rsidRDefault="00AE0FE0">
            <w:pPr>
              <w:pStyle w:val="NormalWeb"/>
            </w:pPr>
            <w:r>
              <w:t>Lethargy</w:t>
            </w:r>
          </w:p>
        </w:tc>
        <w:tc>
          <w:tcPr>
            <w:tcW w:w="0" w:type="auto"/>
            <w:tcMar>
              <w:top w:w="142" w:type="dxa"/>
              <w:left w:w="142" w:type="dxa"/>
              <w:bottom w:w="142" w:type="dxa"/>
              <w:right w:w="142" w:type="dxa"/>
            </w:tcMar>
            <w:hideMark/>
          </w:tcPr>
          <w:p w14:paraId="4A2B3903" w14:textId="77777777" w:rsidR="00AE0FE0" w:rsidRDefault="00AE0FE0">
            <w:pPr>
              <w:pStyle w:val="NormalWeb"/>
            </w:pPr>
            <w:r>
              <w:t>134</w:t>
            </w:r>
          </w:p>
        </w:tc>
        <w:tc>
          <w:tcPr>
            <w:tcW w:w="0" w:type="auto"/>
            <w:tcMar>
              <w:top w:w="142" w:type="dxa"/>
              <w:left w:w="142" w:type="dxa"/>
              <w:bottom w:w="142" w:type="dxa"/>
              <w:right w:w="142" w:type="dxa"/>
            </w:tcMar>
            <w:hideMark/>
          </w:tcPr>
          <w:p w14:paraId="7736FFFA" w14:textId="77777777" w:rsidR="00AE0FE0" w:rsidRDefault="00AE0FE0">
            <w:pPr>
              <w:pStyle w:val="NormalWeb"/>
            </w:pPr>
            <w:r>
              <w:t>0</w:t>
            </w:r>
          </w:p>
        </w:tc>
        <w:tc>
          <w:tcPr>
            <w:tcW w:w="0" w:type="auto"/>
            <w:tcMar>
              <w:top w:w="142" w:type="dxa"/>
              <w:left w:w="142" w:type="dxa"/>
              <w:bottom w:w="142" w:type="dxa"/>
              <w:right w:w="142" w:type="dxa"/>
            </w:tcMar>
            <w:hideMark/>
          </w:tcPr>
          <w:p w14:paraId="14071C80" w14:textId="77777777" w:rsidR="00AE0FE0" w:rsidRDefault="00AE0FE0">
            <w:pPr>
              <w:pStyle w:val="NormalWeb"/>
            </w:pPr>
            <w:r>
              <w:t>(0.0)</w:t>
            </w:r>
          </w:p>
        </w:tc>
        <w:tc>
          <w:tcPr>
            <w:tcW w:w="0" w:type="auto"/>
            <w:tcMar>
              <w:top w:w="142" w:type="dxa"/>
              <w:left w:w="142" w:type="dxa"/>
              <w:bottom w:w="142" w:type="dxa"/>
              <w:right w:w="142" w:type="dxa"/>
            </w:tcMar>
            <w:hideMark/>
          </w:tcPr>
          <w:p w14:paraId="6FDD0595" w14:textId="77777777" w:rsidR="00AE0FE0" w:rsidRDefault="00AE0FE0">
            <w:pPr>
              <w:pStyle w:val="NormalWeb"/>
            </w:pPr>
            <w:r>
              <w:t>15</w:t>
            </w:r>
          </w:p>
        </w:tc>
        <w:tc>
          <w:tcPr>
            <w:tcW w:w="0" w:type="auto"/>
            <w:tcMar>
              <w:top w:w="142" w:type="dxa"/>
              <w:left w:w="142" w:type="dxa"/>
              <w:bottom w:w="142" w:type="dxa"/>
              <w:right w:w="142" w:type="dxa"/>
            </w:tcMar>
            <w:hideMark/>
          </w:tcPr>
          <w:p w14:paraId="0D2C0FFB" w14:textId="77777777" w:rsidR="00AE0FE0" w:rsidRDefault="00AE0FE0">
            <w:pPr>
              <w:pStyle w:val="NormalWeb"/>
            </w:pPr>
            <w:r>
              <w:t>(11.2)</w:t>
            </w:r>
          </w:p>
        </w:tc>
        <w:tc>
          <w:tcPr>
            <w:tcW w:w="0" w:type="auto"/>
            <w:tcMar>
              <w:top w:w="142" w:type="dxa"/>
              <w:left w:w="142" w:type="dxa"/>
              <w:bottom w:w="142" w:type="dxa"/>
              <w:right w:w="142" w:type="dxa"/>
            </w:tcMar>
            <w:hideMark/>
          </w:tcPr>
          <w:p w14:paraId="6E6DC48E" w14:textId="77777777" w:rsidR="00AE0FE0" w:rsidRDefault="00AE0FE0">
            <w:pPr>
              <w:pStyle w:val="NormalWeb"/>
            </w:pPr>
            <w:r>
              <w:t>36</w:t>
            </w:r>
          </w:p>
        </w:tc>
        <w:tc>
          <w:tcPr>
            <w:tcW w:w="0" w:type="auto"/>
            <w:tcMar>
              <w:top w:w="142" w:type="dxa"/>
              <w:left w:w="142" w:type="dxa"/>
              <w:bottom w:w="142" w:type="dxa"/>
              <w:right w:w="142" w:type="dxa"/>
            </w:tcMar>
            <w:hideMark/>
          </w:tcPr>
          <w:p w14:paraId="041A7A85" w14:textId="77777777" w:rsidR="00AE0FE0" w:rsidRDefault="00AE0FE0">
            <w:pPr>
              <w:pStyle w:val="NormalWeb"/>
            </w:pPr>
            <w:r>
              <w:t>(26.9)</w:t>
            </w:r>
          </w:p>
        </w:tc>
        <w:tc>
          <w:tcPr>
            <w:tcW w:w="0" w:type="auto"/>
            <w:tcMar>
              <w:top w:w="142" w:type="dxa"/>
              <w:left w:w="142" w:type="dxa"/>
              <w:bottom w:w="142" w:type="dxa"/>
              <w:right w:w="142" w:type="dxa"/>
            </w:tcMar>
            <w:hideMark/>
          </w:tcPr>
          <w:p w14:paraId="06DAE868" w14:textId="77777777" w:rsidR="00AE0FE0" w:rsidRDefault="00AE0FE0">
            <w:pPr>
              <w:pStyle w:val="NormalWeb"/>
            </w:pPr>
            <w:r>
              <w:t>72</w:t>
            </w:r>
          </w:p>
        </w:tc>
        <w:tc>
          <w:tcPr>
            <w:tcW w:w="0" w:type="auto"/>
            <w:tcMar>
              <w:top w:w="142" w:type="dxa"/>
              <w:left w:w="142" w:type="dxa"/>
              <w:bottom w:w="142" w:type="dxa"/>
              <w:right w:w="142" w:type="dxa"/>
            </w:tcMar>
            <w:hideMark/>
          </w:tcPr>
          <w:p w14:paraId="17129814" w14:textId="77777777" w:rsidR="00AE0FE0" w:rsidRDefault="00AE0FE0">
            <w:pPr>
              <w:pStyle w:val="NormalWeb"/>
            </w:pPr>
            <w:r>
              <w:t>(53.7)</w:t>
            </w:r>
          </w:p>
        </w:tc>
      </w:tr>
      <w:tr w:rsidR="00751C2F" w14:paraId="7B8EF035"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5EBF7C0" w14:textId="77777777" w:rsidR="00AE0FE0" w:rsidRDefault="00AE0FE0">
            <w:pPr>
              <w:pStyle w:val="NormalWeb"/>
            </w:pPr>
            <w:r>
              <w:t>Syncope</w:t>
            </w:r>
          </w:p>
        </w:tc>
        <w:tc>
          <w:tcPr>
            <w:tcW w:w="0" w:type="auto"/>
            <w:tcMar>
              <w:top w:w="142" w:type="dxa"/>
              <w:left w:w="142" w:type="dxa"/>
              <w:bottom w:w="142" w:type="dxa"/>
              <w:right w:w="142" w:type="dxa"/>
            </w:tcMar>
            <w:hideMark/>
          </w:tcPr>
          <w:p w14:paraId="488C2457" w14:textId="77777777" w:rsidR="00AE0FE0" w:rsidRDefault="00AE0FE0">
            <w:pPr>
              <w:pStyle w:val="NormalWeb"/>
            </w:pPr>
            <w:r>
              <w:t>131</w:t>
            </w:r>
          </w:p>
        </w:tc>
        <w:tc>
          <w:tcPr>
            <w:tcW w:w="0" w:type="auto"/>
            <w:tcMar>
              <w:top w:w="142" w:type="dxa"/>
              <w:left w:w="142" w:type="dxa"/>
              <w:bottom w:w="142" w:type="dxa"/>
              <w:right w:w="142" w:type="dxa"/>
            </w:tcMar>
            <w:hideMark/>
          </w:tcPr>
          <w:p w14:paraId="435B0229" w14:textId="77777777" w:rsidR="00AE0FE0" w:rsidRDefault="00AE0FE0">
            <w:pPr>
              <w:pStyle w:val="NormalWeb"/>
            </w:pPr>
            <w:r>
              <w:t>82</w:t>
            </w:r>
          </w:p>
        </w:tc>
        <w:tc>
          <w:tcPr>
            <w:tcW w:w="0" w:type="auto"/>
            <w:tcMar>
              <w:top w:w="142" w:type="dxa"/>
              <w:left w:w="142" w:type="dxa"/>
              <w:bottom w:w="142" w:type="dxa"/>
              <w:right w:w="142" w:type="dxa"/>
            </w:tcMar>
            <w:hideMark/>
          </w:tcPr>
          <w:p w14:paraId="156EAF98" w14:textId="77777777" w:rsidR="00AE0FE0" w:rsidRDefault="00AE0FE0">
            <w:pPr>
              <w:pStyle w:val="NormalWeb"/>
            </w:pPr>
            <w:r>
              <w:t>(62.6)</w:t>
            </w:r>
          </w:p>
        </w:tc>
        <w:tc>
          <w:tcPr>
            <w:tcW w:w="0" w:type="auto"/>
            <w:tcMar>
              <w:top w:w="142" w:type="dxa"/>
              <w:left w:w="142" w:type="dxa"/>
              <w:bottom w:w="142" w:type="dxa"/>
              <w:right w:w="142" w:type="dxa"/>
            </w:tcMar>
            <w:hideMark/>
          </w:tcPr>
          <w:p w14:paraId="525325BF" w14:textId="77777777" w:rsidR="00AE0FE0" w:rsidRDefault="00AE0FE0">
            <w:pPr>
              <w:pStyle w:val="NormalWeb"/>
            </w:pPr>
            <w:r>
              <w:t>14</w:t>
            </w:r>
          </w:p>
        </w:tc>
        <w:tc>
          <w:tcPr>
            <w:tcW w:w="0" w:type="auto"/>
            <w:tcMar>
              <w:top w:w="142" w:type="dxa"/>
              <w:left w:w="142" w:type="dxa"/>
              <w:bottom w:w="142" w:type="dxa"/>
              <w:right w:w="142" w:type="dxa"/>
            </w:tcMar>
            <w:hideMark/>
          </w:tcPr>
          <w:p w14:paraId="5ADBEDD2" w14:textId="77777777" w:rsidR="00AE0FE0" w:rsidRDefault="00AE0FE0">
            <w:pPr>
              <w:pStyle w:val="NormalWeb"/>
            </w:pPr>
            <w:r>
              <w:t>(10.7)</w:t>
            </w:r>
          </w:p>
        </w:tc>
        <w:tc>
          <w:tcPr>
            <w:tcW w:w="0" w:type="auto"/>
            <w:tcMar>
              <w:top w:w="142" w:type="dxa"/>
              <w:left w:w="142" w:type="dxa"/>
              <w:bottom w:w="142" w:type="dxa"/>
              <w:right w:w="142" w:type="dxa"/>
            </w:tcMar>
            <w:hideMark/>
          </w:tcPr>
          <w:p w14:paraId="423F7E89" w14:textId="77777777" w:rsidR="00AE0FE0" w:rsidRDefault="00AE0FE0">
            <w:pPr>
              <w:pStyle w:val="NormalWeb"/>
            </w:pPr>
            <w:r>
              <w:t>12</w:t>
            </w:r>
          </w:p>
        </w:tc>
        <w:tc>
          <w:tcPr>
            <w:tcW w:w="0" w:type="auto"/>
            <w:tcMar>
              <w:top w:w="142" w:type="dxa"/>
              <w:left w:w="142" w:type="dxa"/>
              <w:bottom w:w="142" w:type="dxa"/>
              <w:right w:w="142" w:type="dxa"/>
            </w:tcMar>
            <w:hideMark/>
          </w:tcPr>
          <w:p w14:paraId="18E6212B" w14:textId="77777777" w:rsidR="00AE0FE0" w:rsidRDefault="00AE0FE0">
            <w:pPr>
              <w:pStyle w:val="NormalWeb"/>
            </w:pPr>
            <w:r>
              <w:t>(9.2)</w:t>
            </w:r>
          </w:p>
        </w:tc>
        <w:tc>
          <w:tcPr>
            <w:tcW w:w="0" w:type="auto"/>
            <w:tcMar>
              <w:top w:w="142" w:type="dxa"/>
              <w:left w:w="142" w:type="dxa"/>
              <w:bottom w:w="142" w:type="dxa"/>
              <w:right w:w="142" w:type="dxa"/>
            </w:tcMar>
            <w:hideMark/>
          </w:tcPr>
          <w:p w14:paraId="4F932877" w14:textId="77777777" w:rsidR="00AE0FE0" w:rsidRDefault="00AE0FE0">
            <w:pPr>
              <w:pStyle w:val="NormalWeb"/>
            </w:pPr>
            <w:r>
              <w:t>115</w:t>
            </w:r>
          </w:p>
        </w:tc>
        <w:tc>
          <w:tcPr>
            <w:tcW w:w="0" w:type="auto"/>
            <w:tcMar>
              <w:top w:w="142" w:type="dxa"/>
              <w:left w:w="142" w:type="dxa"/>
              <w:bottom w:w="142" w:type="dxa"/>
              <w:right w:w="142" w:type="dxa"/>
            </w:tcMar>
            <w:hideMark/>
          </w:tcPr>
          <w:p w14:paraId="5B843FC3" w14:textId="77777777" w:rsidR="00AE0FE0" w:rsidRDefault="00AE0FE0">
            <w:pPr>
              <w:pStyle w:val="NormalWeb"/>
            </w:pPr>
            <w:r>
              <w:t>(87.8)</w:t>
            </w:r>
          </w:p>
        </w:tc>
      </w:tr>
      <w:tr w:rsidR="009525C9" w14:paraId="687B41A0"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5A20F53" w14:textId="77777777" w:rsidR="00AE0FE0" w:rsidRDefault="00AE0FE0">
            <w:pPr>
              <w:pStyle w:val="NormalWeb"/>
            </w:pPr>
            <w:r>
              <w:t>Dizziness</w:t>
            </w:r>
          </w:p>
        </w:tc>
        <w:tc>
          <w:tcPr>
            <w:tcW w:w="0" w:type="auto"/>
            <w:tcMar>
              <w:top w:w="142" w:type="dxa"/>
              <w:left w:w="142" w:type="dxa"/>
              <w:bottom w:w="142" w:type="dxa"/>
              <w:right w:w="142" w:type="dxa"/>
            </w:tcMar>
            <w:hideMark/>
          </w:tcPr>
          <w:p w14:paraId="2532B68D" w14:textId="77777777" w:rsidR="00AE0FE0" w:rsidRDefault="00AE0FE0">
            <w:pPr>
              <w:pStyle w:val="NormalWeb"/>
            </w:pPr>
            <w:r>
              <w:t>114</w:t>
            </w:r>
          </w:p>
        </w:tc>
        <w:tc>
          <w:tcPr>
            <w:tcW w:w="0" w:type="auto"/>
            <w:tcMar>
              <w:top w:w="142" w:type="dxa"/>
              <w:left w:w="142" w:type="dxa"/>
              <w:bottom w:w="142" w:type="dxa"/>
              <w:right w:w="142" w:type="dxa"/>
            </w:tcMar>
            <w:hideMark/>
          </w:tcPr>
          <w:p w14:paraId="2591F912" w14:textId="77777777" w:rsidR="00AE0FE0" w:rsidRDefault="00AE0FE0">
            <w:pPr>
              <w:pStyle w:val="NormalWeb"/>
            </w:pPr>
            <w:r>
              <w:t>3</w:t>
            </w:r>
          </w:p>
        </w:tc>
        <w:tc>
          <w:tcPr>
            <w:tcW w:w="0" w:type="auto"/>
            <w:tcMar>
              <w:top w:w="142" w:type="dxa"/>
              <w:left w:w="142" w:type="dxa"/>
              <w:bottom w:w="142" w:type="dxa"/>
              <w:right w:w="142" w:type="dxa"/>
            </w:tcMar>
            <w:hideMark/>
          </w:tcPr>
          <w:p w14:paraId="6C0CE3B4" w14:textId="77777777" w:rsidR="00AE0FE0" w:rsidRDefault="00AE0FE0">
            <w:pPr>
              <w:pStyle w:val="NormalWeb"/>
            </w:pPr>
            <w:r>
              <w:t>(2.6)</w:t>
            </w:r>
          </w:p>
        </w:tc>
        <w:tc>
          <w:tcPr>
            <w:tcW w:w="0" w:type="auto"/>
            <w:tcMar>
              <w:top w:w="142" w:type="dxa"/>
              <w:left w:w="142" w:type="dxa"/>
              <w:bottom w:w="142" w:type="dxa"/>
              <w:right w:w="142" w:type="dxa"/>
            </w:tcMar>
            <w:hideMark/>
          </w:tcPr>
          <w:p w14:paraId="45886B20" w14:textId="77777777" w:rsidR="00AE0FE0" w:rsidRDefault="00AE0FE0">
            <w:pPr>
              <w:pStyle w:val="NormalWeb"/>
            </w:pPr>
            <w:r>
              <w:t>11</w:t>
            </w:r>
          </w:p>
        </w:tc>
        <w:tc>
          <w:tcPr>
            <w:tcW w:w="0" w:type="auto"/>
            <w:tcMar>
              <w:top w:w="142" w:type="dxa"/>
              <w:left w:w="142" w:type="dxa"/>
              <w:bottom w:w="142" w:type="dxa"/>
              <w:right w:w="142" w:type="dxa"/>
            </w:tcMar>
            <w:hideMark/>
          </w:tcPr>
          <w:p w14:paraId="1D82727C" w14:textId="77777777" w:rsidR="00AE0FE0" w:rsidRDefault="00AE0FE0">
            <w:pPr>
              <w:pStyle w:val="NormalWeb"/>
            </w:pPr>
            <w:r>
              <w:t>(9.6)</w:t>
            </w:r>
          </w:p>
        </w:tc>
        <w:tc>
          <w:tcPr>
            <w:tcW w:w="0" w:type="auto"/>
            <w:tcMar>
              <w:top w:w="142" w:type="dxa"/>
              <w:left w:w="142" w:type="dxa"/>
              <w:bottom w:w="142" w:type="dxa"/>
              <w:right w:w="142" w:type="dxa"/>
            </w:tcMar>
            <w:hideMark/>
          </w:tcPr>
          <w:p w14:paraId="306EB9F1" w14:textId="77777777" w:rsidR="00AE0FE0" w:rsidRDefault="00AE0FE0">
            <w:pPr>
              <w:pStyle w:val="NormalWeb"/>
            </w:pPr>
            <w:r>
              <w:t>0</w:t>
            </w:r>
          </w:p>
        </w:tc>
        <w:tc>
          <w:tcPr>
            <w:tcW w:w="0" w:type="auto"/>
            <w:tcMar>
              <w:top w:w="142" w:type="dxa"/>
              <w:left w:w="142" w:type="dxa"/>
              <w:bottom w:w="142" w:type="dxa"/>
              <w:right w:w="142" w:type="dxa"/>
            </w:tcMar>
            <w:hideMark/>
          </w:tcPr>
          <w:p w14:paraId="22E0238D" w14:textId="77777777" w:rsidR="00AE0FE0" w:rsidRDefault="00AE0FE0">
            <w:pPr>
              <w:pStyle w:val="NormalWeb"/>
            </w:pPr>
            <w:r>
              <w:t>(0.0)</w:t>
            </w:r>
          </w:p>
        </w:tc>
        <w:tc>
          <w:tcPr>
            <w:tcW w:w="0" w:type="auto"/>
            <w:tcMar>
              <w:top w:w="142" w:type="dxa"/>
              <w:left w:w="142" w:type="dxa"/>
              <w:bottom w:w="142" w:type="dxa"/>
              <w:right w:w="142" w:type="dxa"/>
            </w:tcMar>
            <w:hideMark/>
          </w:tcPr>
          <w:p w14:paraId="0BC09944" w14:textId="77777777" w:rsidR="00AE0FE0" w:rsidRDefault="00AE0FE0">
            <w:pPr>
              <w:pStyle w:val="NormalWeb"/>
            </w:pPr>
            <w:r>
              <w:t>111</w:t>
            </w:r>
          </w:p>
        </w:tc>
        <w:tc>
          <w:tcPr>
            <w:tcW w:w="0" w:type="auto"/>
            <w:tcMar>
              <w:top w:w="142" w:type="dxa"/>
              <w:left w:w="142" w:type="dxa"/>
              <w:bottom w:w="142" w:type="dxa"/>
              <w:right w:w="142" w:type="dxa"/>
            </w:tcMar>
            <w:hideMark/>
          </w:tcPr>
          <w:p w14:paraId="76C46C4A" w14:textId="77777777" w:rsidR="00AE0FE0" w:rsidRDefault="00AE0FE0">
            <w:pPr>
              <w:pStyle w:val="NormalWeb"/>
            </w:pPr>
            <w:r>
              <w:t>(97.4)</w:t>
            </w:r>
          </w:p>
        </w:tc>
      </w:tr>
      <w:tr w:rsidR="00751C2F" w14:paraId="2860338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B9182F2" w14:textId="77777777" w:rsidR="00AE0FE0" w:rsidRDefault="00AE0FE0">
            <w:pPr>
              <w:pStyle w:val="NormalWeb"/>
            </w:pPr>
            <w:r>
              <w:t>Myalgia</w:t>
            </w:r>
          </w:p>
        </w:tc>
        <w:tc>
          <w:tcPr>
            <w:tcW w:w="0" w:type="auto"/>
            <w:tcMar>
              <w:top w:w="142" w:type="dxa"/>
              <w:left w:w="142" w:type="dxa"/>
              <w:bottom w:w="142" w:type="dxa"/>
              <w:right w:w="142" w:type="dxa"/>
            </w:tcMar>
            <w:hideMark/>
          </w:tcPr>
          <w:p w14:paraId="7859665C" w14:textId="77777777" w:rsidR="00AE0FE0" w:rsidRDefault="00AE0FE0">
            <w:pPr>
              <w:pStyle w:val="NormalWeb"/>
            </w:pPr>
            <w:r>
              <w:t>104</w:t>
            </w:r>
          </w:p>
        </w:tc>
        <w:tc>
          <w:tcPr>
            <w:tcW w:w="0" w:type="auto"/>
            <w:tcMar>
              <w:top w:w="142" w:type="dxa"/>
              <w:left w:w="142" w:type="dxa"/>
              <w:bottom w:w="142" w:type="dxa"/>
              <w:right w:w="142" w:type="dxa"/>
            </w:tcMar>
            <w:hideMark/>
          </w:tcPr>
          <w:p w14:paraId="18B8DF92" w14:textId="77777777" w:rsidR="00AE0FE0" w:rsidRDefault="00AE0FE0">
            <w:pPr>
              <w:pStyle w:val="NormalWeb"/>
            </w:pPr>
            <w:r>
              <w:t>1</w:t>
            </w:r>
          </w:p>
        </w:tc>
        <w:tc>
          <w:tcPr>
            <w:tcW w:w="0" w:type="auto"/>
            <w:tcMar>
              <w:top w:w="142" w:type="dxa"/>
              <w:left w:w="142" w:type="dxa"/>
              <w:bottom w:w="142" w:type="dxa"/>
              <w:right w:w="142" w:type="dxa"/>
            </w:tcMar>
            <w:hideMark/>
          </w:tcPr>
          <w:p w14:paraId="0765992B" w14:textId="77777777" w:rsidR="00AE0FE0" w:rsidRDefault="00AE0FE0">
            <w:pPr>
              <w:pStyle w:val="NormalWeb"/>
            </w:pPr>
            <w:r>
              <w:t>(1.0)</w:t>
            </w:r>
          </w:p>
        </w:tc>
        <w:tc>
          <w:tcPr>
            <w:tcW w:w="0" w:type="auto"/>
            <w:tcMar>
              <w:top w:w="142" w:type="dxa"/>
              <w:left w:w="142" w:type="dxa"/>
              <w:bottom w:w="142" w:type="dxa"/>
              <w:right w:w="142" w:type="dxa"/>
            </w:tcMar>
            <w:hideMark/>
          </w:tcPr>
          <w:p w14:paraId="5FB1B1C7" w14:textId="77777777" w:rsidR="00AE0FE0" w:rsidRDefault="00AE0FE0">
            <w:pPr>
              <w:pStyle w:val="NormalWeb"/>
            </w:pPr>
            <w:r>
              <w:t>5</w:t>
            </w:r>
          </w:p>
        </w:tc>
        <w:tc>
          <w:tcPr>
            <w:tcW w:w="0" w:type="auto"/>
            <w:tcMar>
              <w:top w:w="142" w:type="dxa"/>
              <w:left w:w="142" w:type="dxa"/>
              <w:bottom w:w="142" w:type="dxa"/>
              <w:right w:w="142" w:type="dxa"/>
            </w:tcMar>
            <w:hideMark/>
          </w:tcPr>
          <w:p w14:paraId="3EFE111C" w14:textId="77777777" w:rsidR="00AE0FE0" w:rsidRDefault="00AE0FE0">
            <w:pPr>
              <w:pStyle w:val="NormalWeb"/>
            </w:pPr>
            <w:r>
              <w:t>(4.8)</w:t>
            </w:r>
          </w:p>
        </w:tc>
        <w:tc>
          <w:tcPr>
            <w:tcW w:w="0" w:type="auto"/>
            <w:tcMar>
              <w:top w:w="142" w:type="dxa"/>
              <w:left w:w="142" w:type="dxa"/>
              <w:bottom w:w="142" w:type="dxa"/>
              <w:right w:w="142" w:type="dxa"/>
            </w:tcMar>
            <w:hideMark/>
          </w:tcPr>
          <w:p w14:paraId="33E335A4" w14:textId="77777777" w:rsidR="00AE0FE0" w:rsidRDefault="00AE0FE0">
            <w:pPr>
              <w:pStyle w:val="NormalWeb"/>
            </w:pPr>
            <w:r>
              <w:t>1</w:t>
            </w:r>
          </w:p>
        </w:tc>
        <w:tc>
          <w:tcPr>
            <w:tcW w:w="0" w:type="auto"/>
            <w:tcMar>
              <w:top w:w="142" w:type="dxa"/>
              <w:left w:w="142" w:type="dxa"/>
              <w:bottom w:w="142" w:type="dxa"/>
              <w:right w:w="142" w:type="dxa"/>
            </w:tcMar>
            <w:hideMark/>
          </w:tcPr>
          <w:p w14:paraId="2E8D9F95" w14:textId="77777777" w:rsidR="00AE0FE0" w:rsidRDefault="00AE0FE0">
            <w:pPr>
              <w:pStyle w:val="NormalWeb"/>
            </w:pPr>
            <w:r>
              <w:t>(1.0)</w:t>
            </w:r>
          </w:p>
        </w:tc>
        <w:tc>
          <w:tcPr>
            <w:tcW w:w="0" w:type="auto"/>
            <w:tcMar>
              <w:top w:w="142" w:type="dxa"/>
              <w:left w:w="142" w:type="dxa"/>
              <w:bottom w:w="142" w:type="dxa"/>
              <w:right w:w="142" w:type="dxa"/>
            </w:tcMar>
            <w:hideMark/>
          </w:tcPr>
          <w:p w14:paraId="0A2FEA27" w14:textId="77777777" w:rsidR="00AE0FE0" w:rsidRDefault="00AE0FE0">
            <w:pPr>
              <w:pStyle w:val="NormalWeb"/>
            </w:pPr>
            <w:r>
              <w:t>95</w:t>
            </w:r>
          </w:p>
        </w:tc>
        <w:tc>
          <w:tcPr>
            <w:tcW w:w="0" w:type="auto"/>
            <w:tcMar>
              <w:top w:w="142" w:type="dxa"/>
              <w:left w:w="142" w:type="dxa"/>
              <w:bottom w:w="142" w:type="dxa"/>
              <w:right w:w="142" w:type="dxa"/>
            </w:tcMar>
            <w:hideMark/>
          </w:tcPr>
          <w:p w14:paraId="6B369788" w14:textId="77777777" w:rsidR="00AE0FE0" w:rsidRDefault="00AE0FE0">
            <w:pPr>
              <w:pStyle w:val="NormalWeb"/>
            </w:pPr>
            <w:r>
              <w:t>(91.3)</w:t>
            </w:r>
          </w:p>
        </w:tc>
      </w:tr>
      <w:tr w:rsidR="009525C9" w14:paraId="2F8ABCB9"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DA62E25" w14:textId="77777777" w:rsidR="00AE0FE0" w:rsidRDefault="00AE0FE0">
            <w:pPr>
              <w:pStyle w:val="NormalWeb"/>
            </w:pPr>
            <w:r>
              <w:t>Injected limb mobility decreased</w:t>
            </w:r>
          </w:p>
        </w:tc>
        <w:tc>
          <w:tcPr>
            <w:tcW w:w="0" w:type="auto"/>
            <w:tcMar>
              <w:top w:w="142" w:type="dxa"/>
              <w:left w:w="142" w:type="dxa"/>
              <w:bottom w:w="142" w:type="dxa"/>
              <w:right w:w="142" w:type="dxa"/>
            </w:tcMar>
            <w:hideMark/>
          </w:tcPr>
          <w:p w14:paraId="3B450254" w14:textId="77777777" w:rsidR="00AE0FE0" w:rsidRDefault="00AE0FE0">
            <w:pPr>
              <w:pStyle w:val="NormalWeb"/>
            </w:pPr>
            <w:r>
              <w:t>76</w:t>
            </w:r>
          </w:p>
        </w:tc>
        <w:tc>
          <w:tcPr>
            <w:tcW w:w="0" w:type="auto"/>
            <w:tcMar>
              <w:top w:w="142" w:type="dxa"/>
              <w:left w:w="142" w:type="dxa"/>
              <w:bottom w:w="142" w:type="dxa"/>
              <w:right w:w="142" w:type="dxa"/>
            </w:tcMar>
            <w:hideMark/>
          </w:tcPr>
          <w:p w14:paraId="617735E4" w14:textId="77777777" w:rsidR="00AE0FE0" w:rsidRDefault="00AE0FE0">
            <w:pPr>
              <w:pStyle w:val="NormalWeb"/>
            </w:pPr>
            <w:r>
              <w:t>0</w:t>
            </w:r>
          </w:p>
        </w:tc>
        <w:tc>
          <w:tcPr>
            <w:tcW w:w="0" w:type="auto"/>
            <w:tcMar>
              <w:top w:w="142" w:type="dxa"/>
              <w:left w:w="142" w:type="dxa"/>
              <w:bottom w:w="142" w:type="dxa"/>
              <w:right w:w="142" w:type="dxa"/>
            </w:tcMar>
            <w:hideMark/>
          </w:tcPr>
          <w:p w14:paraId="355B62D1" w14:textId="77777777" w:rsidR="00AE0FE0" w:rsidRDefault="00AE0FE0">
            <w:pPr>
              <w:pStyle w:val="NormalWeb"/>
            </w:pPr>
            <w:r>
              <w:t>(0.0)</w:t>
            </w:r>
          </w:p>
        </w:tc>
        <w:tc>
          <w:tcPr>
            <w:tcW w:w="0" w:type="auto"/>
            <w:tcMar>
              <w:top w:w="142" w:type="dxa"/>
              <w:left w:w="142" w:type="dxa"/>
              <w:bottom w:w="142" w:type="dxa"/>
              <w:right w:w="142" w:type="dxa"/>
            </w:tcMar>
            <w:hideMark/>
          </w:tcPr>
          <w:p w14:paraId="0DEAB07D" w14:textId="77777777" w:rsidR="00AE0FE0" w:rsidRDefault="00AE0FE0">
            <w:pPr>
              <w:pStyle w:val="NormalWeb"/>
            </w:pPr>
            <w:r>
              <w:t>1</w:t>
            </w:r>
          </w:p>
        </w:tc>
        <w:tc>
          <w:tcPr>
            <w:tcW w:w="0" w:type="auto"/>
            <w:tcMar>
              <w:top w:w="142" w:type="dxa"/>
              <w:left w:w="142" w:type="dxa"/>
              <w:bottom w:w="142" w:type="dxa"/>
              <w:right w:w="142" w:type="dxa"/>
            </w:tcMar>
            <w:hideMark/>
          </w:tcPr>
          <w:p w14:paraId="7F81669A" w14:textId="77777777" w:rsidR="00AE0FE0" w:rsidRDefault="00AE0FE0">
            <w:pPr>
              <w:pStyle w:val="NormalWeb"/>
            </w:pPr>
            <w:r>
              <w:t>(1.3)</w:t>
            </w:r>
          </w:p>
        </w:tc>
        <w:tc>
          <w:tcPr>
            <w:tcW w:w="0" w:type="auto"/>
            <w:tcMar>
              <w:top w:w="142" w:type="dxa"/>
              <w:left w:w="142" w:type="dxa"/>
              <w:bottom w:w="142" w:type="dxa"/>
              <w:right w:w="142" w:type="dxa"/>
            </w:tcMar>
            <w:hideMark/>
          </w:tcPr>
          <w:p w14:paraId="224A0ED1" w14:textId="77777777" w:rsidR="00AE0FE0" w:rsidRDefault="00AE0FE0">
            <w:pPr>
              <w:pStyle w:val="NormalWeb"/>
            </w:pPr>
            <w:r>
              <w:t>11</w:t>
            </w:r>
          </w:p>
        </w:tc>
        <w:tc>
          <w:tcPr>
            <w:tcW w:w="0" w:type="auto"/>
            <w:tcMar>
              <w:top w:w="142" w:type="dxa"/>
              <w:left w:w="142" w:type="dxa"/>
              <w:bottom w:w="142" w:type="dxa"/>
              <w:right w:w="142" w:type="dxa"/>
            </w:tcMar>
            <w:hideMark/>
          </w:tcPr>
          <w:p w14:paraId="0E273EEC" w14:textId="77777777" w:rsidR="00AE0FE0" w:rsidRDefault="00AE0FE0">
            <w:pPr>
              <w:pStyle w:val="NormalWeb"/>
            </w:pPr>
            <w:r>
              <w:t>(14.5)</w:t>
            </w:r>
          </w:p>
        </w:tc>
        <w:tc>
          <w:tcPr>
            <w:tcW w:w="0" w:type="auto"/>
            <w:tcMar>
              <w:top w:w="142" w:type="dxa"/>
              <w:left w:w="142" w:type="dxa"/>
              <w:bottom w:w="142" w:type="dxa"/>
              <w:right w:w="142" w:type="dxa"/>
            </w:tcMar>
            <w:hideMark/>
          </w:tcPr>
          <w:p w14:paraId="12A592CB" w14:textId="77777777" w:rsidR="00AE0FE0" w:rsidRDefault="00AE0FE0">
            <w:pPr>
              <w:pStyle w:val="NormalWeb"/>
            </w:pPr>
            <w:r>
              <w:t>63</w:t>
            </w:r>
          </w:p>
        </w:tc>
        <w:tc>
          <w:tcPr>
            <w:tcW w:w="0" w:type="auto"/>
            <w:tcMar>
              <w:top w:w="142" w:type="dxa"/>
              <w:left w:w="142" w:type="dxa"/>
              <w:bottom w:w="142" w:type="dxa"/>
              <w:right w:w="142" w:type="dxa"/>
            </w:tcMar>
            <w:hideMark/>
          </w:tcPr>
          <w:p w14:paraId="74FD2BEB" w14:textId="77777777" w:rsidR="00AE0FE0" w:rsidRDefault="00AE0FE0">
            <w:pPr>
              <w:pStyle w:val="NormalWeb"/>
            </w:pPr>
            <w:r>
              <w:t>(82.9)</w:t>
            </w:r>
          </w:p>
        </w:tc>
      </w:tr>
      <w:tr w:rsidR="00751C2F" w14:paraId="1F1986F4"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876E3D7" w14:textId="77777777" w:rsidR="00AE0FE0" w:rsidRDefault="00AE0FE0">
            <w:pPr>
              <w:pStyle w:val="NormalWeb"/>
            </w:pPr>
            <w:r>
              <w:t>Chills</w:t>
            </w:r>
          </w:p>
        </w:tc>
        <w:tc>
          <w:tcPr>
            <w:tcW w:w="0" w:type="auto"/>
            <w:tcMar>
              <w:top w:w="142" w:type="dxa"/>
              <w:left w:w="142" w:type="dxa"/>
              <w:bottom w:w="142" w:type="dxa"/>
              <w:right w:w="142" w:type="dxa"/>
            </w:tcMar>
            <w:hideMark/>
          </w:tcPr>
          <w:p w14:paraId="040F98C2" w14:textId="77777777" w:rsidR="00AE0FE0" w:rsidRDefault="00AE0FE0">
            <w:pPr>
              <w:pStyle w:val="NormalWeb"/>
            </w:pPr>
            <w:r>
              <w:t>73</w:t>
            </w:r>
          </w:p>
        </w:tc>
        <w:tc>
          <w:tcPr>
            <w:tcW w:w="0" w:type="auto"/>
            <w:tcMar>
              <w:top w:w="142" w:type="dxa"/>
              <w:left w:w="142" w:type="dxa"/>
              <w:bottom w:w="142" w:type="dxa"/>
              <w:right w:w="142" w:type="dxa"/>
            </w:tcMar>
            <w:hideMark/>
          </w:tcPr>
          <w:p w14:paraId="65640272" w14:textId="77777777" w:rsidR="00AE0FE0" w:rsidRDefault="00AE0FE0">
            <w:pPr>
              <w:pStyle w:val="NormalWeb"/>
            </w:pPr>
            <w:r>
              <w:t>1</w:t>
            </w:r>
          </w:p>
        </w:tc>
        <w:tc>
          <w:tcPr>
            <w:tcW w:w="0" w:type="auto"/>
            <w:tcMar>
              <w:top w:w="142" w:type="dxa"/>
              <w:left w:w="142" w:type="dxa"/>
              <w:bottom w:w="142" w:type="dxa"/>
              <w:right w:w="142" w:type="dxa"/>
            </w:tcMar>
            <w:hideMark/>
          </w:tcPr>
          <w:p w14:paraId="48BEC38D" w14:textId="77777777" w:rsidR="00AE0FE0" w:rsidRDefault="00AE0FE0">
            <w:pPr>
              <w:pStyle w:val="NormalWeb"/>
            </w:pPr>
            <w:r>
              <w:t>(1.4)</w:t>
            </w:r>
          </w:p>
        </w:tc>
        <w:tc>
          <w:tcPr>
            <w:tcW w:w="0" w:type="auto"/>
            <w:tcMar>
              <w:top w:w="142" w:type="dxa"/>
              <w:left w:w="142" w:type="dxa"/>
              <w:bottom w:w="142" w:type="dxa"/>
              <w:right w:w="142" w:type="dxa"/>
            </w:tcMar>
            <w:hideMark/>
          </w:tcPr>
          <w:p w14:paraId="5960E6E4" w14:textId="77777777" w:rsidR="00AE0FE0" w:rsidRDefault="00AE0FE0">
            <w:pPr>
              <w:pStyle w:val="NormalWeb"/>
            </w:pPr>
            <w:r>
              <w:t>7</w:t>
            </w:r>
          </w:p>
        </w:tc>
        <w:tc>
          <w:tcPr>
            <w:tcW w:w="0" w:type="auto"/>
            <w:tcMar>
              <w:top w:w="142" w:type="dxa"/>
              <w:left w:w="142" w:type="dxa"/>
              <w:bottom w:w="142" w:type="dxa"/>
              <w:right w:w="142" w:type="dxa"/>
            </w:tcMar>
            <w:hideMark/>
          </w:tcPr>
          <w:p w14:paraId="75869D87" w14:textId="77777777" w:rsidR="00AE0FE0" w:rsidRDefault="00AE0FE0">
            <w:pPr>
              <w:pStyle w:val="NormalWeb"/>
            </w:pPr>
            <w:r>
              <w:t>(9.6)</w:t>
            </w:r>
          </w:p>
        </w:tc>
        <w:tc>
          <w:tcPr>
            <w:tcW w:w="0" w:type="auto"/>
            <w:tcMar>
              <w:top w:w="142" w:type="dxa"/>
              <w:left w:w="142" w:type="dxa"/>
              <w:bottom w:w="142" w:type="dxa"/>
              <w:right w:w="142" w:type="dxa"/>
            </w:tcMar>
            <w:hideMark/>
          </w:tcPr>
          <w:p w14:paraId="4856490A" w14:textId="77777777" w:rsidR="00AE0FE0" w:rsidRDefault="00AE0FE0">
            <w:pPr>
              <w:pStyle w:val="NormalWeb"/>
            </w:pPr>
            <w:r>
              <w:t>12</w:t>
            </w:r>
          </w:p>
        </w:tc>
        <w:tc>
          <w:tcPr>
            <w:tcW w:w="0" w:type="auto"/>
            <w:tcMar>
              <w:top w:w="142" w:type="dxa"/>
              <w:left w:w="142" w:type="dxa"/>
              <w:bottom w:w="142" w:type="dxa"/>
              <w:right w:w="142" w:type="dxa"/>
            </w:tcMar>
            <w:hideMark/>
          </w:tcPr>
          <w:p w14:paraId="313CEE5C" w14:textId="77777777" w:rsidR="00AE0FE0" w:rsidRDefault="00AE0FE0">
            <w:pPr>
              <w:pStyle w:val="NormalWeb"/>
            </w:pPr>
            <w:r>
              <w:t>(16.4)</w:t>
            </w:r>
          </w:p>
        </w:tc>
        <w:tc>
          <w:tcPr>
            <w:tcW w:w="0" w:type="auto"/>
            <w:tcMar>
              <w:top w:w="142" w:type="dxa"/>
              <w:left w:w="142" w:type="dxa"/>
              <w:bottom w:w="142" w:type="dxa"/>
              <w:right w:w="142" w:type="dxa"/>
            </w:tcMar>
            <w:hideMark/>
          </w:tcPr>
          <w:p w14:paraId="0990FE37" w14:textId="77777777" w:rsidR="00AE0FE0" w:rsidRDefault="00AE0FE0">
            <w:pPr>
              <w:pStyle w:val="NormalWeb"/>
            </w:pPr>
            <w:r>
              <w:t>59</w:t>
            </w:r>
          </w:p>
        </w:tc>
        <w:tc>
          <w:tcPr>
            <w:tcW w:w="0" w:type="auto"/>
            <w:tcMar>
              <w:top w:w="142" w:type="dxa"/>
              <w:left w:w="142" w:type="dxa"/>
              <w:bottom w:w="142" w:type="dxa"/>
              <w:right w:w="142" w:type="dxa"/>
            </w:tcMar>
            <w:hideMark/>
          </w:tcPr>
          <w:p w14:paraId="1A753FB3" w14:textId="77777777" w:rsidR="00AE0FE0" w:rsidRDefault="00AE0FE0">
            <w:pPr>
              <w:pStyle w:val="NormalWeb"/>
            </w:pPr>
            <w:r>
              <w:t>(80.8)</w:t>
            </w:r>
          </w:p>
        </w:tc>
      </w:tr>
      <w:tr w:rsidR="009525C9" w14:paraId="6B40C5F4"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15AF8B6" w14:textId="77777777" w:rsidR="00AE0FE0" w:rsidRDefault="00AE0FE0">
            <w:pPr>
              <w:pStyle w:val="NormalWeb"/>
            </w:pPr>
            <w:r>
              <w:t>Erythema</w:t>
            </w:r>
          </w:p>
        </w:tc>
        <w:tc>
          <w:tcPr>
            <w:tcW w:w="0" w:type="auto"/>
            <w:tcMar>
              <w:top w:w="142" w:type="dxa"/>
              <w:left w:w="142" w:type="dxa"/>
              <w:bottom w:w="142" w:type="dxa"/>
              <w:right w:w="142" w:type="dxa"/>
            </w:tcMar>
            <w:hideMark/>
          </w:tcPr>
          <w:p w14:paraId="0A042F31" w14:textId="77777777" w:rsidR="00AE0FE0" w:rsidRDefault="00AE0FE0">
            <w:pPr>
              <w:pStyle w:val="NormalWeb"/>
            </w:pPr>
            <w:r>
              <w:t>66</w:t>
            </w:r>
          </w:p>
        </w:tc>
        <w:tc>
          <w:tcPr>
            <w:tcW w:w="0" w:type="auto"/>
            <w:tcMar>
              <w:top w:w="142" w:type="dxa"/>
              <w:left w:w="142" w:type="dxa"/>
              <w:bottom w:w="142" w:type="dxa"/>
              <w:right w:w="142" w:type="dxa"/>
            </w:tcMar>
            <w:hideMark/>
          </w:tcPr>
          <w:p w14:paraId="5D9332CE" w14:textId="77777777" w:rsidR="00AE0FE0" w:rsidRDefault="00AE0FE0">
            <w:pPr>
              <w:pStyle w:val="NormalWeb"/>
            </w:pPr>
            <w:r>
              <w:t>9</w:t>
            </w:r>
          </w:p>
        </w:tc>
        <w:tc>
          <w:tcPr>
            <w:tcW w:w="0" w:type="auto"/>
            <w:tcMar>
              <w:top w:w="142" w:type="dxa"/>
              <w:left w:w="142" w:type="dxa"/>
              <w:bottom w:w="142" w:type="dxa"/>
              <w:right w:w="142" w:type="dxa"/>
            </w:tcMar>
            <w:hideMark/>
          </w:tcPr>
          <w:p w14:paraId="7310F807" w14:textId="77777777" w:rsidR="00AE0FE0" w:rsidRDefault="00AE0FE0">
            <w:pPr>
              <w:pStyle w:val="NormalWeb"/>
            </w:pPr>
            <w:r>
              <w:t>(13.6)</w:t>
            </w:r>
          </w:p>
        </w:tc>
        <w:tc>
          <w:tcPr>
            <w:tcW w:w="0" w:type="auto"/>
            <w:tcMar>
              <w:top w:w="142" w:type="dxa"/>
              <w:left w:w="142" w:type="dxa"/>
              <w:bottom w:w="142" w:type="dxa"/>
              <w:right w:w="142" w:type="dxa"/>
            </w:tcMar>
            <w:hideMark/>
          </w:tcPr>
          <w:p w14:paraId="6D0813A9" w14:textId="77777777" w:rsidR="00AE0FE0" w:rsidRDefault="00AE0FE0">
            <w:pPr>
              <w:pStyle w:val="NormalWeb"/>
            </w:pPr>
            <w:r>
              <w:t>5</w:t>
            </w:r>
          </w:p>
        </w:tc>
        <w:tc>
          <w:tcPr>
            <w:tcW w:w="0" w:type="auto"/>
            <w:tcMar>
              <w:top w:w="142" w:type="dxa"/>
              <w:left w:w="142" w:type="dxa"/>
              <w:bottom w:w="142" w:type="dxa"/>
              <w:right w:w="142" w:type="dxa"/>
            </w:tcMar>
            <w:hideMark/>
          </w:tcPr>
          <w:p w14:paraId="69E7229E" w14:textId="77777777" w:rsidR="00AE0FE0" w:rsidRDefault="00AE0FE0">
            <w:pPr>
              <w:pStyle w:val="NormalWeb"/>
            </w:pPr>
            <w:r>
              <w:t>(7.6)</w:t>
            </w:r>
          </w:p>
        </w:tc>
        <w:tc>
          <w:tcPr>
            <w:tcW w:w="0" w:type="auto"/>
            <w:tcMar>
              <w:top w:w="142" w:type="dxa"/>
              <w:left w:w="142" w:type="dxa"/>
              <w:bottom w:w="142" w:type="dxa"/>
              <w:right w:w="142" w:type="dxa"/>
            </w:tcMar>
            <w:hideMark/>
          </w:tcPr>
          <w:p w14:paraId="6327FAB6" w14:textId="77777777" w:rsidR="00AE0FE0" w:rsidRDefault="00AE0FE0">
            <w:pPr>
              <w:pStyle w:val="NormalWeb"/>
            </w:pPr>
            <w:r>
              <w:t>30</w:t>
            </w:r>
          </w:p>
        </w:tc>
        <w:tc>
          <w:tcPr>
            <w:tcW w:w="0" w:type="auto"/>
            <w:tcMar>
              <w:top w:w="142" w:type="dxa"/>
              <w:left w:w="142" w:type="dxa"/>
              <w:bottom w:w="142" w:type="dxa"/>
              <w:right w:w="142" w:type="dxa"/>
            </w:tcMar>
            <w:hideMark/>
          </w:tcPr>
          <w:p w14:paraId="0FCA06DD" w14:textId="77777777" w:rsidR="00AE0FE0" w:rsidRDefault="00AE0FE0">
            <w:pPr>
              <w:pStyle w:val="NormalWeb"/>
            </w:pPr>
            <w:r>
              <w:t>(45.5)</w:t>
            </w:r>
          </w:p>
        </w:tc>
        <w:tc>
          <w:tcPr>
            <w:tcW w:w="0" w:type="auto"/>
            <w:tcMar>
              <w:top w:w="142" w:type="dxa"/>
              <w:left w:w="142" w:type="dxa"/>
              <w:bottom w:w="142" w:type="dxa"/>
              <w:right w:w="142" w:type="dxa"/>
            </w:tcMar>
            <w:hideMark/>
          </w:tcPr>
          <w:p w14:paraId="54761198" w14:textId="77777777" w:rsidR="00AE0FE0" w:rsidRDefault="00AE0FE0">
            <w:pPr>
              <w:pStyle w:val="NormalWeb"/>
            </w:pPr>
            <w:r>
              <w:t>34</w:t>
            </w:r>
          </w:p>
        </w:tc>
        <w:tc>
          <w:tcPr>
            <w:tcW w:w="0" w:type="auto"/>
            <w:tcMar>
              <w:top w:w="142" w:type="dxa"/>
              <w:left w:w="142" w:type="dxa"/>
              <w:bottom w:w="142" w:type="dxa"/>
              <w:right w:w="142" w:type="dxa"/>
            </w:tcMar>
            <w:hideMark/>
          </w:tcPr>
          <w:p w14:paraId="508DCEBB" w14:textId="77777777" w:rsidR="00AE0FE0" w:rsidRDefault="00AE0FE0">
            <w:pPr>
              <w:pStyle w:val="NormalWeb"/>
            </w:pPr>
            <w:r>
              <w:t>(51.5)</w:t>
            </w:r>
          </w:p>
        </w:tc>
      </w:tr>
      <w:tr w:rsidR="00751C2F" w14:paraId="2C4CA073"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EF722AB" w14:textId="77777777" w:rsidR="00AE0FE0" w:rsidRDefault="00AE0FE0">
            <w:pPr>
              <w:pStyle w:val="NormalWeb"/>
            </w:pPr>
            <w:r>
              <w:lastRenderedPageBreak/>
              <w:t>Fatigue</w:t>
            </w:r>
          </w:p>
        </w:tc>
        <w:tc>
          <w:tcPr>
            <w:tcW w:w="0" w:type="auto"/>
            <w:tcMar>
              <w:top w:w="142" w:type="dxa"/>
              <w:left w:w="142" w:type="dxa"/>
              <w:bottom w:w="142" w:type="dxa"/>
              <w:right w:w="142" w:type="dxa"/>
            </w:tcMar>
            <w:hideMark/>
          </w:tcPr>
          <w:p w14:paraId="59F9CBDE" w14:textId="77777777" w:rsidR="00AE0FE0" w:rsidRDefault="00AE0FE0">
            <w:pPr>
              <w:pStyle w:val="NormalWeb"/>
            </w:pPr>
            <w:r>
              <w:t>65</w:t>
            </w:r>
          </w:p>
        </w:tc>
        <w:tc>
          <w:tcPr>
            <w:tcW w:w="0" w:type="auto"/>
            <w:tcMar>
              <w:top w:w="142" w:type="dxa"/>
              <w:left w:w="142" w:type="dxa"/>
              <w:bottom w:w="142" w:type="dxa"/>
              <w:right w:w="142" w:type="dxa"/>
            </w:tcMar>
            <w:hideMark/>
          </w:tcPr>
          <w:p w14:paraId="5F0EE401" w14:textId="77777777" w:rsidR="00AE0FE0" w:rsidRDefault="00AE0FE0">
            <w:pPr>
              <w:pStyle w:val="NormalWeb"/>
            </w:pPr>
            <w:r>
              <w:t>1</w:t>
            </w:r>
          </w:p>
        </w:tc>
        <w:tc>
          <w:tcPr>
            <w:tcW w:w="0" w:type="auto"/>
            <w:tcMar>
              <w:top w:w="142" w:type="dxa"/>
              <w:left w:w="142" w:type="dxa"/>
              <w:bottom w:w="142" w:type="dxa"/>
              <w:right w:w="142" w:type="dxa"/>
            </w:tcMar>
            <w:hideMark/>
          </w:tcPr>
          <w:p w14:paraId="594DEAD4" w14:textId="77777777" w:rsidR="00AE0FE0" w:rsidRDefault="00AE0FE0">
            <w:pPr>
              <w:pStyle w:val="NormalWeb"/>
            </w:pPr>
            <w:r>
              <w:t>(1.5)</w:t>
            </w:r>
          </w:p>
        </w:tc>
        <w:tc>
          <w:tcPr>
            <w:tcW w:w="0" w:type="auto"/>
            <w:tcMar>
              <w:top w:w="142" w:type="dxa"/>
              <w:left w:w="142" w:type="dxa"/>
              <w:bottom w:w="142" w:type="dxa"/>
              <w:right w:w="142" w:type="dxa"/>
            </w:tcMar>
            <w:hideMark/>
          </w:tcPr>
          <w:p w14:paraId="1D36B982" w14:textId="77777777" w:rsidR="00AE0FE0" w:rsidRDefault="00AE0FE0">
            <w:pPr>
              <w:pStyle w:val="NormalWeb"/>
            </w:pPr>
            <w:r>
              <w:t>5</w:t>
            </w:r>
          </w:p>
        </w:tc>
        <w:tc>
          <w:tcPr>
            <w:tcW w:w="0" w:type="auto"/>
            <w:tcMar>
              <w:top w:w="142" w:type="dxa"/>
              <w:left w:w="142" w:type="dxa"/>
              <w:bottom w:w="142" w:type="dxa"/>
              <w:right w:w="142" w:type="dxa"/>
            </w:tcMar>
            <w:hideMark/>
          </w:tcPr>
          <w:p w14:paraId="577778AE" w14:textId="77777777" w:rsidR="00AE0FE0" w:rsidRDefault="00AE0FE0">
            <w:pPr>
              <w:pStyle w:val="NormalWeb"/>
            </w:pPr>
            <w:r>
              <w:t>(7.7)</w:t>
            </w:r>
          </w:p>
        </w:tc>
        <w:tc>
          <w:tcPr>
            <w:tcW w:w="0" w:type="auto"/>
            <w:tcMar>
              <w:top w:w="142" w:type="dxa"/>
              <w:left w:w="142" w:type="dxa"/>
              <w:bottom w:w="142" w:type="dxa"/>
              <w:right w:w="142" w:type="dxa"/>
            </w:tcMar>
            <w:hideMark/>
          </w:tcPr>
          <w:p w14:paraId="1D5D9DDB" w14:textId="77777777" w:rsidR="00AE0FE0" w:rsidRDefault="00AE0FE0">
            <w:pPr>
              <w:pStyle w:val="NormalWeb"/>
            </w:pPr>
            <w:r>
              <w:t>12</w:t>
            </w:r>
          </w:p>
        </w:tc>
        <w:tc>
          <w:tcPr>
            <w:tcW w:w="0" w:type="auto"/>
            <w:tcMar>
              <w:top w:w="142" w:type="dxa"/>
              <w:left w:w="142" w:type="dxa"/>
              <w:bottom w:w="142" w:type="dxa"/>
              <w:right w:w="142" w:type="dxa"/>
            </w:tcMar>
            <w:hideMark/>
          </w:tcPr>
          <w:p w14:paraId="2B7D8A97" w14:textId="77777777" w:rsidR="00AE0FE0" w:rsidRDefault="00AE0FE0">
            <w:pPr>
              <w:pStyle w:val="NormalWeb"/>
            </w:pPr>
            <w:r>
              <w:t>(18.5)</w:t>
            </w:r>
          </w:p>
        </w:tc>
        <w:tc>
          <w:tcPr>
            <w:tcW w:w="0" w:type="auto"/>
            <w:tcMar>
              <w:top w:w="142" w:type="dxa"/>
              <w:left w:w="142" w:type="dxa"/>
              <w:bottom w:w="142" w:type="dxa"/>
              <w:right w:w="142" w:type="dxa"/>
            </w:tcMar>
            <w:hideMark/>
          </w:tcPr>
          <w:p w14:paraId="0A3A86E5" w14:textId="77777777" w:rsidR="00AE0FE0" w:rsidRDefault="00AE0FE0">
            <w:pPr>
              <w:pStyle w:val="NormalWeb"/>
            </w:pPr>
            <w:r>
              <w:t>53</w:t>
            </w:r>
          </w:p>
        </w:tc>
        <w:tc>
          <w:tcPr>
            <w:tcW w:w="0" w:type="auto"/>
            <w:tcMar>
              <w:top w:w="142" w:type="dxa"/>
              <w:left w:w="142" w:type="dxa"/>
              <w:bottom w:w="142" w:type="dxa"/>
              <w:right w:w="142" w:type="dxa"/>
            </w:tcMar>
            <w:hideMark/>
          </w:tcPr>
          <w:p w14:paraId="0255AFF9" w14:textId="77777777" w:rsidR="00AE0FE0" w:rsidRDefault="00AE0FE0">
            <w:pPr>
              <w:pStyle w:val="NormalWeb"/>
            </w:pPr>
            <w:r>
              <w:t>(81.5)</w:t>
            </w:r>
          </w:p>
        </w:tc>
      </w:tr>
      <w:tr w:rsidR="009525C9" w14:paraId="79472806"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2B43014" w14:textId="77777777" w:rsidR="00AE0FE0" w:rsidRDefault="00AE0FE0">
            <w:pPr>
              <w:pStyle w:val="NormalWeb"/>
            </w:pPr>
            <w:r>
              <w:t>Malaise</w:t>
            </w:r>
          </w:p>
        </w:tc>
        <w:tc>
          <w:tcPr>
            <w:tcW w:w="0" w:type="auto"/>
            <w:tcMar>
              <w:top w:w="142" w:type="dxa"/>
              <w:left w:w="142" w:type="dxa"/>
              <w:bottom w:w="142" w:type="dxa"/>
              <w:right w:w="142" w:type="dxa"/>
            </w:tcMar>
            <w:hideMark/>
          </w:tcPr>
          <w:p w14:paraId="25A520A5" w14:textId="77777777" w:rsidR="00AE0FE0" w:rsidRDefault="00AE0FE0">
            <w:pPr>
              <w:pStyle w:val="NormalWeb"/>
            </w:pPr>
            <w:r>
              <w:t>64</w:t>
            </w:r>
          </w:p>
        </w:tc>
        <w:tc>
          <w:tcPr>
            <w:tcW w:w="0" w:type="auto"/>
            <w:tcMar>
              <w:top w:w="142" w:type="dxa"/>
              <w:left w:w="142" w:type="dxa"/>
              <w:bottom w:w="142" w:type="dxa"/>
              <w:right w:w="142" w:type="dxa"/>
            </w:tcMar>
            <w:hideMark/>
          </w:tcPr>
          <w:p w14:paraId="4AE22851" w14:textId="77777777" w:rsidR="00AE0FE0" w:rsidRDefault="00AE0FE0">
            <w:pPr>
              <w:pStyle w:val="NormalWeb"/>
            </w:pPr>
            <w:r>
              <w:t>1</w:t>
            </w:r>
          </w:p>
        </w:tc>
        <w:tc>
          <w:tcPr>
            <w:tcW w:w="0" w:type="auto"/>
            <w:tcMar>
              <w:top w:w="142" w:type="dxa"/>
              <w:left w:w="142" w:type="dxa"/>
              <w:bottom w:w="142" w:type="dxa"/>
              <w:right w:w="142" w:type="dxa"/>
            </w:tcMar>
            <w:hideMark/>
          </w:tcPr>
          <w:p w14:paraId="6131851D" w14:textId="77777777" w:rsidR="00AE0FE0" w:rsidRDefault="00AE0FE0">
            <w:pPr>
              <w:pStyle w:val="NormalWeb"/>
            </w:pPr>
            <w:r>
              <w:t>(1.6)</w:t>
            </w:r>
          </w:p>
        </w:tc>
        <w:tc>
          <w:tcPr>
            <w:tcW w:w="0" w:type="auto"/>
            <w:tcMar>
              <w:top w:w="142" w:type="dxa"/>
              <w:left w:w="142" w:type="dxa"/>
              <w:bottom w:w="142" w:type="dxa"/>
              <w:right w:w="142" w:type="dxa"/>
            </w:tcMar>
            <w:hideMark/>
          </w:tcPr>
          <w:p w14:paraId="43CC93A2" w14:textId="77777777" w:rsidR="00AE0FE0" w:rsidRDefault="00AE0FE0">
            <w:pPr>
              <w:pStyle w:val="NormalWeb"/>
            </w:pPr>
            <w:r>
              <w:t>8</w:t>
            </w:r>
          </w:p>
        </w:tc>
        <w:tc>
          <w:tcPr>
            <w:tcW w:w="0" w:type="auto"/>
            <w:tcMar>
              <w:top w:w="142" w:type="dxa"/>
              <w:left w:w="142" w:type="dxa"/>
              <w:bottom w:w="142" w:type="dxa"/>
              <w:right w:w="142" w:type="dxa"/>
            </w:tcMar>
            <w:hideMark/>
          </w:tcPr>
          <w:p w14:paraId="1A488F7C" w14:textId="77777777" w:rsidR="00AE0FE0" w:rsidRDefault="00AE0FE0">
            <w:pPr>
              <w:pStyle w:val="NormalWeb"/>
            </w:pPr>
            <w:r>
              <w:t>(12.5)</w:t>
            </w:r>
          </w:p>
        </w:tc>
        <w:tc>
          <w:tcPr>
            <w:tcW w:w="0" w:type="auto"/>
            <w:tcMar>
              <w:top w:w="142" w:type="dxa"/>
              <w:left w:w="142" w:type="dxa"/>
              <w:bottom w:w="142" w:type="dxa"/>
              <w:right w:w="142" w:type="dxa"/>
            </w:tcMar>
            <w:hideMark/>
          </w:tcPr>
          <w:p w14:paraId="6CB55585" w14:textId="77777777" w:rsidR="00AE0FE0" w:rsidRDefault="00AE0FE0">
            <w:pPr>
              <w:pStyle w:val="NormalWeb"/>
            </w:pPr>
            <w:r>
              <w:t>7</w:t>
            </w:r>
          </w:p>
        </w:tc>
        <w:tc>
          <w:tcPr>
            <w:tcW w:w="0" w:type="auto"/>
            <w:tcMar>
              <w:top w:w="142" w:type="dxa"/>
              <w:left w:w="142" w:type="dxa"/>
              <w:bottom w:w="142" w:type="dxa"/>
              <w:right w:w="142" w:type="dxa"/>
            </w:tcMar>
            <w:hideMark/>
          </w:tcPr>
          <w:p w14:paraId="039EC87B" w14:textId="77777777" w:rsidR="00AE0FE0" w:rsidRDefault="00AE0FE0">
            <w:pPr>
              <w:pStyle w:val="NormalWeb"/>
            </w:pPr>
            <w:r>
              <w:t>(10.9)</w:t>
            </w:r>
          </w:p>
        </w:tc>
        <w:tc>
          <w:tcPr>
            <w:tcW w:w="0" w:type="auto"/>
            <w:tcMar>
              <w:top w:w="142" w:type="dxa"/>
              <w:left w:w="142" w:type="dxa"/>
              <w:bottom w:w="142" w:type="dxa"/>
              <w:right w:w="142" w:type="dxa"/>
            </w:tcMar>
            <w:hideMark/>
          </w:tcPr>
          <w:p w14:paraId="7D7DBF37" w14:textId="77777777" w:rsidR="00AE0FE0" w:rsidRDefault="00AE0FE0">
            <w:pPr>
              <w:pStyle w:val="NormalWeb"/>
            </w:pPr>
            <w:r>
              <w:t>53</w:t>
            </w:r>
          </w:p>
        </w:tc>
        <w:tc>
          <w:tcPr>
            <w:tcW w:w="0" w:type="auto"/>
            <w:tcMar>
              <w:top w:w="142" w:type="dxa"/>
              <w:left w:w="142" w:type="dxa"/>
              <w:bottom w:w="142" w:type="dxa"/>
              <w:right w:w="142" w:type="dxa"/>
            </w:tcMar>
            <w:hideMark/>
          </w:tcPr>
          <w:p w14:paraId="5C1DAB72" w14:textId="77777777" w:rsidR="00AE0FE0" w:rsidRDefault="00AE0FE0">
            <w:pPr>
              <w:pStyle w:val="NormalWeb"/>
            </w:pPr>
            <w:r>
              <w:t>(82.8)</w:t>
            </w:r>
          </w:p>
        </w:tc>
      </w:tr>
      <w:tr w:rsidR="00751C2F" w14:paraId="000A86E7"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9D778CC" w14:textId="77777777" w:rsidR="00AE0FE0" w:rsidRDefault="00AE0FE0">
            <w:pPr>
              <w:pStyle w:val="NormalWeb"/>
            </w:pPr>
            <w:r>
              <w:t>Paraesthesia</w:t>
            </w:r>
          </w:p>
        </w:tc>
        <w:tc>
          <w:tcPr>
            <w:tcW w:w="0" w:type="auto"/>
            <w:tcMar>
              <w:top w:w="142" w:type="dxa"/>
              <w:left w:w="142" w:type="dxa"/>
              <w:bottom w:w="142" w:type="dxa"/>
              <w:right w:w="142" w:type="dxa"/>
            </w:tcMar>
            <w:hideMark/>
          </w:tcPr>
          <w:p w14:paraId="1A420573" w14:textId="77777777" w:rsidR="00AE0FE0" w:rsidRDefault="00AE0FE0">
            <w:pPr>
              <w:pStyle w:val="NormalWeb"/>
            </w:pPr>
            <w:r>
              <w:t>64</w:t>
            </w:r>
          </w:p>
        </w:tc>
        <w:tc>
          <w:tcPr>
            <w:tcW w:w="0" w:type="auto"/>
            <w:tcMar>
              <w:top w:w="142" w:type="dxa"/>
              <w:left w:w="142" w:type="dxa"/>
              <w:bottom w:w="142" w:type="dxa"/>
              <w:right w:w="142" w:type="dxa"/>
            </w:tcMar>
            <w:hideMark/>
          </w:tcPr>
          <w:p w14:paraId="71D7D05C" w14:textId="77777777" w:rsidR="00AE0FE0" w:rsidRDefault="00AE0FE0">
            <w:pPr>
              <w:pStyle w:val="NormalWeb"/>
            </w:pPr>
            <w:r>
              <w:t>3</w:t>
            </w:r>
          </w:p>
        </w:tc>
        <w:tc>
          <w:tcPr>
            <w:tcW w:w="0" w:type="auto"/>
            <w:tcMar>
              <w:top w:w="142" w:type="dxa"/>
              <w:left w:w="142" w:type="dxa"/>
              <w:bottom w:w="142" w:type="dxa"/>
              <w:right w:w="142" w:type="dxa"/>
            </w:tcMar>
            <w:hideMark/>
          </w:tcPr>
          <w:p w14:paraId="7F61537A" w14:textId="77777777" w:rsidR="00AE0FE0" w:rsidRDefault="00AE0FE0">
            <w:pPr>
              <w:pStyle w:val="NormalWeb"/>
            </w:pPr>
            <w:r>
              <w:t>(4.7)</w:t>
            </w:r>
          </w:p>
        </w:tc>
        <w:tc>
          <w:tcPr>
            <w:tcW w:w="0" w:type="auto"/>
            <w:tcMar>
              <w:top w:w="142" w:type="dxa"/>
              <w:left w:w="142" w:type="dxa"/>
              <w:bottom w:w="142" w:type="dxa"/>
              <w:right w:w="142" w:type="dxa"/>
            </w:tcMar>
            <w:hideMark/>
          </w:tcPr>
          <w:p w14:paraId="53CC6B7A" w14:textId="77777777" w:rsidR="00AE0FE0" w:rsidRDefault="00AE0FE0">
            <w:pPr>
              <w:pStyle w:val="NormalWeb"/>
            </w:pPr>
            <w:r>
              <w:t>7</w:t>
            </w:r>
          </w:p>
        </w:tc>
        <w:tc>
          <w:tcPr>
            <w:tcW w:w="0" w:type="auto"/>
            <w:tcMar>
              <w:top w:w="142" w:type="dxa"/>
              <w:left w:w="142" w:type="dxa"/>
              <w:bottom w:w="142" w:type="dxa"/>
              <w:right w:w="142" w:type="dxa"/>
            </w:tcMar>
            <w:hideMark/>
          </w:tcPr>
          <w:p w14:paraId="64440068" w14:textId="77777777" w:rsidR="00AE0FE0" w:rsidRDefault="00AE0FE0">
            <w:pPr>
              <w:pStyle w:val="NormalWeb"/>
            </w:pPr>
            <w:r>
              <w:t>(10.9)</w:t>
            </w:r>
          </w:p>
        </w:tc>
        <w:tc>
          <w:tcPr>
            <w:tcW w:w="0" w:type="auto"/>
            <w:tcMar>
              <w:top w:w="142" w:type="dxa"/>
              <w:left w:w="142" w:type="dxa"/>
              <w:bottom w:w="142" w:type="dxa"/>
              <w:right w:w="142" w:type="dxa"/>
            </w:tcMar>
            <w:hideMark/>
          </w:tcPr>
          <w:p w14:paraId="1FD094DD" w14:textId="77777777" w:rsidR="00AE0FE0" w:rsidRDefault="00AE0FE0">
            <w:pPr>
              <w:pStyle w:val="NormalWeb"/>
            </w:pPr>
            <w:r>
              <w:t>0</w:t>
            </w:r>
          </w:p>
        </w:tc>
        <w:tc>
          <w:tcPr>
            <w:tcW w:w="0" w:type="auto"/>
            <w:tcMar>
              <w:top w:w="142" w:type="dxa"/>
              <w:left w:w="142" w:type="dxa"/>
              <w:bottom w:w="142" w:type="dxa"/>
              <w:right w:w="142" w:type="dxa"/>
            </w:tcMar>
            <w:hideMark/>
          </w:tcPr>
          <w:p w14:paraId="1FEB9829" w14:textId="77777777" w:rsidR="00AE0FE0" w:rsidRDefault="00AE0FE0">
            <w:pPr>
              <w:pStyle w:val="NormalWeb"/>
            </w:pPr>
            <w:r>
              <w:t>(0.0)</w:t>
            </w:r>
          </w:p>
        </w:tc>
        <w:tc>
          <w:tcPr>
            <w:tcW w:w="0" w:type="auto"/>
            <w:tcMar>
              <w:top w:w="142" w:type="dxa"/>
              <w:left w:w="142" w:type="dxa"/>
              <w:bottom w:w="142" w:type="dxa"/>
              <w:right w:w="142" w:type="dxa"/>
            </w:tcMar>
            <w:hideMark/>
          </w:tcPr>
          <w:p w14:paraId="2C392760" w14:textId="77777777" w:rsidR="00AE0FE0" w:rsidRDefault="00AE0FE0">
            <w:pPr>
              <w:pStyle w:val="NormalWeb"/>
            </w:pPr>
            <w:r>
              <w:t>61</w:t>
            </w:r>
          </w:p>
        </w:tc>
        <w:tc>
          <w:tcPr>
            <w:tcW w:w="0" w:type="auto"/>
            <w:tcMar>
              <w:top w:w="142" w:type="dxa"/>
              <w:left w:w="142" w:type="dxa"/>
              <w:bottom w:w="142" w:type="dxa"/>
              <w:right w:w="142" w:type="dxa"/>
            </w:tcMar>
            <w:hideMark/>
          </w:tcPr>
          <w:p w14:paraId="27A8567B" w14:textId="77777777" w:rsidR="00AE0FE0" w:rsidRDefault="00AE0FE0">
            <w:pPr>
              <w:pStyle w:val="NormalWeb"/>
            </w:pPr>
            <w:r>
              <w:t>(95.3)</w:t>
            </w:r>
          </w:p>
        </w:tc>
      </w:tr>
      <w:tr w:rsidR="009525C9" w14:paraId="31D6D8B9"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EE5F3B5" w14:textId="77777777" w:rsidR="00AE0FE0" w:rsidRDefault="00AE0FE0">
            <w:pPr>
              <w:pStyle w:val="NormalWeb"/>
            </w:pPr>
            <w:r>
              <w:t>Pruritus</w:t>
            </w:r>
          </w:p>
        </w:tc>
        <w:tc>
          <w:tcPr>
            <w:tcW w:w="0" w:type="auto"/>
            <w:tcMar>
              <w:top w:w="142" w:type="dxa"/>
              <w:left w:w="142" w:type="dxa"/>
              <w:bottom w:w="142" w:type="dxa"/>
              <w:right w:w="142" w:type="dxa"/>
            </w:tcMar>
            <w:hideMark/>
          </w:tcPr>
          <w:p w14:paraId="46C32B8A" w14:textId="77777777" w:rsidR="00AE0FE0" w:rsidRDefault="00AE0FE0">
            <w:pPr>
              <w:pStyle w:val="NormalWeb"/>
            </w:pPr>
            <w:r>
              <w:t>63</w:t>
            </w:r>
          </w:p>
        </w:tc>
        <w:tc>
          <w:tcPr>
            <w:tcW w:w="0" w:type="auto"/>
            <w:tcMar>
              <w:top w:w="142" w:type="dxa"/>
              <w:left w:w="142" w:type="dxa"/>
              <w:bottom w:w="142" w:type="dxa"/>
              <w:right w:w="142" w:type="dxa"/>
            </w:tcMar>
            <w:hideMark/>
          </w:tcPr>
          <w:p w14:paraId="486A2ADE" w14:textId="77777777" w:rsidR="00AE0FE0" w:rsidRDefault="00AE0FE0">
            <w:pPr>
              <w:pStyle w:val="NormalWeb"/>
            </w:pPr>
            <w:r>
              <w:t>2</w:t>
            </w:r>
          </w:p>
        </w:tc>
        <w:tc>
          <w:tcPr>
            <w:tcW w:w="0" w:type="auto"/>
            <w:tcMar>
              <w:top w:w="142" w:type="dxa"/>
              <w:left w:w="142" w:type="dxa"/>
              <w:bottom w:w="142" w:type="dxa"/>
              <w:right w:w="142" w:type="dxa"/>
            </w:tcMar>
            <w:hideMark/>
          </w:tcPr>
          <w:p w14:paraId="2BFB6968" w14:textId="77777777" w:rsidR="00AE0FE0" w:rsidRDefault="00AE0FE0">
            <w:pPr>
              <w:pStyle w:val="NormalWeb"/>
            </w:pPr>
            <w:r>
              <w:t>(3.2)</w:t>
            </w:r>
          </w:p>
        </w:tc>
        <w:tc>
          <w:tcPr>
            <w:tcW w:w="0" w:type="auto"/>
            <w:tcMar>
              <w:top w:w="142" w:type="dxa"/>
              <w:left w:w="142" w:type="dxa"/>
              <w:bottom w:w="142" w:type="dxa"/>
              <w:right w:w="142" w:type="dxa"/>
            </w:tcMar>
            <w:hideMark/>
          </w:tcPr>
          <w:p w14:paraId="67077DB1" w14:textId="77777777" w:rsidR="00AE0FE0" w:rsidRDefault="00AE0FE0">
            <w:pPr>
              <w:pStyle w:val="NormalWeb"/>
            </w:pPr>
            <w:r>
              <w:t>2</w:t>
            </w:r>
          </w:p>
        </w:tc>
        <w:tc>
          <w:tcPr>
            <w:tcW w:w="0" w:type="auto"/>
            <w:tcMar>
              <w:top w:w="142" w:type="dxa"/>
              <w:left w:w="142" w:type="dxa"/>
              <w:bottom w:w="142" w:type="dxa"/>
              <w:right w:w="142" w:type="dxa"/>
            </w:tcMar>
            <w:hideMark/>
          </w:tcPr>
          <w:p w14:paraId="256DD102" w14:textId="77777777" w:rsidR="00AE0FE0" w:rsidRDefault="00AE0FE0">
            <w:pPr>
              <w:pStyle w:val="NormalWeb"/>
            </w:pPr>
            <w:r>
              <w:t>(3.2)</w:t>
            </w:r>
          </w:p>
        </w:tc>
        <w:tc>
          <w:tcPr>
            <w:tcW w:w="0" w:type="auto"/>
            <w:tcMar>
              <w:top w:w="142" w:type="dxa"/>
              <w:left w:w="142" w:type="dxa"/>
              <w:bottom w:w="142" w:type="dxa"/>
              <w:right w:w="142" w:type="dxa"/>
            </w:tcMar>
            <w:hideMark/>
          </w:tcPr>
          <w:p w14:paraId="00F80E2D" w14:textId="77777777" w:rsidR="00AE0FE0" w:rsidRDefault="00AE0FE0">
            <w:pPr>
              <w:pStyle w:val="NormalWeb"/>
            </w:pPr>
            <w:r>
              <w:t>14</w:t>
            </w:r>
          </w:p>
        </w:tc>
        <w:tc>
          <w:tcPr>
            <w:tcW w:w="0" w:type="auto"/>
            <w:tcMar>
              <w:top w:w="142" w:type="dxa"/>
              <w:left w:w="142" w:type="dxa"/>
              <w:bottom w:w="142" w:type="dxa"/>
              <w:right w:w="142" w:type="dxa"/>
            </w:tcMar>
            <w:hideMark/>
          </w:tcPr>
          <w:p w14:paraId="47447CA9" w14:textId="77777777" w:rsidR="00AE0FE0" w:rsidRDefault="00AE0FE0">
            <w:pPr>
              <w:pStyle w:val="NormalWeb"/>
            </w:pPr>
            <w:r>
              <w:t>(22.2)</w:t>
            </w:r>
          </w:p>
        </w:tc>
        <w:tc>
          <w:tcPr>
            <w:tcW w:w="0" w:type="auto"/>
            <w:tcMar>
              <w:top w:w="142" w:type="dxa"/>
              <w:left w:w="142" w:type="dxa"/>
              <w:bottom w:w="142" w:type="dxa"/>
              <w:right w:w="142" w:type="dxa"/>
            </w:tcMar>
            <w:hideMark/>
          </w:tcPr>
          <w:p w14:paraId="296F2E99" w14:textId="77777777" w:rsidR="00AE0FE0" w:rsidRDefault="00AE0FE0">
            <w:pPr>
              <w:pStyle w:val="NormalWeb"/>
            </w:pPr>
            <w:r>
              <w:t>46</w:t>
            </w:r>
          </w:p>
        </w:tc>
        <w:tc>
          <w:tcPr>
            <w:tcW w:w="0" w:type="auto"/>
            <w:tcMar>
              <w:top w:w="142" w:type="dxa"/>
              <w:left w:w="142" w:type="dxa"/>
              <w:bottom w:w="142" w:type="dxa"/>
              <w:right w:w="142" w:type="dxa"/>
            </w:tcMar>
            <w:hideMark/>
          </w:tcPr>
          <w:p w14:paraId="295B624C" w14:textId="77777777" w:rsidR="00AE0FE0" w:rsidRDefault="00AE0FE0">
            <w:pPr>
              <w:pStyle w:val="NormalWeb"/>
            </w:pPr>
            <w:r>
              <w:t>(73.0)</w:t>
            </w:r>
          </w:p>
        </w:tc>
      </w:tr>
      <w:tr w:rsidR="00751C2F" w14:paraId="02BDD63D"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A450641" w14:textId="77777777" w:rsidR="00AE0FE0" w:rsidRDefault="00AE0FE0">
            <w:pPr>
              <w:pStyle w:val="NormalWeb"/>
            </w:pPr>
            <w:r>
              <w:t>Abdominal pain</w:t>
            </w:r>
          </w:p>
        </w:tc>
        <w:tc>
          <w:tcPr>
            <w:tcW w:w="0" w:type="auto"/>
            <w:tcMar>
              <w:top w:w="142" w:type="dxa"/>
              <w:left w:w="142" w:type="dxa"/>
              <w:bottom w:w="142" w:type="dxa"/>
              <w:right w:w="142" w:type="dxa"/>
            </w:tcMar>
            <w:hideMark/>
          </w:tcPr>
          <w:p w14:paraId="650DA54E" w14:textId="77777777" w:rsidR="00AE0FE0" w:rsidRDefault="00AE0FE0">
            <w:pPr>
              <w:pStyle w:val="NormalWeb"/>
            </w:pPr>
            <w:r>
              <w:t>56</w:t>
            </w:r>
          </w:p>
        </w:tc>
        <w:tc>
          <w:tcPr>
            <w:tcW w:w="0" w:type="auto"/>
            <w:tcMar>
              <w:top w:w="142" w:type="dxa"/>
              <w:left w:w="142" w:type="dxa"/>
              <w:bottom w:w="142" w:type="dxa"/>
              <w:right w:w="142" w:type="dxa"/>
            </w:tcMar>
            <w:hideMark/>
          </w:tcPr>
          <w:p w14:paraId="578B9C4B" w14:textId="77777777" w:rsidR="00AE0FE0" w:rsidRDefault="00AE0FE0">
            <w:pPr>
              <w:pStyle w:val="NormalWeb"/>
            </w:pPr>
            <w:r>
              <w:t>4</w:t>
            </w:r>
          </w:p>
        </w:tc>
        <w:tc>
          <w:tcPr>
            <w:tcW w:w="0" w:type="auto"/>
            <w:tcMar>
              <w:top w:w="142" w:type="dxa"/>
              <w:left w:w="142" w:type="dxa"/>
              <w:bottom w:w="142" w:type="dxa"/>
              <w:right w:w="142" w:type="dxa"/>
            </w:tcMar>
            <w:hideMark/>
          </w:tcPr>
          <w:p w14:paraId="21F7C5DC" w14:textId="77777777" w:rsidR="00AE0FE0" w:rsidRDefault="00AE0FE0">
            <w:pPr>
              <w:pStyle w:val="NormalWeb"/>
            </w:pPr>
            <w:r>
              <w:t>(7.1)</w:t>
            </w:r>
          </w:p>
        </w:tc>
        <w:tc>
          <w:tcPr>
            <w:tcW w:w="0" w:type="auto"/>
            <w:tcMar>
              <w:top w:w="142" w:type="dxa"/>
              <w:left w:w="142" w:type="dxa"/>
              <w:bottom w:w="142" w:type="dxa"/>
              <w:right w:w="142" w:type="dxa"/>
            </w:tcMar>
            <w:hideMark/>
          </w:tcPr>
          <w:p w14:paraId="396E4FE1" w14:textId="77777777" w:rsidR="00AE0FE0" w:rsidRDefault="00AE0FE0">
            <w:pPr>
              <w:pStyle w:val="NormalWeb"/>
            </w:pPr>
            <w:r>
              <w:t>10</w:t>
            </w:r>
          </w:p>
        </w:tc>
        <w:tc>
          <w:tcPr>
            <w:tcW w:w="0" w:type="auto"/>
            <w:tcMar>
              <w:top w:w="142" w:type="dxa"/>
              <w:left w:w="142" w:type="dxa"/>
              <w:bottom w:w="142" w:type="dxa"/>
              <w:right w:w="142" w:type="dxa"/>
            </w:tcMar>
            <w:hideMark/>
          </w:tcPr>
          <w:p w14:paraId="57FB451A" w14:textId="77777777" w:rsidR="00AE0FE0" w:rsidRDefault="00AE0FE0">
            <w:pPr>
              <w:pStyle w:val="NormalWeb"/>
            </w:pPr>
            <w:r>
              <w:t>(17.9)</w:t>
            </w:r>
          </w:p>
        </w:tc>
        <w:tc>
          <w:tcPr>
            <w:tcW w:w="0" w:type="auto"/>
            <w:tcMar>
              <w:top w:w="142" w:type="dxa"/>
              <w:left w:w="142" w:type="dxa"/>
              <w:bottom w:w="142" w:type="dxa"/>
              <w:right w:w="142" w:type="dxa"/>
            </w:tcMar>
            <w:hideMark/>
          </w:tcPr>
          <w:p w14:paraId="5D96D288" w14:textId="77777777" w:rsidR="00AE0FE0" w:rsidRDefault="00AE0FE0">
            <w:pPr>
              <w:pStyle w:val="NormalWeb"/>
            </w:pPr>
            <w:r>
              <w:t>16</w:t>
            </w:r>
          </w:p>
        </w:tc>
        <w:tc>
          <w:tcPr>
            <w:tcW w:w="0" w:type="auto"/>
            <w:tcMar>
              <w:top w:w="142" w:type="dxa"/>
              <w:left w:w="142" w:type="dxa"/>
              <w:bottom w:w="142" w:type="dxa"/>
              <w:right w:w="142" w:type="dxa"/>
            </w:tcMar>
            <w:hideMark/>
          </w:tcPr>
          <w:p w14:paraId="7E178E4F" w14:textId="77777777" w:rsidR="00AE0FE0" w:rsidRDefault="00AE0FE0">
            <w:pPr>
              <w:pStyle w:val="NormalWeb"/>
            </w:pPr>
            <w:r>
              <w:t>(28.6)</w:t>
            </w:r>
          </w:p>
        </w:tc>
        <w:tc>
          <w:tcPr>
            <w:tcW w:w="0" w:type="auto"/>
            <w:tcMar>
              <w:top w:w="142" w:type="dxa"/>
              <w:left w:w="142" w:type="dxa"/>
              <w:bottom w:w="142" w:type="dxa"/>
              <w:right w:w="142" w:type="dxa"/>
            </w:tcMar>
            <w:hideMark/>
          </w:tcPr>
          <w:p w14:paraId="68BB63E8" w14:textId="77777777" w:rsidR="00AE0FE0" w:rsidRDefault="00AE0FE0">
            <w:pPr>
              <w:pStyle w:val="NormalWeb"/>
            </w:pPr>
            <w:r>
              <w:t>39</w:t>
            </w:r>
          </w:p>
        </w:tc>
        <w:tc>
          <w:tcPr>
            <w:tcW w:w="0" w:type="auto"/>
            <w:tcMar>
              <w:top w:w="142" w:type="dxa"/>
              <w:left w:w="142" w:type="dxa"/>
              <w:bottom w:w="142" w:type="dxa"/>
              <w:right w:w="142" w:type="dxa"/>
            </w:tcMar>
            <w:hideMark/>
          </w:tcPr>
          <w:p w14:paraId="77F4BB2E" w14:textId="77777777" w:rsidR="00AE0FE0" w:rsidRDefault="00AE0FE0">
            <w:pPr>
              <w:pStyle w:val="NormalWeb"/>
            </w:pPr>
            <w:r>
              <w:t>(69.6)</w:t>
            </w:r>
          </w:p>
        </w:tc>
      </w:tr>
      <w:tr w:rsidR="009525C9" w14:paraId="088996C5"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7D0A5D2" w14:textId="77777777" w:rsidR="00AE0FE0" w:rsidRDefault="00AE0FE0">
            <w:pPr>
              <w:pStyle w:val="NormalWeb"/>
            </w:pPr>
            <w:r>
              <w:t>Presyncope</w:t>
            </w:r>
          </w:p>
        </w:tc>
        <w:tc>
          <w:tcPr>
            <w:tcW w:w="0" w:type="auto"/>
            <w:tcMar>
              <w:top w:w="142" w:type="dxa"/>
              <w:left w:w="142" w:type="dxa"/>
              <w:bottom w:w="142" w:type="dxa"/>
              <w:right w:w="142" w:type="dxa"/>
            </w:tcMar>
            <w:hideMark/>
          </w:tcPr>
          <w:p w14:paraId="2A7643F5" w14:textId="77777777" w:rsidR="00AE0FE0" w:rsidRDefault="00AE0FE0">
            <w:pPr>
              <w:pStyle w:val="NormalWeb"/>
            </w:pPr>
            <w:r>
              <w:t>47</w:t>
            </w:r>
          </w:p>
        </w:tc>
        <w:tc>
          <w:tcPr>
            <w:tcW w:w="0" w:type="auto"/>
            <w:tcMar>
              <w:top w:w="142" w:type="dxa"/>
              <w:left w:w="142" w:type="dxa"/>
              <w:bottom w:w="142" w:type="dxa"/>
              <w:right w:w="142" w:type="dxa"/>
            </w:tcMar>
            <w:hideMark/>
          </w:tcPr>
          <w:p w14:paraId="1619D03E" w14:textId="77777777" w:rsidR="00AE0FE0" w:rsidRDefault="00AE0FE0">
            <w:pPr>
              <w:pStyle w:val="NormalWeb"/>
            </w:pPr>
            <w:r>
              <w:t>27</w:t>
            </w:r>
          </w:p>
        </w:tc>
        <w:tc>
          <w:tcPr>
            <w:tcW w:w="0" w:type="auto"/>
            <w:tcMar>
              <w:top w:w="142" w:type="dxa"/>
              <w:left w:w="142" w:type="dxa"/>
              <w:bottom w:w="142" w:type="dxa"/>
              <w:right w:w="142" w:type="dxa"/>
            </w:tcMar>
            <w:hideMark/>
          </w:tcPr>
          <w:p w14:paraId="7756A3E0" w14:textId="77777777" w:rsidR="00AE0FE0" w:rsidRDefault="00AE0FE0">
            <w:pPr>
              <w:pStyle w:val="NormalWeb"/>
            </w:pPr>
            <w:r>
              <w:t>(57.4)</w:t>
            </w:r>
          </w:p>
        </w:tc>
        <w:tc>
          <w:tcPr>
            <w:tcW w:w="0" w:type="auto"/>
            <w:tcMar>
              <w:top w:w="142" w:type="dxa"/>
              <w:left w:w="142" w:type="dxa"/>
              <w:bottom w:w="142" w:type="dxa"/>
              <w:right w:w="142" w:type="dxa"/>
            </w:tcMar>
            <w:hideMark/>
          </w:tcPr>
          <w:p w14:paraId="51D9C1E8" w14:textId="77777777" w:rsidR="00AE0FE0" w:rsidRDefault="00AE0FE0">
            <w:pPr>
              <w:pStyle w:val="NormalWeb"/>
            </w:pPr>
            <w:r>
              <w:t>3</w:t>
            </w:r>
          </w:p>
        </w:tc>
        <w:tc>
          <w:tcPr>
            <w:tcW w:w="0" w:type="auto"/>
            <w:tcMar>
              <w:top w:w="142" w:type="dxa"/>
              <w:left w:w="142" w:type="dxa"/>
              <w:bottom w:w="142" w:type="dxa"/>
              <w:right w:w="142" w:type="dxa"/>
            </w:tcMar>
            <w:hideMark/>
          </w:tcPr>
          <w:p w14:paraId="29F0D319" w14:textId="77777777" w:rsidR="00AE0FE0" w:rsidRDefault="00AE0FE0">
            <w:pPr>
              <w:pStyle w:val="NormalWeb"/>
            </w:pPr>
            <w:r>
              <w:t>(6.4)</w:t>
            </w:r>
          </w:p>
        </w:tc>
        <w:tc>
          <w:tcPr>
            <w:tcW w:w="0" w:type="auto"/>
            <w:tcMar>
              <w:top w:w="142" w:type="dxa"/>
              <w:left w:w="142" w:type="dxa"/>
              <w:bottom w:w="142" w:type="dxa"/>
              <w:right w:w="142" w:type="dxa"/>
            </w:tcMar>
            <w:hideMark/>
          </w:tcPr>
          <w:p w14:paraId="16DF3C8D" w14:textId="77777777" w:rsidR="00AE0FE0" w:rsidRDefault="00AE0FE0">
            <w:pPr>
              <w:pStyle w:val="NormalWeb"/>
            </w:pPr>
            <w:r>
              <w:t>11</w:t>
            </w:r>
          </w:p>
        </w:tc>
        <w:tc>
          <w:tcPr>
            <w:tcW w:w="0" w:type="auto"/>
            <w:tcMar>
              <w:top w:w="142" w:type="dxa"/>
              <w:left w:w="142" w:type="dxa"/>
              <w:bottom w:w="142" w:type="dxa"/>
              <w:right w:w="142" w:type="dxa"/>
            </w:tcMar>
            <w:hideMark/>
          </w:tcPr>
          <w:p w14:paraId="0D22B83B" w14:textId="77777777" w:rsidR="00AE0FE0" w:rsidRDefault="00AE0FE0">
            <w:pPr>
              <w:pStyle w:val="NormalWeb"/>
            </w:pPr>
            <w:r>
              <w:t>(23.4)</w:t>
            </w:r>
          </w:p>
        </w:tc>
        <w:tc>
          <w:tcPr>
            <w:tcW w:w="0" w:type="auto"/>
            <w:tcMar>
              <w:top w:w="142" w:type="dxa"/>
              <w:left w:w="142" w:type="dxa"/>
              <w:bottom w:w="142" w:type="dxa"/>
              <w:right w:w="142" w:type="dxa"/>
            </w:tcMar>
            <w:hideMark/>
          </w:tcPr>
          <w:p w14:paraId="08025C18" w14:textId="77777777" w:rsidR="00AE0FE0" w:rsidRDefault="00AE0FE0">
            <w:pPr>
              <w:pStyle w:val="NormalWeb"/>
            </w:pPr>
            <w:r>
              <w:t>34</w:t>
            </w:r>
          </w:p>
        </w:tc>
        <w:tc>
          <w:tcPr>
            <w:tcW w:w="0" w:type="auto"/>
            <w:tcMar>
              <w:top w:w="142" w:type="dxa"/>
              <w:left w:w="142" w:type="dxa"/>
              <w:bottom w:w="142" w:type="dxa"/>
              <w:right w:w="142" w:type="dxa"/>
            </w:tcMar>
            <w:hideMark/>
          </w:tcPr>
          <w:p w14:paraId="5D93C215" w14:textId="77777777" w:rsidR="00AE0FE0" w:rsidRDefault="00AE0FE0">
            <w:pPr>
              <w:pStyle w:val="NormalWeb"/>
            </w:pPr>
            <w:r>
              <w:t>(72.3)</w:t>
            </w:r>
          </w:p>
        </w:tc>
      </w:tr>
      <w:tr w:rsidR="00751C2F" w14:paraId="3EAE69A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169AFB4" w14:textId="77777777" w:rsidR="00AE0FE0" w:rsidRDefault="00AE0FE0">
            <w:pPr>
              <w:pStyle w:val="NormalWeb"/>
            </w:pPr>
            <w:r>
              <w:t>Cough</w:t>
            </w:r>
          </w:p>
        </w:tc>
        <w:tc>
          <w:tcPr>
            <w:tcW w:w="0" w:type="auto"/>
            <w:tcMar>
              <w:top w:w="142" w:type="dxa"/>
              <w:left w:w="142" w:type="dxa"/>
              <w:bottom w:w="142" w:type="dxa"/>
              <w:right w:w="142" w:type="dxa"/>
            </w:tcMar>
            <w:hideMark/>
          </w:tcPr>
          <w:p w14:paraId="6E863F57" w14:textId="77777777" w:rsidR="00AE0FE0" w:rsidRDefault="00AE0FE0">
            <w:pPr>
              <w:pStyle w:val="NormalWeb"/>
            </w:pPr>
            <w:r>
              <w:t>47</w:t>
            </w:r>
          </w:p>
        </w:tc>
        <w:tc>
          <w:tcPr>
            <w:tcW w:w="0" w:type="auto"/>
            <w:tcMar>
              <w:top w:w="142" w:type="dxa"/>
              <w:left w:w="142" w:type="dxa"/>
              <w:bottom w:w="142" w:type="dxa"/>
              <w:right w:w="142" w:type="dxa"/>
            </w:tcMar>
            <w:hideMark/>
          </w:tcPr>
          <w:p w14:paraId="2F38DA3A" w14:textId="77777777" w:rsidR="00AE0FE0" w:rsidRDefault="00AE0FE0">
            <w:pPr>
              <w:pStyle w:val="NormalWeb"/>
            </w:pPr>
            <w:r>
              <w:t>2</w:t>
            </w:r>
          </w:p>
        </w:tc>
        <w:tc>
          <w:tcPr>
            <w:tcW w:w="0" w:type="auto"/>
            <w:tcMar>
              <w:top w:w="142" w:type="dxa"/>
              <w:left w:w="142" w:type="dxa"/>
              <w:bottom w:w="142" w:type="dxa"/>
              <w:right w:w="142" w:type="dxa"/>
            </w:tcMar>
            <w:hideMark/>
          </w:tcPr>
          <w:p w14:paraId="3318B305" w14:textId="77777777" w:rsidR="00AE0FE0" w:rsidRDefault="00AE0FE0">
            <w:pPr>
              <w:pStyle w:val="NormalWeb"/>
            </w:pPr>
            <w:r>
              <w:t>(4.3)</w:t>
            </w:r>
          </w:p>
        </w:tc>
        <w:tc>
          <w:tcPr>
            <w:tcW w:w="0" w:type="auto"/>
            <w:tcMar>
              <w:top w:w="142" w:type="dxa"/>
              <w:left w:w="142" w:type="dxa"/>
              <w:bottom w:w="142" w:type="dxa"/>
              <w:right w:w="142" w:type="dxa"/>
            </w:tcMar>
            <w:hideMark/>
          </w:tcPr>
          <w:p w14:paraId="55989963" w14:textId="77777777" w:rsidR="00AE0FE0" w:rsidRDefault="00AE0FE0">
            <w:pPr>
              <w:pStyle w:val="NormalWeb"/>
            </w:pPr>
            <w:r>
              <w:t>8</w:t>
            </w:r>
          </w:p>
        </w:tc>
        <w:tc>
          <w:tcPr>
            <w:tcW w:w="0" w:type="auto"/>
            <w:tcMar>
              <w:top w:w="142" w:type="dxa"/>
              <w:left w:w="142" w:type="dxa"/>
              <w:bottom w:w="142" w:type="dxa"/>
              <w:right w:w="142" w:type="dxa"/>
            </w:tcMar>
            <w:hideMark/>
          </w:tcPr>
          <w:p w14:paraId="5A414B3F" w14:textId="77777777" w:rsidR="00AE0FE0" w:rsidRDefault="00AE0FE0">
            <w:pPr>
              <w:pStyle w:val="NormalWeb"/>
            </w:pPr>
            <w:r>
              <w:t>(17.0)</w:t>
            </w:r>
          </w:p>
        </w:tc>
        <w:tc>
          <w:tcPr>
            <w:tcW w:w="0" w:type="auto"/>
            <w:tcMar>
              <w:top w:w="142" w:type="dxa"/>
              <w:left w:w="142" w:type="dxa"/>
              <w:bottom w:w="142" w:type="dxa"/>
              <w:right w:w="142" w:type="dxa"/>
            </w:tcMar>
            <w:hideMark/>
          </w:tcPr>
          <w:p w14:paraId="15F09963" w14:textId="77777777" w:rsidR="00AE0FE0" w:rsidRDefault="00AE0FE0">
            <w:pPr>
              <w:pStyle w:val="NormalWeb"/>
            </w:pPr>
            <w:r>
              <w:t>15</w:t>
            </w:r>
          </w:p>
        </w:tc>
        <w:tc>
          <w:tcPr>
            <w:tcW w:w="0" w:type="auto"/>
            <w:tcMar>
              <w:top w:w="142" w:type="dxa"/>
              <w:left w:w="142" w:type="dxa"/>
              <w:bottom w:w="142" w:type="dxa"/>
              <w:right w:w="142" w:type="dxa"/>
            </w:tcMar>
            <w:hideMark/>
          </w:tcPr>
          <w:p w14:paraId="4A393B36" w14:textId="77777777" w:rsidR="00AE0FE0" w:rsidRDefault="00AE0FE0">
            <w:pPr>
              <w:pStyle w:val="NormalWeb"/>
            </w:pPr>
            <w:r>
              <w:t>(31.9)</w:t>
            </w:r>
          </w:p>
        </w:tc>
        <w:tc>
          <w:tcPr>
            <w:tcW w:w="0" w:type="auto"/>
            <w:tcMar>
              <w:top w:w="142" w:type="dxa"/>
              <w:left w:w="142" w:type="dxa"/>
              <w:bottom w:w="142" w:type="dxa"/>
              <w:right w:w="142" w:type="dxa"/>
            </w:tcMar>
            <w:hideMark/>
          </w:tcPr>
          <w:p w14:paraId="10A17511" w14:textId="77777777" w:rsidR="00AE0FE0" w:rsidRDefault="00AE0FE0">
            <w:pPr>
              <w:pStyle w:val="NormalWeb"/>
            </w:pPr>
            <w:r>
              <w:t>28</w:t>
            </w:r>
          </w:p>
        </w:tc>
        <w:tc>
          <w:tcPr>
            <w:tcW w:w="0" w:type="auto"/>
            <w:tcMar>
              <w:top w:w="142" w:type="dxa"/>
              <w:left w:w="142" w:type="dxa"/>
              <w:bottom w:w="142" w:type="dxa"/>
              <w:right w:w="142" w:type="dxa"/>
            </w:tcMar>
            <w:hideMark/>
          </w:tcPr>
          <w:p w14:paraId="1D14B69D" w14:textId="77777777" w:rsidR="00AE0FE0" w:rsidRDefault="00AE0FE0">
            <w:pPr>
              <w:pStyle w:val="NormalWeb"/>
            </w:pPr>
            <w:r>
              <w:t>(59.6)</w:t>
            </w:r>
          </w:p>
        </w:tc>
      </w:tr>
      <w:tr w:rsidR="009525C9" w14:paraId="088E2478"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418ADA5" w14:textId="77777777" w:rsidR="00AE0FE0" w:rsidRDefault="00AE0FE0">
            <w:pPr>
              <w:pStyle w:val="NormalWeb"/>
            </w:pPr>
            <w:r>
              <w:t>Hypotonic-hyporesponsive episode</w:t>
            </w:r>
          </w:p>
        </w:tc>
        <w:tc>
          <w:tcPr>
            <w:tcW w:w="0" w:type="auto"/>
            <w:tcMar>
              <w:top w:w="142" w:type="dxa"/>
              <w:left w:w="142" w:type="dxa"/>
              <w:bottom w:w="142" w:type="dxa"/>
              <w:right w:w="142" w:type="dxa"/>
            </w:tcMar>
            <w:hideMark/>
          </w:tcPr>
          <w:p w14:paraId="01CA7BB2" w14:textId="77777777" w:rsidR="00AE0FE0" w:rsidRDefault="00AE0FE0">
            <w:pPr>
              <w:pStyle w:val="NormalWeb"/>
            </w:pPr>
            <w:r>
              <w:t>46</w:t>
            </w:r>
          </w:p>
        </w:tc>
        <w:tc>
          <w:tcPr>
            <w:tcW w:w="0" w:type="auto"/>
            <w:tcMar>
              <w:top w:w="142" w:type="dxa"/>
              <w:left w:w="142" w:type="dxa"/>
              <w:bottom w:w="142" w:type="dxa"/>
              <w:right w:w="142" w:type="dxa"/>
            </w:tcMar>
            <w:hideMark/>
          </w:tcPr>
          <w:p w14:paraId="4FF80C97" w14:textId="77777777" w:rsidR="00AE0FE0" w:rsidRDefault="00AE0FE0">
            <w:pPr>
              <w:pStyle w:val="NormalWeb"/>
            </w:pPr>
            <w:r>
              <w:t>36</w:t>
            </w:r>
          </w:p>
        </w:tc>
        <w:tc>
          <w:tcPr>
            <w:tcW w:w="0" w:type="auto"/>
            <w:tcMar>
              <w:top w:w="142" w:type="dxa"/>
              <w:left w:w="142" w:type="dxa"/>
              <w:bottom w:w="142" w:type="dxa"/>
              <w:right w:w="142" w:type="dxa"/>
            </w:tcMar>
            <w:hideMark/>
          </w:tcPr>
          <w:p w14:paraId="7A07EE25" w14:textId="77777777" w:rsidR="00AE0FE0" w:rsidRDefault="00AE0FE0">
            <w:pPr>
              <w:pStyle w:val="NormalWeb"/>
            </w:pPr>
            <w:r>
              <w:t>(78.3)</w:t>
            </w:r>
          </w:p>
        </w:tc>
        <w:tc>
          <w:tcPr>
            <w:tcW w:w="0" w:type="auto"/>
            <w:tcMar>
              <w:top w:w="142" w:type="dxa"/>
              <w:left w:w="142" w:type="dxa"/>
              <w:bottom w:w="142" w:type="dxa"/>
              <w:right w:w="142" w:type="dxa"/>
            </w:tcMar>
            <w:hideMark/>
          </w:tcPr>
          <w:p w14:paraId="1D480ADD" w14:textId="77777777" w:rsidR="00AE0FE0" w:rsidRDefault="00AE0FE0">
            <w:pPr>
              <w:pStyle w:val="NormalWeb"/>
            </w:pPr>
            <w:r>
              <w:t>15</w:t>
            </w:r>
          </w:p>
        </w:tc>
        <w:tc>
          <w:tcPr>
            <w:tcW w:w="0" w:type="auto"/>
            <w:tcMar>
              <w:top w:w="142" w:type="dxa"/>
              <w:left w:w="142" w:type="dxa"/>
              <w:bottom w:w="142" w:type="dxa"/>
              <w:right w:w="142" w:type="dxa"/>
            </w:tcMar>
            <w:hideMark/>
          </w:tcPr>
          <w:p w14:paraId="6FD578DA" w14:textId="77777777" w:rsidR="00AE0FE0" w:rsidRDefault="00AE0FE0">
            <w:pPr>
              <w:pStyle w:val="NormalWeb"/>
            </w:pPr>
            <w:r>
              <w:t>(32.6)</w:t>
            </w:r>
          </w:p>
        </w:tc>
        <w:tc>
          <w:tcPr>
            <w:tcW w:w="0" w:type="auto"/>
            <w:tcMar>
              <w:top w:w="142" w:type="dxa"/>
              <w:left w:w="142" w:type="dxa"/>
              <w:bottom w:w="142" w:type="dxa"/>
              <w:right w:w="142" w:type="dxa"/>
            </w:tcMar>
            <w:hideMark/>
          </w:tcPr>
          <w:p w14:paraId="6B8A48B7" w14:textId="77777777" w:rsidR="00AE0FE0" w:rsidRDefault="00AE0FE0">
            <w:pPr>
              <w:pStyle w:val="NormalWeb"/>
            </w:pPr>
            <w:r>
              <w:t>46</w:t>
            </w:r>
          </w:p>
        </w:tc>
        <w:tc>
          <w:tcPr>
            <w:tcW w:w="0" w:type="auto"/>
            <w:tcMar>
              <w:top w:w="142" w:type="dxa"/>
              <w:left w:w="142" w:type="dxa"/>
              <w:bottom w:w="142" w:type="dxa"/>
              <w:right w:w="142" w:type="dxa"/>
            </w:tcMar>
            <w:hideMark/>
          </w:tcPr>
          <w:p w14:paraId="331488B2" w14:textId="77777777" w:rsidR="00AE0FE0" w:rsidRDefault="00AE0FE0">
            <w:pPr>
              <w:pStyle w:val="NormalWeb"/>
            </w:pPr>
            <w:r>
              <w:t>(100.0)</w:t>
            </w:r>
          </w:p>
        </w:tc>
        <w:tc>
          <w:tcPr>
            <w:tcW w:w="0" w:type="auto"/>
            <w:tcMar>
              <w:top w:w="142" w:type="dxa"/>
              <w:left w:w="142" w:type="dxa"/>
              <w:bottom w:w="142" w:type="dxa"/>
              <w:right w:w="142" w:type="dxa"/>
            </w:tcMar>
            <w:hideMark/>
          </w:tcPr>
          <w:p w14:paraId="35CCE404" w14:textId="77777777" w:rsidR="00AE0FE0" w:rsidRDefault="00AE0FE0">
            <w:pPr>
              <w:pStyle w:val="NormalWeb"/>
            </w:pPr>
            <w:r>
              <w:t>0</w:t>
            </w:r>
          </w:p>
        </w:tc>
        <w:tc>
          <w:tcPr>
            <w:tcW w:w="0" w:type="auto"/>
            <w:tcMar>
              <w:top w:w="142" w:type="dxa"/>
              <w:left w:w="142" w:type="dxa"/>
              <w:bottom w:w="142" w:type="dxa"/>
              <w:right w:w="142" w:type="dxa"/>
            </w:tcMar>
            <w:hideMark/>
          </w:tcPr>
          <w:p w14:paraId="10542EA5" w14:textId="77777777" w:rsidR="00AE0FE0" w:rsidRDefault="00AE0FE0">
            <w:pPr>
              <w:pStyle w:val="NormalWeb"/>
            </w:pPr>
            <w:r>
              <w:t>(0.0)</w:t>
            </w:r>
          </w:p>
        </w:tc>
      </w:tr>
      <w:tr w:rsidR="00751C2F" w14:paraId="3808E56A"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019CFBB" w14:textId="77777777" w:rsidR="00AE0FE0" w:rsidRDefault="00AE0FE0">
            <w:pPr>
              <w:pStyle w:val="NormalWeb"/>
            </w:pPr>
            <w:r>
              <w:t>Decreased appetite</w:t>
            </w:r>
          </w:p>
        </w:tc>
        <w:tc>
          <w:tcPr>
            <w:tcW w:w="0" w:type="auto"/>
            <w:tcMar>
              <w:top w:w="142" w:type="dxa"/>
              <w:left w:w="142" w:type="dxa"/>
              <w:bottom w:w="142" w:type="dxa"/>
              <w:right w:w="142" w:type="dxa"/>
            </w:tcMar>
            <w:hideMark/>
          </w:tcPr>
          <w:p w14:paraId="0943255C" w14:textId="77777777" w:rsidR="00AE0FE0" w:rsidRDefault="00AE0FE0">
            <w:pPr>
              <w:pStyle w:val="NormalWeb"/>
            </w:pPr>
            <w:r>
              <w:t>46</w:t>
            </w:r>
          </w:p>
        </w:tc>
        <w:tc>
          <w:tcPr>
            <w:tcW w:w="0" w:type="auto"/>
            <w:tcMar>
              <w:top w:w="142" w:type="dxa"/>
              <w:left w:w="142" w:type="dxa"/>
              <w:bottom w:w="142" w:type="dxa"/>
              <w:right w:w="142" w:type="dxa"/>
            </w:tcMar>
            <w:hideMark/>
          </w:tcPr>
          <w:p w14:paraId="6FFCE787" w14:textId="77777777" w:rsidR="00AE0FE0" w:rsidRDefault="00AE0FE0">
            <w:pPr>
              <w:pStyle w:val="NormalWeb"/>
            </w:pPr>
            <w:r>
              <w:t>0</w:t>
            </w:r>
          </w:p>
        </w:tc>
        <w:tc>
          <w:tcPr>
            <w:tcW w:w="0" w:type="auto"/>
            <w:tcMar>
              <w:top w:w="142" w:type="dxa"/>
              <w:left w:w="142" w:type="dxa"/>
              <w:bottom w:w="142" w:type="dxa"/>
              <w:right w:w="142" w:type="dxa"/>
            </w:tcMar>
            <w:hideMark/>
          </w:tcPr>
          <w:p w14:paraId="544B0D38" w14:textId="77777777" w:rsidR="00AE0FE0" w:rsidRDefault="00AE0FE0">
            <w:pPr>
              <w:pStyle w:val="NormalWeb"/>
            </w:pPr>
            <w:r>
              <w:t>(0.0)</w:t>
            </w:r>
          </w:p>
        </w:tc>
        <w:tc>
          <w:tcPr>
            <w:tcW w:w="0" w:type="auto"/>
            <w:tcMar>
              <w:top w:w="142" w:type="dxa"/>
              <w:left w:w="142" w:type="dxa"/>
              <w:bottom w:w="142" w:type="dxa"/>
              <w:right w:w="142" w:type="dxa"/>
            </w:tcMar>
            <w:hideMark/>
          </w:tcPr>
          <w:p w14:paraId="5E46FBD4" w14:textId="77777777" w:rsidR="00AE0FE0" w:rsidRDefault="00AE0FE0">
            <w:pPr>
              <w:pStyle w:val="NormalWeb"/>
            </w:pPr>
            <w:r>
              <w:t>2</w:t>
            </w:r>
          </w:p>
        </w:tc>
        <w:tc>
          <w:tcPr>
            <w:tcW w:w="0" w:type="auto"/>
            <w:tcMar>
              <w:top w:w="142" w:type="dxa"/>
              <w:left w:w="142" w:type="dxa"/>
              <w:bottom w:w="142" w:type="dxa"/>
              <w:right w:w="142" w:type="dxa"/>
            </w:tcMar>
            <w:hideMark/>
          </w:tcPr>
          <w:p w14:paraId="6437CFBA" w14:textId="77777777" w:rsidR="00AE0FE0" w:rsidRDefault="00AE0FE0">
            <w:pPr>
              <w:pStyle w:val="NormalWeb"/>
            </w:pPr>
            <w:r>
              <w:t>(4.3)</w:t>
            </w:r>
          </w:p>
        </w:tc>
        <w:tc>
          <w:tcPr>
            <w:tcW w:w="0" w:type="auto"/>
            <w:tcMar>
              <w:top w:w="142" w:type="dxa"/>
              <w:left w:w="142" w:type="dxa"/>
              <w:bottom w:w="142" w:type="dxa"/>
              <w:right w:w="142" w:type="dxa"/>
            </w:tcMar>
            <w:hideMark/>
          </w:tcPr>
          <w:p w14:paraId="4C28F8FF" w14:textId="77777777" w:rsidR="00AE0FE0" w:rsidRDefault="00AE0FE0">
            <w:pPr>
              <w:pStyle w:val="NormalWeb"/>
            </w:pPr>
            <w:r>
              <w:t>31</w:t>
            </w:r>
          </w:p>
        </w:tc>
        <w:tc>
          <w:tcPr>
            <w:tcW w:w="0" w:type="auto"/>
            <w:tcMar>
              <w:top w:w="142" w:type="dxa"/>
              <w:left w:w="142" w:type="dxa"/>
              <w:bottom w:w="142" w:type="dxa"/>
              <w:right w:w="142" w:type="dxa"/>
            </w:tcMar>
            <w:hideMark/>
          </w:tcPr>
          <w:p w14:paraId="5AE53417" w14:textId="77777777" w:rsidR="00AE0FE0" w:rsidRDefault="00AE0FE0">
            <w:pPr>
              <w:pStyle w:val="NormalWeb"/>
            </w:pPr>
            <w:r>
              <w:t>(67.4)</w:t>
            </w:r>
          </w:p>
        </w:tc>
        <w:tc>
          <w:tcPr>
            <w:tcW w:w="0" w:type="auto"/>
            <w:tcMar>
              <w:top w:w="142" w:type="dxa"/>
              <w:left w:w="142" w:type="dxa"/>
              <w:bottom w:w="142" w:type="dxa"/>
              <w:right w:w="142" w:type="dxa"/>
            </w:tcMar>
            <w:hideMark/>
          </w:tcPr>
          <w:p w14:paraId="260C2DF3" w14:textId="77777777" w:rsidR="00AE0FE0" w:rsidRDefault="00AE0FE0">
            <w:pPr>
              <w:pStyle w:val="NormalWeb"/>
            </w:pPr>
            <w:r>
              <w:t>14</w:t>
            </w:r>
          </w:p>
        </w:tc>
        <w:tc>
          <w:tcPr>
            <w:tcW w:w="0" w:type="auto"/>
            <w:tcMar>
              <w:top w:w="142" w:type="dxa"/>
              <w:left w:w="142" w:type="dxa"/>
              <w:bottom w:w="142" w:type="dxa"/>
              <w:right w:w="142" w:type="dxa"/>
            </w:tcMar>
            <w:hideMark/>
          </w:tcPr>
          <w:p w14:paraId="3C4B83B7" w14:textId="77777777" w:rsidR="00AE0FE0" w:rsidRDefault="00AE0FE0">
            <w:pPr>
              <w:pStyle w:val="NormalWeb"/>
            </w:pPr>
            <w:r>
              <w:t>(30.4)</w:t>
            </w:r>
          </w:p>
        </w:tc>
      </w:tr>
      <w:tr w:rsidR="009525C9" w14:paraId="427A50BF"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855D67E" w14:textId="77777777" w:rsidR="00AE0FE0" w:rsidRDefault="00AE0FE0">
            <w:pPr>
              <w:pStyle w:val="NormalWeb"/>
            </w:pPr>
            <w:r>
              <w:t>Arthralgia</w:t>
            </w:r>
          </w:p>
        </w:tc>
        <w:tc>
          <w:tcPr>
            <w:tcW w:w="0" w:type="auto"/>
            <w:tcMar>
              <w:top w:w="142" w:type="dxa"/>
              <w:left w:w="142" w:type="dxa"/>
              <w:bottom w:w="142" w:type="dxa"/>
              <w:right w:w="142" w:type="dxa"/>
            </w:tcMar>
            <w:hideMark/>
          </w:tcPr>
          <w:p w14:paraId="20128873" w14:textId="77777777" w:rsidR="00AE0FE0" w:rsidRDefault="00AE0FE0">
            <w:pPr>
              <w:pStyle w:val="NormalWeb"/>
            </w:pPr>
            <w:r>
              <w:t>46</w:t>
            </w:r>
          </w:p>
        </w:tc>
        <w:tc>
          <w:tcPr>
            <w:tcW w:w="0" w:type="auto"/>
            <w:tcMar>
              <w:top w:w="142" w:type="dxa"/>
              <w:left w:w="142" w:type="dxa"/>
              <w:bottom w:w="142" w:type="dxa"/>
              <w:right w:w="142" w:type="dxa"/>
            </w:tcMar>
            <w:hideMark/>
          </w:tcPr>
          <w:p w14:paraId="0209741B" w14:textId="77777777" w:rsidR="00AE0FE0" w:rsidRDefault="00AE0FE0">
            <w:pPr>
              <w:pStyle w:val="NormalWeb"/>
            </w:pPr>
            <w:r>
              <w:t>3</w:t>
            </w:r>
          </w:p>
        </w:tc>
        <w:tc>
          <w:tcPr>
            <w:tcW w:w="0" w:type="auto"/>
            <w:tcMar>
              <w:top w:w="142" w:type="dxa"/>
              <w:left w:w="142" w:type="dxa"/>
              <w:bottom w:w="142" w:type="dxa"/>
              <w:right w:w="142" w:type="dxa"/>
            </w:tcMar>
            <w:hideMark/>
          </w:tcPr>
          <w:p w14:paraId="3FB7D87F" w14:textId="77777777" w:rsidR="00AE0FE0" w:rsidRDefault="00AE0FE0">
            <w:pPr>
              <w:pStyle w:val="NormalWeb"/>
            </w:pPr>
            <w:r>
              <w:t>(6.5)</w:t>
            </w:r>
          </w:p>
        </w:tc>
        <w:tc>
          <w:tcPr>
            <w:tcW w:w="0" w:type="auto"/>
            <w:tcMar>
              <w:top w:w="142" w:type="dxa"/>
              <w:left w:w="142" w:type="dxa"/>
              <w:bottom w:w="142" w:type="dxa"/>
              <w:right w:w="142" w:type="dxa"/>
            </w:tcMar>
            <w:hideMark/>
          </w:tcPr>
          <w:p w14:paraId="0AF94BD2" w14:textId="77777777" w:rsidR="00AE0FE0" w:rsidRDefault="00AE0FE0">
            <w:pPr>
              <w:pStyle w:val="NormalWeb"/>
            </w:pPr>
            <w:r>
              <w:t>4</w:t>
            </w:r>
          </w:p>
        </w:tc>
        <w:tc>
          <w:tcPr>
            <w:tcW w:w="0" w:type="auto"/>
            <w:tcMar>
              <w:top w:w="142" w:type="dxa"/>
              <w:left w:w="142" w:type="dxa"/>
              <w:bottom w:w="142" w:type="dxa"/>
              <w:right w:w="142" w:type="dxa"/>
            </w:tcMar>
            <w:hideMark/>
          </w:tcPr>
          <w:p w14:paraId="18DE6CF1" w14:textId="77777777" w:rsidR="00AE0FE0" w:rsidRDefault="00AE0FE0">
            <w:pPr>
              <w:pStyle w:val="NormalWeb"/>
            </w:pPr>
            <w:r>
              <w:t>(8.7)</w:t>
            </w:r>
          </w:p>
        </w:tc>
        <w:tc>
          <w:tcPr>
            <w:tcW w:w="0" w:type="auto"/>
            <w:tcMar>
              <w:top w:w="142" w:type="dxa"/>
              <w:left w:w="142" w:type="dxa"/>
              <w:bottom w:w="142" w:type="dxa"/>
              <w:right w:w="142" w:type="dxa"/>
            </w:tcMar>
            <w:hideMark/>
          </w:tcPr>
          <w:p w14:paraId="28060F20" w14:textId="77777777" w:rsidR="00AE0FE0" w:rsidRDefault="00AE0FE0">
            <w:pPr>
              <w:pStyle w:val="NormalWeb"/>
            </w:pPr>
            <w:r>
              <w:t>2</w:t>
            </w:r>
          </w:p>
        </w:tc>
        <w:tc>
          <w:tcPr>
            <w:tcW w:w="0" w:type="auto"/>
            <w:tcMar>
              <w:top w:w="142" w:type="dxa"/>
              <w:left w:w="142" w:type="dxa"/>
              <w:bottom w:w="142" w:type="dxa"/>
              <w:right w:w="142" w:type="dxa"/>
            </w:tcMar>
            <w:hideMark/>
          </w:tcPr>
          <w:p w14:paraId="0B7F1399" w14:textId="77777777" w:rsidR="00AE0FE0" w:rsidRDefault="00AE0FE0">
            <w:pPr>
              <w:pStyle w:val="NormalWeb"/>
            </w:pPr>
            <w:r>
              <w:t>(4.3)</w:t>
            </w:r>
          </w:p>
        </w:tc>
        <w:tc>
          <w:tcPr>
            <w:tcW w:w="0" w:type="auto"/>
            <w:tcMar>
              <w:top w:w="142" w:type="dxa"/>
              <w:left w:w="142" w:type="dxa"/>
              <w:bottom w:w="142" w:type="dxa"/>
              <w:right w:w="142" w:type="dxa"/>
            </w:tcMar>
            <w:hideMark/>
          </w:tcPr>
          <w:p w14:paraId="251F874F" w14:textId="77777777" w:rsidR="00AE0FE0" w:rsidRDefault="00AE0FE0">
            <w:pPr>
              <w:pStyle w:val="NormalWeb"/>
            </w:pPr>
            <w:r>
              <w:t>43</w:t>
            </w:r>
          </w:p>
        </w:tc>
        <w:tc>
          <w:tcPr>
            <w:tcW w:w="0" w:type="auto"/>
            <w:tcMar>
              <w:top w:w="142" w:type="dxa"/>
              <w:left w:w="142" w:type="dxa"/>
              <w:bottom w:w="142" w:type="dxa"/>
              <w:right w:w="142" w:type="dxa"/>
            </w:tcMar>
            <w:hideMark/>
          </w:tcPr>
          <w:p w14:paraId="4596BA6A" w14:textId="77777777" w:rsidR="00AE0FE0" w:rsidRDefault="00AE0FE0">
            <w:pPr>
              <w:pStyle w:val="NormalWeb"/>
            </w:pPr>
            <w:r>
              <w:t>(93.5)</w:t>
            </w:r>
          </w:p>
        </w:tc>
      </w:tr>
      <w:tr w:rsidR="00751C2F" w14:paraId="15AD1B1C"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97879DD" w14:textId="77777777" w:rsidR="00AE0FE0" w:rsidRDefault="00AE0FE0">
            <w:pPr>
              <w:pStyle w:val="NormalWeb"/>
            </w:pPr>
            <w:r>
              <w:t>Convulsions****</w:t>
            </w:r>
          </w:p>
        </w:tc>
        <w:tc>
          <w:tcPr>
            <w:tcW w:w="0" w:type="auto"/>
            <w:tcMar>
              <w:top w:w="142" w:type="dxa"/>
              <w:left w:w="142" w:type="dxa"/>
              <w:bottom w:w="142" w:type="dxa"/>
              <w:right w:w="142" w:type="dxa"/>
            </w:tcMar>
            <w:hideMark/>
          </w:tcPr>
          <w:p w14:paraId="4DE80241" w14:textId="77777777" w:rsidR="00AE0FE0" w:rsidRDefault="00AE0FE0">
            <w:pPr>
              <w:pStyle w:val="NormalWeb"/>
            </w:pPr>
            <w:r>
              <w:t>45</w:t>
            </w:r>
          </w:p>
        </w:tc>
        <w:tc>
          <w:tcPr>
            <w:tcW w:w="0" w:type="auto"/>
            <w:tcMar>
              <w:top w:w="142" w:type="dxa"/>
              <w:left w:w="142" w:type="dxa"/>
              <w:bottom w:w="142" w:type="dxa"/>
              <w:right w:w="142" w:type="dxa"/>
            </w:tcMar>
            <w:hideMark/>
          </w:tcPr>
          <w:p w14:paraId="58AB51D3" w14:textId="77777777" w:rsidR="00AE0FE0" w:rsidRDefault="00AE0FE0">
            <w:pPr>
              <w:pStyle w:val="NormalWeb"/>
            </w:pPr>
            <w:r>
              <w:t>29</w:t>
            </w:r>
          </w:p>
        </w:tc>
        <w:tc>
          <w:tcPr>
            <w:tcW w:w="0" w:type="auto"/>
            <w:tcMar>
              <w:top w:w="142" w:type="dxa"/>
              <w:left w:w="142" w:type="dxa"/>
              <w:bottom w:w="142" w:type="dxa"/>
              <w:right w:w="142" w:type="dxa"/>
            </w:tcMar>
            <w:hideMark/>
          </w:tcPr>
          <w:p w14:paraId="3F6F002B" w14:textId="77777777" w:rsidR="00AE0FE0" w:rsidRDefault="00AE0FE0">
            <w:pPr>
              <w:pStyle w:val="NormalWeb"/>
            </w:pPr>
            <w:r>
              <w:t>(64.4)</w:t>
            </w:r>
          </w:p>
        </w:tc>
        <w:tc>
          <w:tcPr>
            <w:tcW w:w="0" w:type="auto"/>
            <w:tcMar>
              <w:top w:w="142" w:type="dxa"/>
              <w:left w:w="142" w:type="dxa"/>
              <w:bottom w:w="142" w:type="dxa"/>
              <w:right w:w="142" w:type="dxa"/>
            </w:tcMar>
            <w:hideMark/>
          </w:tcPr>
          <w:p w14:paraId="20663668" w14:textId="77777777" w:rsidR="00AE0FE0" w:rsidRDefault="00AE0FE0">
            <w:pPr>
              <w:pStyle w:val="NormalWeb"/>
            </w:pPr>
            <w:r>
              <w:t>17</w:t>
            </w:r>
          </w:p>
        </w:tc>
        <w:tc>
          <w:tcPr>
            <w:tcW w:w="0" w:type="auto"/>
            <w:tcMar>
              <w:top w:w="142" w:type="dxa"/>
              <w:left w:w="142" w:type="dxa"/>
              <w:bottom w:w="142" w:type="dxa"/>
              <w:right w:w="142" w:type="dxa"/>
            </w:tcMar>
            <w:hideMark/>
          </w:tcPr>
          <w:p w14:paraId="0C4203E2" w14:textId="77777777" w:rsidR="00AE0FE0" w:rsidRDefault="00AE0FE0">
            <w:pPr>
              <w:pStyle w:val="NormalWeb"/>
            </w:pPr>
            <w:r>
              <w:t>(37.8)</w:t>
            </w:r>
          </w:p>
        </w:tc>
        <w:tc>
          <w:tcPr>
            <w:tcW w:w="0" w:type="auto"/>
            <w:tcMar>
              <w:top w:w="142" w:type="dxa"/>
              <w:left w:w="142" w:type="dxa"/>
              <w:bottom w:w="142" w:type="dxa"/>
              <w:right w:w="142" w:type="dxa"/>
            </w:tcMar>
            <w:hideMark/>
          </w:tcPr>
          <w:p w14:paraId="5B9BAF3F" w14:textId="77777777" w:rsidR="00AE0FE0" w:rsidRDefault="00AE0FE0">
            <w:pPr>
              <w:pStyle w:val="NormalWeb"/>
            </w:pPr>
            <w:r>
              <w:t>40</w:t>
            </w:r>
          </w:p>
        </w:tc>
        <w:tc>
          <w:tcPr>
            <w:tcW w:w="0" w:type="auto"/>
            <w:tcMar>
              <w:top w:w="142" w:type="dxa"/>
              <w:left w:w="142" w:type="dxa"/>
              <w:bottom w:w="142" w:type="dxa"/>
              <w:right w:w="142" w:type="dxa"/>
            </w:tcMar>
            <w:hideMark/>
          </w:tcPr>
          <w:p w14:paraId="7E9EDBED" w14:textId="77777777" w:rsidR="00AE0FE0" w:rsidRDefault="00AE0FE0">
            <w:pPr>
              <w:pStyle w:val="NormalWeb"/>
            </w:pPr>
            <w:r>
              <w:t>(88.9)</w:t>
            </w:r>
          </w:p>
        </w:tc>
        <w:tc>
          <w:tcPr>
            <w:tcW w:w="0" w:type="auto"/>
            <w:tcMar>
              <w:top w:w="142" w:type="dxa"/>
              <w:left w:w="142" w:type="dxa"/>
              <w:bottom w:w="142" w:type="dxa"/>
              <w:right w:w="142" w:type="dxa"/>
            </w:tcMar>
            <w:hideMark/>
          </w:tcPr>
          <w:p w14:paraId="2F67FD59" w14:textId="77777777" w:rsidR="00AE0FE0" w:rsidRDefault="00AE0FE0">
            <w:pPr>
              <w:pStyle w:val="NormalWeb"/>
            </w:pPr>
            <w:r>
              <w:t>3</w:t>
            </w:r>
          </w:p>
        </w:tc>
        <w:tc>
          <w:tcPr>
            <w:tcW w:w="0" w:type="auto"/>
            <w:tcMar>
              <w:top w:w="142" w:type="dxa"/>
              <w:left w:w="142" w:type="dxa"/>
              <w:bottom w:w="142" w:type="dxa"/>
              <w:right w:w="142" w:type="dxa"/>
            </w:tcMar>
            <w:hideMark/>
          </w:tcPr>
          <w:p w14:paraId="436F08B0" w14:textId="77777777" w:rsidR="00AE0FE0" w:rsidRDefault="00AE0FE0">
            <w:pPr>
              <w:pStyle w:val="NormalWeb"/>
            </w:pPr>
            <w:r>
              <w:t>(6.7)</w:t>
            </w:r>
          </w:p>
        </w:tc>
      </w:tr>
      <w:tr w:rsidR="009525C9" w14:paraId="0218B7B1"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CF5CC7A" w14:textId="77777777" w:rsidR="00AE0FE0" w:rsidRDefault="00AE0FE0">
            <w:pPr>
              <w:pStyle w:val="NormalWeb"/>
            </w:pPr>
            <w:r>
              <w:t>Dyspnoea</w:t>
            </w:r>
          </w:p>
        </w:tc>
        <w:tc>
          <w:tcPr>
            <w:tcW w:w="0" w:type="auto"/>
            <w:tcMar>
              <w:top w:w="142" w:type="dxa"/>
              <w:left w:w="142" w:type="dxa"/>
              <w:bottom w:w="142" w:type="dxa"/>
              <w:right w:w="142" w:type="dxa"/>
            </w:tcMar>
            <w:hideMark/>
          </w:tcPr>
          <w:p w14:paraId="6CB22CD9" w14:textId="77777777" w:rsidR="00AE0FE0" w:rsidRDefault="00AE0FE0">
            <w:pPr>
              <w:pStyle w:val="NormalWeb"/>
            </w:pPr>
            <w:r>
              <w:t>42</w:t>
            </w:r>
          </w:p>
        </w:tc>
        <w:tc>
          <w:tcPr>
            <w:tcW w:w="0" w:type="auto"/>
            <w:tcMar>
              <w:top w:w="142" w:type="dxa"/>
              <w:left w:w="142" w:type="dxa"/>
              <w:bottom w:w="142" w:type="dxa"/>
              <w:right w:w="142" w:type="dxa"/>
            </w:tcMar>
            <w:hideMark/>
          </w:tcPr>
          <w:p w14:paraId="0A6F7A72" w14:textId="77777777" w:rsidR="00AE0FE0" w:rsidRDefault="00AE0FE0">
            <w:pPr>
              <w:pStyle w:val="NormalWeb"/>
            </w:pPr>
            <w:r>
              <w:t>2</w:t>
            </w:r>
          </w:p>
        </w:tc>
        <w:tc>
          <w:tcPr>
            <w:tcW w:w="0" w:type="auto"/>
            <w:tcMar>
              <w:top w:w="142" w:type="dxa"/>
              <w:left w:w="142" w:type="dxa"/>
              <w:bottom w:w="142" w:type="dxa"/>
              <w:right w:w="142" w:type="dxa"/>
            </w:tcMar>
            <w:hideMark/>
          </w:tcPr>
          <w:p w14:paraId="71B91365" w14:textId="77777777" w:rsidR="00AE0FE0" w:rsidRDefault="00AE0FE0">
            <w:pPr>
              <w:pStyle w:val="NormalWeb"/>
            </w:pPr>
            <w:r>
              <w:t>(4.8)</w:t>
            </w:r>
          </w:p>
        </w:tc>
        <w:tc>
          <w:tcPr>
            <w:tcW w:w="0" w:type="auto"/>
            <w:tcMar>
              <w:top w:w="142" w:type="dxa"/>
              <w:left w:w="142" w:type="dxa"/>
              <w:bottom w:w="142" w:type="dxa"/>
              <w:right w:w="142" w:type="dxa"/>
            </w:tcMar>
            <w:hideMark/>
          </w:tcPr>
          <w:p w14:paraId="6429FB6E" w14:textId="77777777" w:rsidR="00AE0FE0" w:rsidRDefault="00AE0FE0">
            <w:pPr>
              <w:pStyle w:val="NormalWeb"/>
            </w:pPr>
            <w:r>
              <w:t>10</w:t>
            </w:r>
          </w:p>
        </w:tc>
        <w:tc>
          <w:tcPr>
            <w:tcW w:w="0" w:type="auto"/>
            <w:tcMar>
              <w:top w:w="142" w:type="dxa"/>
              <w:left w:w="142" w:type="dxa"/>
              <w:bottom w:w="142" w:type="dxa"/>
              <w:right w:w="142" w:type="dxa"/>
            </w:tcMar>
            <w:hideMark/>
          </w:tcPr>
          <w:p w14:paraId="399FA0F9" w14:textId="77777777" w:rsidR="00AE0FE0" w:rsidRDefault="00AE0FE0">
            <w:pPr>
              <w:pStyle w:val="NormalWeb"/>
            </w:pPr>
            <w:r>
              <w:t>(23.8)</w:t>
            </w:r>
          </w:p>
        </w:tc>
        <w:tc>
          <w:tcPr>
            <w:tcW w:w="0" w:type="auto"/>
            <w:tcMar>
              <w:top w:w="142" w:type="dxa"/>
              <w:left w:w="142" w:type="dxa"/>
              <w:bottom w:w="142" w:type="dxa"/>
              <w:right w:w="142" w:type="dxa"/>
            </w:tcMar>
            <w:hideMark/>
          </w:tcPr>
          <w:p w14:paraId="3BEF4D85" w14:textId="77777777" w:rsidR="00AE0FE0" w:rsidRDefault="00AE0FE0">
            <w:pPr>
              <w:pStyle w:val="NormalWeb"/>
            </w:pPr>
            <w:r>
              <w:t>5</w:t>
            </w:r>
          </w:p>
        </w:tc>
        <w:tc>
          <w:tcPr>
            <w:tcW w:w="0" w:type="auto"/>
            <w:tcMar>
              <w:top w:w="142" w:type="dxa"/>
              <w:left w:w="142" w:type="dxa"/>
              <w:bottom w:w="142" w:type="dxa"/>
              <w:right w:w="142" w:type="dxa"/>
            </w:tcMar>
            <w:hideMark/>
          </w:tcPr>
          <w:p w14:paraId="667DB1B8" w14:textId="77777777" w:rsidR="00AE0FE0" w:rsidRDefault="00AE0FE0">
            <w:pPr>
              <w:pStyle w:val="NormalWeb"/>
            </w:pPr>
            <w:r>
              <w:t>(11.9)</w:t>
            </w:r>
          </w:p>
        </w:tc>
        <w:tc>
          <w:tcPr>
            <w:tcW w:w="0" w:type="auto"/>
            <w:tcMar>
              <w:top w:w="142" w:type="dxa"/>
              <w:left w:w="142" w:type="dxa"/>
              <w:bottom w:w="142" w:type="dxa"/>
              <w:right w:w="142" w:type="dxa"/>
            </w:tcMar>
            <w:hideMark/>
          </w:tcPr>
          <w:p w14:paraId="7F17C7D7" w14:textId="77777777" w:rsidR="00AE0FE0" w:rsidRDefault="00AE0FE0">
            <w:pPr>
              <w:pStyle w:val="NormalWeb"/>
            </w:pPr>
            <w:r>
              <w:t>36</w:t>
            </w:r>
          </w:p>
        </w:tc>
        <w:tc>
          <w:tcPr>
            <w:tcW w:w="0" w:type="auto"/>
            <w:tcMar>
              <w:top w:w="142" w:type="dxa"/>
              <w:left w:w="142" w:type="dxa"/>
              <w:bottom w:w="142" w:type="dxa"/>
              <w:right w:w="142" w:type="dxa"/>
            </w:tcMar>
            <w:hideMark/>
          </w:tcPr>
          <w:p w14:paraId="4E5A87CE" w14:textId="77777777" w:rsidR="00AE0FE0" w:rsidRDefault="00AE0FE0">
            <w:pPr>
              <w:pStyle w:val="NormalWeb"/>
            </w:pPr>
            <w:r>
              <w:t>(85.7)</w:t>
            </w:r>
          </w:p>
        </w:tc>
      </w:tr>
      <w:tr w:rsidR="00751C2F" w14:paraId="0DEF19AF"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94BAA37" w14:textId="77777777" w:rsidR="00AE0FE0" w:rsidRDefault="00AE0FE0">
            <w:pPr>
              <w:pStyle w:val="NormalWeb"/>
            </w:pPr>
            <w:r>
              <w:t>Pallor</w:t>
            </w:r>
          </w:p>
        </w:tc>
        <w:tc>
          <w:tcPr>
            <w:tcW w:w="0" w:type="auto"/>
            <w:tcMar>
              <w:top w:w="142" w:type="dxa"/>
              <w:left w:w="142" w:type="dxa"/>
              <w:bottom w:w="142" w:type="dxa"/>
              <w:right w:w="142" w:type="dxa"/>
            </w:tcMar>
            <w:hideMark/>
          </w:tcPr>
          <w:p w14:paraId="36CDBA34" w14:textId="77777777" w:rsidR="00AE0FE0" w:rsidRDefault="00AE0FE0">
            <w:pPr>
              <w:pStyle w:val="NormalWeb"/>
            </w:pPr>
            <w:r>
              <w:t>36</w:t>
            </w:r>
          </w:p>
        </w:tc>
        <w:tc>
          <w:tcPr>
            <w:tcW w:w="0" w:type="auto"/>
            <w:tcMar>
              <w:top w:w="142" w:type="dxa"/>
              <w:left w:w="142" w:type="dxa"/>
              <w:bottom w:w="142" w:type="dxa"/>
              <w:right w:w="142" w:type="dxa"/>
            </w:tcMar>
            <w:hideMark/>
          </w:tcPr>
          <w:p w14:paraId="0D6D2C89" w14:textId="77777777" w:rsidR="00AE0FE0" w:rsidRDefault="00AE0FE0">
            <w:pPr>
              <w:pStyle w:val="NormalWeb"/>
            </w:pPr>
            <w:r>
              <w:t>3</w:t>
            </w:r>
          </w:p>
        </w:tc>
        <w:tc>
          <w:tcPr>
            <w:tcW w:w="0" w:type="auto"/>
            <w:tcMar>
              <w:top w:w="142" w:type="dxa"/>
              <w:left w:w="142" w:type="dxa"/>
              <w:bottom w:w="142" w:type="dxa"/>
              <w:right w:w="142" w:type="dxa"/>
            </w:tcMar>
            <w:hideMark/>
          </w:tcPr>
          <w:p w14:paraId="30522B2F" w14:textId="77777777" w:rsidR="00AE0FE0" w:rsidRDefault="00AE0FE0">
            <w:pPr>
              <w:pStyle w:val="NormalWeb"/>
            </w:pPr>
            <w:r>
              <w:t>(8.3)</w:t>
            </w:r>
          </w:p>
        </w:tc>
        <w:tc>
          <w:tcPr>
            <w:tcW w:w="0" w:type="auto"/>
            <w:tcMar>
              <w:top w:w="142" w:type="dxa"/>
              <w:left w:w="142" w:type="dxa"/>
              <w:bottom w:w="142" w:type="dxa"/>
              <w:right w:w="142" w:type="dxa"/>
            </w:tcMar>
            <w:hideMark/>
          </w:tcPr>
          <w:p w14:paraId="5B4F7261" w14:textId="77777777" w:rsidR="00AE0FE0" w:rsidRDefault="00AE0FE0">
            <w:pPr>
              <w:pStyle w:val="NormalWeb"/>
            </w:pPr>
            <w:r>
              <w:t>7</w:t>
            </w:r>
          </w:p>
        </w:tc>
        <w:tc>
          <w:tcPr>
            <w:tcW w:w="0" w:type="auto"/>
            <w:tcMar>
              <w:top w:w="142" w:type="dxa"/>
              <w:left w:w="142" w:type="dxa"/>
              <w:bottom w:w="142" w:type="dxa"/>
              <w:right w:w="142" w:type="dxa"/>
            </w:tcMar>
            <w:hideMark/>
          </w:tcPr>
          <w:p w14:paraId="11E3D7F2" w14:textId="77777777" w:rsidR="00AE0FE0" w:rsidRDefault="00AE0FE0">
            <w:pPr>
              <w:pStyle w:val="NormalWeb"/>
            </w:pPr>
            <w:r>
              <w:t>(19.4)</w:t>
            </w:r>
          </w:p>
        </w:tc>
        <w:tc>
          <w:tcPr>
            <w:tcW w:w="0" w:type="auto"/>
            <w:tcMar>
              <w:top w:w="142" w:type="dxa"/>
              <w:left w:w="142" w:type="dxa"/>
              <w:bottom w:w="142" w:type="dxa"/>
              <w:right w:w="142" w:type="dxa"/>
            </w:tcMar>
            <w:hideMark/>
          </w:tcPr>
          <w:p w14:paraId="6CE0172F" w14:textId="77777777" w:rsidR="00AE0FE0" w:rsidRDefault="00AE0FE0">
            <w:pPr>
              <w:pStyle w:val="NormalWeb"/>
            </w:pPr>
            <w:r>
              <w:t>21</w:t>
            </w:r>
          </w:p>
        </w:tc>
        <w:tc>
          <w:tcPr>
            <w:tcW w:w="0" w:type="auto"/>
            <w:tcMar>
              <w:top w:w="142" w:type="dxa"/>
              <w:left w:w="142" w:type="dxa"/>
              <w:bottom w:w="142" w:type="dxa"/>
              <w:right w:w="142" w:type="dxa"/>
            </w:tcMar>
            <w:hideMark/>
          </w:tcPr>
          <w:p w14:paraId="6BE64FB9" w14:textId="77777777" w:rsidR="00AE0FE0" w:rsidRDefault="00AE0FE0">
            <w:pPr>
              <w:pStyle w:val="NormalWeb"/>
            </w:pPr>
            <w:r>
              <w:t>(58.3)</w:t>
            </w:r>
          </w:p>
        </w:tc>
        <w:tc>
          <w:tcPr>
            <w:tcW w:w="0" w:type="auto"/>
            <w:tcMar>
              <w:top w:w="142" w:type="dxa"/>
              <w:left w:w="142" w:type="dxa"/>
              <w:bottom w:w="142" w:type="dxa"/>
              <w:right w:w="142" w:type="dxa"/>
            </w:tcMar>
            <w:hideMark/>
          </w:tcPr>
          <w:p w14:paraId="7D8D4A8A" w14:textId="77777777" w:rsidR="00AE0FE0" w:rsidRDefault="00AE0FE0">
            <w:pPr>
              <w:pStyle w:val="NormalWeb"/>
            </w:pPr>
            <w:r>
              <w:t>14</w:t>
            </w:r>
          </w:p>
        </w:tc>
        <w:tc>
          <w:tcPr>
            <w:tcW w:w="0" w:type="auto"/>
            <w:tcMar>
              <w:top w:w="142" w:type="dxa"/>
              <w:left w:w="142" w:type="dxa"/>
              <w:bottom w:w="142" w:type="dxa"/>
              <w:right w:w="142" w:type="dxa"/>
            </w:tcMar>
            <w:hideMark/>
          </w:tcPr>
          <w:p w14:paraId="30718459" w14:textId="77777777" w:rsidR="00AE0FE0" w:rsidRDefault="00AE0FE0">
            <w:pPr>
              <w:pStyle w:val="NormalWeb"/>
            </w:pPr>
            <w:r>
              <w:t>(38.9)</w:t>
            </w:r>
          </w:p>
        </w:tc>
      </w:tr>
      <w:tr w:rsidR="009525C9" w14:paraId="08865593"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8B90FC3" w14:textId="77777777" w:rsidR="00AE0FE0" w:rsidRDefault="00AE0FE0">
            <w:pPr>
              <w:pStyle w:val="NormalWeb"/>
            </w:pPr>
            <w:r>
              <w:t>Rhinorrhoea</w:t>
            </w:r>
          </w:p>
        </w:tc>
        <w:tc>
          <w:tcPr>
            <w:tcW w:w="0" w:type="auto"/>
            <w:tcMar>
              <w:top w:w="142" w:type="dxa"/>
              <w:left w:w="142" w:type="dxa"/>
              <w:bottom w:w="142" w:type="dxa"/>
              <w:right w:w="142" w:type="dxa"/>
            </w:tcMar>
            <w:hideMark/>
          </w:tcPr>
          <w:p w14:paraId="5E9E86BA" w14:textId="77777777" w:rsidR="00AE0FE0" w:rsidRDefault="00AE0FE0">
            <w:pPr>
              <w:pStyle w:val="NormalWeb"/>
            </w:pPr>
            <w:r>
              <w:t>29</w:t>
            </w:r>
          </w:p>
        </w:tc>
        <w:tc>
          <w:tcPr>
            <w:tcW w:w="0" w:type="auto"/>
            <w:tcMar>
              <w:top w:w="142" w:type="dxa"/>
              <w:left w:w="142" w:type="dxa"/>
              <w:bottom w:w="142" w:type="dxa"/>
              <w:right w:w="142" w:type="dxa"/>
            </w:tcMar>
            <w:hideMark/>
          </w:tcPr>
          <w:p w14:paraId="02A37414" w14:textId="77777777" w:rsidR="00AE0FE0" w:rsidRDefault="00AE0FE0">
            <w:pPr>
              <w:pStyle w:val="NormalWeb"/>
            </w:pPr>
            <w:r>
              <w:t>1</w:t>
            </w:r>
          </w:p>
        </w:tc>
        <w:tc>
          <w:tcPr>
            <w:tcW w:w="0" w:type="auto"/>
            <w:tcMar>
              <w:top w:w="142" w:type="dxa"/>
              <w:left w:w="142" w:type="dxa"/>
              <w:bottom w:w="142" w:type="dxa"/>
              <w:right w:w="142" w:type="dxa"/>
            </w:tcMar>
            <w:hideMark/>
          </w:tcPr>
          <w:p w14:paraId="53A8C2F6" w14:textId="77777777" w:rsidR="00AE0FE0" w:rsidRDefault="00AE0FE0">
            <w:pPr>
              <w:pStyle w:val="NormalWeb"/>
            </w:pPr>
            <w:r>
              <w:t>(3.4)</w:t>
            </w:r>
          </w:p>
        </w:tc>
        <w:tc>
          <w:tcPr>
            <w:tcW w:w="0" w:type="auto"/>
            <w:tcMar>
              <w:top w:w="142" w:type="dxa"/>
              <w:left w:w="142" w:type="dxa"/>
              <w:bottom w:w="142" w:type="dxa"/>
              <w:right w:w="142" w:type="dxa"/>
            </w:tcMar>
            <w:hideMark/>
          </w:tcPr>
          <w:p w14:paraId="0C4C2AD8" w14:textId="77777777" w:rsidR="00AE0FE0" w:rsidRDefault="00AE0FE0">
            <w:pPr>
              <w:pStyle w:val="NormalWeb"/>
            </w:pPr>
            <w:r>
              <w:t>3</w:t>
            </w:r>
          </w:p>
        </w:tc>
        <w:tc>
          <w:tcPr>
            <w:tcW w:w="0" w:type="auto"/>
            <w:tcMar>
              <w:top w:w="142" w:type="dxa"/>
              <w:left w:w="142" w:type="dxa"/>
              <w:bottom w:w="142" w:type="dxa"/>
              <w:right w:w="142" w:type="dxa"/>
            </w:tcMar>
            <w:hideMark/>
          </w:tcPr>
          <w:p w14:paraId="611451EB" w14:textId="77777777" w:rsidR="00AE0FE0" w:rsidRDefault="00AE0FE0">
            <w:pPr>
              <w:pStyle w:val="NormalWeb"/>
            </w:pPr>
            <w:r>
              <w:t>(10.3)</w:t>
            </w:r>
          </w:p>
        </w:tc>
        <w:tc>
          <w:tcPr>
            <w:tcW w:w="0" w:type="auto"/>
            <w:tcMar>
              <w:top w:w="142" w:type="dxa"/>
              <w:left w:w="142" w:type="dxa"/>
              <w:bottom w:w="142" w:type="dxa"/>
              <w:right w:w="142" w:type="dxa"/>
            </w:tcMar>
            <w:hideMark/>
          </w:tcPr>
          <w:p w14:paraId="6397A013" w14:textId="77777777" w:rsidR="00AE0FE0" w:rsidRDefault="00AE0FE0">
            <w:pPr>
              <w:pStyle w:val="NormalWeb"/>
            </w:pPr>
            <w:r>
              <w:t>18</w:t>
            </w:r>
          </w:p>
        </w:tc>
        <w:tc>
          <w:tcPr>
            <w:tcW w:w="0" w:type="auto"/>
            <w:tcMar>
              <w:top w:w="142" w:type="dxa"/>
              <w:left w:w="142" w:type="dxa"/>
              <w:bottom w:w="142" w:type="dxa"/>
              <w:right w:w="142" w:type="dxa"/>
            </w:tcMar>
            <w:hideMark/>
          </w:tcPr>
          <w:p w14:paraId="4AE4F4D5" w14:textId="77777777" w:rsidR="00AE0FE0" w:rsidRDefault="00AE0FE0">
            <w:pPr>
              <w:pStyle w:val="NormalWeb"/>
            </w:pPr>
            <w:r>
              <w:t>(62.1)</w:t>
            </w:r>
          </w:p>
        </w:tc>
        <w:tc>
          <w:tcPr>
            <w:tcW w:w="0" w:type="auto"/>
            <w:tcMar>
              <w:top w:w="142" w:type="dxa"/>
              <w:left w:w="142" w:type="dxa"/>
              <w:bottom w:w="142" w:type="dxa"/>
              <w:right w:w="142" w:type="dxa"/>
            </w:tcMar>
            <w:hideMark/>
          </w:tcPr>
          <w:p w14:paraId="4C9179DA" w14:textId="77777777" w:rsidR="00AE0FE0" w:rsidRDefault="00AE0FE0">
            <w:pPr>
              <w:pStyle w:val="NormalWeb"/>
            </w:pPr>
            <w:r>
              <w:t>10</w:t>
            </w:r>
          </w:p>
        </w:tc>
        <w:tc>
          <w:tcPr>
            <w:tcW w:w="0" w:type="auto"/>
            <w:tcMar>
              <w:top w:w="142" w:type="dxa"/>
              <w:left w:w="142" w:type="dxa"/>
              <w:bottom w:w="142" w:type="dxa"/>
              <w:right w:w="142" w:type="dxa"/>
            </w:tcMar>
            <w:hideMark/>
          </w:tcPr>
          <w:p w14:paraId="03FC7E4F" w14:textId="77777777" w:rsidR="00AE0FE0" w:rsidRDefault="00AE0FE0">
            <w:pPr>
              <w:pStyle w:val="NormalWeb"/>
            </w:pPr>
            <w:r>
              <w:t>(34.5)</w:t>
            </w:r>
          </w:p>
        </w:tc>
      </w:tr>
      <w:tr w:rsidR="00751C2F" w14:paraId="196FCFB3"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48D96B6" w14:textId="77777777" w:rsidR="00AE0FE0" w:rsidRDefault="00AE0FE0">
            <w:pPr>
              <w:pStyle w:val="NormalWeb"/>
            </w:pPr>
            <w:r>
              <w:t>Hyperhidrosis</w:t>
            </w:r>
          </w:p>
        </w:tc>
        <w:tc>
          <w:tcPr>
            <w:tcW w:w="0" w:type="auto"/>
            <w:tcMar>
              <w:top w:w="142" w:type="dxa"/>
              <w:left w:w="142" w:type="dxa"/>
              <w:bottom w:w="142" w:type="dxa"/>
              <w:right w:w="142" w:type="dxa"/>
            </w:tcMar>
            <w:hideMark/>
          </w:tcPr>
          <w:p w14:paraId="66DB8155" w14:textId="77777777" w:rsidR="00AE0FE0" w:rsidRDefault="00AE0FE0">
            <w:pPr>
              <w:pStyle w:val="NormalWeb"/>
            </w:pPr>
            <w:r>
              <w:t>28</w:t>
            </w:r>
          </w:p>
        </w:tc>
        <w:tc>
          <w:tcPr>
            <w:tcW w:w="0" w:type="auto"/>
            <w:tcMar>
              <w:top w:w="142" w:type="dxa"/>
              <w:left w:w="142" w:type="dxa"/>
              <w:bottom w:w="142" w:type="dxa"/>
              <w:right w:w="142" w:type="dxa"/>
            </w:tcMar>
            <w:hideMark/>
          </w:tcPr>
          <w:p w14:paraId="0DFD8315" w14:textId="77777777" w:rsidR="00AE0FE0" w:rsidRDefault="00AE0FE0">
            <w:pPr>
              <w:pStyle w:val="NormalWeb"/>
            </w:pPr>
            <w:r>
              <w:t>1</w:t>
            </w:r>
          </w:p>
        </w:tc>
        <w:tc>
          <w:tcPr>
            <w:tcW w:w="0" w:type="auto"/>
            <w:tcMar>
              <w:top w:w="142" w:type="dxa"/>
              <w:left w:w="142" w:type="dxa"/>
              <w:bottom w:w="142" w:type="dxa"/>
              <w:right w:w="142" w:type="dxa"/>
            </w:tcMar>
            <w:hideMark/>
          </w:tcPr>
          <w:p w14:paraId="519A7101" w14:textId="77777777" w:rsidR="00AE0FE0" w:rsidRDefault="00AE0FE0">
            <w:pPr>
              <w:pStyle w:val="NormalWeb"/>
            </w:pPr>
            <w:r>
              <w:t>(3.6)</w:t>
            </w:r>
          </w:p>
        </w:tc>
        <w:tc>
          <w:tcPr>
            <w:tcW w:w="0" w:type="auto"/>
            <w:tcMar>
              <w:top w:w="142" w:type="dxa"/>
              <w:left w:w="142" w:type="dxa"/>
              <w:bottom w:w="142" w:type="dxa"/>
              <w:right w:w="142" w:type="dxa"/>
            </w:tcMar>
            <w:hideMark/>
          </w:tcPr>
          <w:p w14:paraId="2CEE0BEE" w14:textId="77777777" w:rsidR="00AE0FE0" w:rsidRDefault="00AE0FE0">
            <w:pPr>
              <w:pStyle w:val="NormalWeb"/>
            </w:pPr>
            <w:r>
              <w:t>4</w:t>
            </w:r>
          </w:p>
        </w:tc>
        <w:tc>
          <w:tcPr>
            <w:tcW w:w="0" w:type="auto"/>
            <w:tcMar>
              <w:top w:w="142" w:type="dxa"/>
              <w:left w:w="142" w:type="dxa"/>
              <w:bottom w:w="142" w:type="dxa"/>
              <w:right w:w="142" w:type="dxa"/>
            </w:tcMar>
            <w:hideMark/>
          </w:tcPr>
          <w:p w14:paraId="434C77C3" w14:textId="77777777" w:rsidR="00AE0FE0" w:rsidRDefault="00AE0FE0">
            <w:pPr>
              <w:pStyle w:val="NormalWeb"/>
            </w:pPr>
            <w:r>
              <w:t>(14.3)</w:t>
            </w:r>
          </w:p>
        </w:tc>
        <w:tc>
          <w:tcPr>
            <w:tcW w:w="0" w:type="auto"/>
            <w:tcMar>
              <w:top w:w="142" w:type="dxa"/>
              <w:left w:w="142" w:type="dxa"/>
              <w:bottom w:w="142" w:type="dxa"/>
              <w:right w:w="142" w:type="dxa"/>
            </w:tcMar>
            <w:hideMark/>
          </w:tcPr>
          <w:p w14:paraId="679B468F" w14:textId="77777777" w:rsidR="00AE0FE0" w:rsidRDefault="00AE0FE0">
            <w:pPr>
              <w:pStyle w:val="NormalWeb"/>
            </w:pPr>
            <w:r>
              <w:t>0</w:t>
            </w:r>
          </w:p>
        </w:tc>
        <w:tc>
          <w:tcPr>
            <w:tcW w:w="0" w:type="auto"/>
            <w:tcMar>
              <w:top w:w="142" w:type="dxa"/>
              <w:left w:w="142" w:type="dxa"/>
              <w:bottom w:w="142" w:type="dxa"/>
              <w:right w:w="142" w:type="dxa"/>
            </w:tcMar>
            <w:hideMark/>
          </w:tcPr>
          <w:p w14:paraId="4AEECA2B" w14:textId="77777777" w:rsidR="00AE0FE0" w:rsidRDefault="00AE0FE0">
            <w:pPr>
              <w:pStyle w:val="NormalWeb"/>
            </w:pPr>
            <w:r>
              <w:t>(0.0)</w:t>
            </w:r>
          </w:p>
        </w:tc>
        <w:tc>
          <w:tcPr>
            <w:tcW w:w="0" w:type="auto"/>
            <w:tcMar>
              <w:top w:w="142" w:type="dxa"/>
              <w:left w:w="142" w:type="dxa"/>
              <w:bottom w:w="142" w:type="dxa"/>
              <w:right w:w="142" w:type="dxa"/>
            </w:tcMar>
            <w:hideMark/>
          </w:tcPr>
          <w:p w14:paraId="45CEB4E1" w14:textId="77777777" w:rsidR="00AE0FE0" w:rsidRDefault="00AE0FE0">
            <w:pPr>
              <w:pStyle w:val="NormalWeb"/>
            </w:pPr>
            <w:r>
              <w:t>28</w:t>
            </w:r>
          </w:p>
        </w:tc>
        <w:tc>
          <w:tcPr>
            <w:tcW w:w="0" w:type="auto"/>
            <w:tcMar>
              <w:top w:w="142" w:type="dxa"/>
              <w:left w:w="142" w:type="dxa"/>
              <w:bottom w:w="142" w:type="dxa"/>
              <w:right w:w="142" w:type="dxa"/>
            </w:tcMar>
            <w:hideMark/>
          </w:tcPr>
          <w:p w14:paraId="25FDECBD" w14:textId="77777777" w:rsidR="00AE0FE0" w:rsidRDefault="00AE0FE0">
            <w:pPr>
              <w:pStyle w:val="NormalWeb"/>
            </w:pPr>
            <w:r>
              <w:t>(100.0)</w:t>
            </w:r>
          </w:p>
        </w:tc>
      </w:tr>
      <w:tr w:rsidR="009525C9" w14:paraId="439FD56F"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17FD2FA" w14:textId="77777777" w:rsidR="00AE0FE0" w:rsidRDefault="00AE0FE0">
            <w:pPr>
              <w:pStyle w:val="NormalWeb"/>
            </w:pPr>
            <w:r>
              <w:t>Chest discomfort</w:t>
            </w:r>
          </w:p>
        </w:tc>
        <w:tc>
          <w:tcPr>
            <w:tcW w:w="0" w:type="auto"/>
            <w:tcMar>
              <w:top w:w="142" w:type="dxa"/>
              <w:left w:w="142" w:type="dxa"/>
              <w:bottom w:w="142" w:type="dxa"/>
              <w:right w:w="142" w:type="dxa"/>
            </w:tcMar>
            <w:hideMark/>
          </w:tcPr>
          <w:p w14:paraId="4FCDAF90" w14:textId="77777777" w:rsidR="00AE0FE0" w:rsidRDefault="00AE0FE0">
            <w:pPr>
              <w:pStyle w:val="NormalWeb"/>
            </w:pPr>
            <w:r>
              <w:t>24</w:t>
            </w:r>
          </w:p>
        </w:tc>
        <w:tc>
          <w:tcPr>
            <w:tcW w:w="0" w:type="auto"/>
            <w:tcMar>
              <w:top w:w="142" w:type="dxa"/>
              <w:left w:w="142" w:type="dxa"/>
              <w:bottom w:w="142" w:type="dxa"/>
              <w:right w:w="142" w:type="dxa"/>
            </w:tcMar>
            <w:hideMark/>
          </w:tcPr>
          <w:p w14:paraId="20D51323" w14:textId="77777777" w:rsidR="00AE0FE0" w:rsidRDefault="00AE0FE0">
            <w:pPr>
              <w:pStyle w:val="NormalWeb"/>
            </w:pPr>
            <w:r>
              <w:t>0</w:t>
            </w:r>
          </w:p>
        </w:tc>
        <w:tc>
          <w:tcPr>
            <w:tcW w:w="0" w:type="auto"/>
            <w:tcMar>
              <w:top w:w="142" w:type="dxa"/>
              <w:left w:w="142" w:type="dxa"/>
              <w:bottom w:w="142" w:type="dxa"/>
              <w:right w:w="142" w:type="dxa"/>
            </w:tcMar>
            <w:hideMark/>
          </w:tcPr>
          <w:p w14:paraId="294BE7CE" w14:textId="77777777" w:rsidR="00AE0FE0" w:rsidRDefault="00AE0FE0">
            <w:pPr>
              <w:pStyle w:val="NormalWeb"/>
            </w:pPr>
            <w:r>
              <w:t>(0.0)</w:t>
            </w:r>
          </w:p>
        </w:tc>
        <w:tc>
          <w:tcPr>
            <w:tcW w:w="0" w:type="auto"/>
            <w:tcMar>
              <w:top w:w="142" w:type="dxa"/>
              <w:left w:w="142" w:type="dxa"/>
              <w:bottom w:w="142" w:type="dxa"/>
              <w:right w:w="142" w:type="dxa"/>
            </w:tcMar>
            <w:hideMark/>
          </w:tcPr>
          <w:p w14:paraId="60088541" w14:textId="77777777" w:rsidR="00AE0FE0" w:rsidRDefault="00AE0FE0">
            <w:pPr>
              <w:pStyle w:val="NormalWeb"/>
            </w:pPr>
            <w:r>
              <w:t>5</w:t>
            </w:r>
          </w:p>
        </w:tc>
        <w:tc>
          <w:tcPr>
            <w:tcW w:w="0" w:type="auto"/>
            <w:tcMar>
              <w:top w:w="142" w:type="dxa"/>
              <w:left w:w="142" w:type="dxa"/>
              <w:bottom w:w="142" w:type="dxa"/>
              <w:right w:w="142" w:type="dxa"/>
            </w:tcMar>
            <w:hideMark/>
          </w:tcPr>
          <w:p w14:paraId="41ECEA07" w14:textId="77777777" w:rsidR="00AE0FE0" w:rsidRDefault="00AE0FE0">
            <w:pPr>
              <w:pStyle w:val="NormalWeb"/>
            </w:pPr>
            <w:r>
              <w:t>(20.8)</w:t>
            </w:r>
          </w:p>
        </w:tc>
        <w:tc>
          <w:tcPr>
            <w:tcW w:w="0" w:type="auto"/>
            <w:tcMar>
              <w:top w:w="142" w:type="dxa"/>
              <w:left w:w="142" w:type="dxa"/>
              <w:bottom w:w="142" w:type="dxa"/>
              <w:right w:w="142" w:type="dxa"/>
            </w:tcMar>
            <w:hideMark/>
          </w:tcPr>
          <w:p w14:paraId="38DAD919" w14:textId="77777777" w:rsidR="00AE0FE0" w:rsidRDefault="00AE0FE0">
            <w:pPr>
              <w:pStyle w:val="NormalWeb"/>
            </w:pPr>
            <w:r>
              <w:t>1</w:t>
            </w:r>
          </w:p>
        </w:tc>
        <w:tc>
          <w:tcPr>
            <w:tcW w:w="0" w:type="auto"/>
            <w:tcMar>
              <w:top w:w="142" w:type="dxa"/>
              <w:left w:w="142" w:type="dxa"/>
              <w:bottom w:w="142" w:type="dxa"/>
              <w:right w:w="142" w:type="dxa"/>
            </w:tcMar>
            <w:hideMark/>
          </w:tcPr>
          <w:p w14:paraId="3EC763A8" w14:textId="77777777" w:rsidR="00AE0FE0" w:rsidRDefault="00AE0FE0">
            <w:pPr>
              <w:pStyle w:val="NormalWeb"/>
            </w:pPr>
            <w:r>
              <w:t>(4.2)</w:t>
            </w:r>
          </w:p>
        </w:tc>
        <w:tc>
          <w:tcPr>
            <w:tcW w:w="0" w:type="auto"/>
            <w:tcMar>
              <w:top w:w="142" w:type="dxa"/>
              <w:left w:w="142" w:type="dxa"/>
              <w:bottom w:w="142" w:type="dxa"/>
              <w:right w:w="142" w:type="dxa"/>
            </w:tcMar>
            <w:hideMark/>
          </w:tcPr>
          <w:p w14:paraId="0246FA21" w14:textId="77777777" w:rsidR="00AE0FE0" w:rsidRDefault="00AE0FE0">
            <w:pPr>
              <w:pStyle w:val="NormalWeb"/>
            </w:pPr>
            <w:r>
              <w:t>22</w:t>
            </w:r>
          </w:p>
        </w:tc>
        <w:tc>
          <w:tcPr>
            <w:tcW w:w="0" w:type="auto"/>
            <w:tcMar>
              <w:top w:w="142" w:type="dxa"/>
              <w:left w:w="142" w:type="dxa"/>
              <w:bottom w:w="142" w:type="dxa"/>
              <w:right w:w="142" w:type="dxa"/>
            </w:tcMar>
            <w:hideMark/>
          </w:tcPr>
          <w:p w14:paraId="77F66C26" w14:textId="77777777" w:rsidR="00AE0FE0" w:rsidRDefault="00AE0FE0">
            <w:pPr>
              <w:pStyle w:val="NormalWeb"/>
            </w:pPr>
            <w:r>
              <w:t>(91.7)</w:t>
            </w:r>
          </w:p>
        </w:tc>
      </w:tr>
      <w:tr w:rsidR="00751C2F" w14:paraId="7731089B"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5CBD5D1" w14:textId="77777777" w:rsidR="00AE0FE0" w:rsidRDefault="00AE0FE0">
            <w:pPr>
              <w:pStyle w:val="NormalWeb"/>
            </w:pPr>
            <w:r>
              <w:t>Tachycardia</w:t>
            </w:r>
          </w:p>
        </w:tc>
        <w:tc>
          <w:tcPr>
            <w:tcW w:w="0" w:type="auto"/>
            <w:tcMar>
              <w:top w:w="142" w:type="dxa"/>
              <w:left w:w="142" w:type="dxa"/>
              <w:bottom w:w="142" w:type="dxa"/>
              <w:right w:w="142" w:type="dxa"/>
            </w:tcMar>
            <w:hideMark/>
          </w:tcPr>
          <w:p w14:paraId="57D6B29A" w14:textId="77777777" w:rsidR="00AE0FE0" w:rsidRDefault="00AE0FE0">
            <w:pPr>
              <w:pStyle w:val="NormalWeb"/>
            </w:pPr>
            <w:r>
              <w:t>23</w:t>
            </w:r>
          </w:p>
        </w:tc>
        <w:tc>
          <w:tcPr>
            <w:tcW w:w="0" w:type="auto"/>
            <w:tcMar>
              <w:top w:w="142" w:type="dxa"/>
              <w:left w:w="142" w:type="dxa"/>
              <w:bottom w:w="142" w:type="dxa"/>
              <w:right w:w="142" w:type="dxa"/>
            </w:tcMar>
            <w:hideMark/>
          </w:tcPr>
          <w:p w14:paraId="628EAB90" w14:textId="77777777" w:rsidR="00AE0FE0" w:rsidRDefault="00AE0FE0">
            <w:pPr>
              <w:pStyle w:val="NormalWeb"/>
            </w:pPr>
            <w:r>
              <w:t>0</w:t>
            </w:r>
          </w:p>
        </w:tc>
        <w:tc>
          <w:tcPr>
            <w:tcW w:w="0" w:type="auto"/>
            <w:tcMar>
              <w:top w:w="142" w:type="dxa"/>
              <w:left w:w="142" w:type="dxa"/>
              <w:bottom w:w="142" w:type="dxa"/>
              <w:right w:w="142" w:type="dxa"/>
            </w:tcMar>
            <w:hideMark/>
          </w:tcPr>
          <w:p w14:paraId="1658A98D" w14:textId="77777777" w:rsidR="00AE0FE0" w:rsidRDefault="00AE0FE0">
            <w:pPr>
              <w:pStyle w:val="NormalWeb"/>
            </w:pPr>
            <w:r>
              <w:t>(0.0)</w:t>
            </w:r>
          </w:p>
        </w:tc>
        <w:tc>
          <w:tcPr>
            <w:tcW w:w="0" w:type="auto"/>
            <w:tcMar>
              <w:top w:w="142" w:type="dxa"/>
              <w:left w:w="142" w:type="dxa"/>
              <w:bottom w:w="142" w:type="dxa"/>
              <w:right w:w="142" w:type="dxa"/>
            </w:tcMar>
            <w:hideMark/>
          </w:tcPr>
          <w:p w14:paraId="626D51D3" w14:textId="77777777" w:rsidR="00AE0FE0" w:rsidRDefault="00AE0FE0">
            <w:pPr>
              <w:pStyle w:val="NormalWeb"/>
            </w:pPr>
            <w:r>
              <w:t>11</w:t>
            </w:r>
          </w:p>
        </w:tc>
        <w:tc>
          <w:tcPr>
            <w:tcW w:w="0" w:type="auto"/>
            <w:tcMar>
              <w:top w:w="142" w:type="dxa"/>
              <w:left w:w="142" w:type="dxa"/>
              <w:bottom w:w="142" w:type="dxa"/>
              <w:right w:w="142" w:type="dxa"/>
            </w:tcMar>
            <w:hideMark/>
          </w:tcPr>
          <w:p w14:paraId="16E8F00F" w14:textId="77777777" w:rsidR="00AE0FE0" w:rsidRDefault="00AE0FE0">
            <w:pPr>
              <w:pStyle w:val="NormalWeb"/>
            </w:pPr>
            <w:r>
              <w:t>(47.8)</w:t>
            </w:r>
          </w:p>
        </w:tc>
        <w:tc>
          <w:tcPr>
            <w:tcW w:w="0" w:type="auto"/>
            <w:tcMar>
              <w:top w:w="142" w:type="dxa"/>
              <w:left w:w="142" w:type="dxa"/>
              <w:bottom w:w="142" w:type="dxa"/>
              <w:right w:w="142" w:type="dxa"/>
            </w:tcMar>
            <w:hideMark/>
          </w:tcPr>
          <w:p w14:paraId="014E3237" w14:textId="77777777" w:rsidR="00AE0FE0" w:rsidRDefault="00AE0FE0">
            <w:pPr>
              <w:pStyle w:val="NormalWeb"/>
            </w:pPr>
            <w:r>
              <w:t>8</w:t>
            </w:r>
          </w:p>
        </w:tc>
        <w:tc>
          <w:tcPr>
            <w:tcW w:w="0" w:type="auto"/>
            <w:tcMar>
              <w:top w:w="142" w:type="dxa"/>
              <w:left w:w="142" w:type="dxa"/>
              <w:bottom w:w="142" w:type="dxa"/>
              <w:right w:w="142" w:type="dxa"/>
            </w:tcMar>
            <w:hideMark/>
          </w:tcPr>
          <w:p w14:paraId="2FE91563" w14:textId="77777777" w:rsidR="00AE0FE0" w:rsidRDefault="00AE0FE0">
            <w:pPr>
              <w:pStyle w:val="NormalWeb"/>
            </w:pPr>
            <w:r>
              <w:t>(34.8)</w:t>
            </w:r>
          </w:p>
        </w:tc>
        <w:tc>
          <w:tcPr>
            <w:tcW w:w="0" w:type="auto"/>
            <w:tcMar>
              <w:top w:w="142" w:type="dxa"/>
              <w:left w:w="142" w:type="dxa"/>
              <w:bottom w:w="142" w:type="dxa"/>
              <w:right w:w="142" w:type="dxa"/>
            </w:tcMar>
            <w:hideMark/>
          </w:tcPr>
          <w:p w14:paraId="1BE653A8" w14:textId="77777777" w:rsidR="00AE0FE0" w:rsidRDefault="00AE0FE0">
            <w:pPr>
              <w:pStyle w:val="NormalWeb"/>
            </w:pPr>
            <w:r>
              <w:t>13</w:t>
            </w:r>
          </w:p>
        </w:tc>
        <w:tc>
          <w:tcPr>
            <w:tcW w:w="0" w:type="auto"/>
            <w:tcMar>
              <w:top w:w="142" w:type="dxa"/>
              <w:left w:w="142" w:type="dxa"/>
              <w:bottom w:w="142" w:type="dxa"/>
              <w:right w:w="142" w:type="dxa"/>
            </w:tcMar>
            <w:hideMark/>
          </w:tcPr>
          <w:p w14:paraId="6E240718" w14:textId="77777777" w:rsidR="00AE0FE0" w:rsidRDefault="00AE0FE0">
            <w:pPr>
              <w:pStyle w:val="NormalWeb"/>
            </w:pPr>
            <w:r>
              <w:t>(56.5)</w:t>
            </w:r>
          </w:p>
        </w:tc>
      </w:tr>
      <w:tr w:rsidR="009525C9" w14:paraId="2F5CF275"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2F2425A9" w14:textId="77777777" w:rsidR="00AE0FE0" w:rsidRDefault="00AE0FE0">
            <w:pPr>
              <w:pStyle w:val="NormalWeb"/>
            </w:pPr>
            <w:r>
              <w:t>Oropharyngeal pain</w:t>
            </w:r>
          </w:p>
        </w:tc>
        <w:tc>
          <w:tcPr>
            <w:tcW w:w="0" w:type="auto"/>
            <w:tcMar>
              <w:top w:w="142" w:type="dxa"/>
              <w:left w:w="142" w:type="dxa"/>
              <w:bottom w:w="142" w:type="dxa"/>
              <w:right w:w="142" w:type="dxa"/>
            </w:tcMar>
            <w:hideMark/>
          </w:tcPr>
          <w:p w14:paraId="18C587E8" w14:textId="77777777" w:rsidR="00AE0FE0" w:rsidRDefault="00AE0FE0">
            <w:pPr>
              <w:pStyle w:val="NormalWeb"/>
            </w:pPr>
            <w:r>
              <w:t>21</w:t>
            </w:r>
          </w:p>
        </w:tc>
        <w:tc>
          <w:tcPr>
            <w:tcW w:w="0" w:type="auto"/>
            <w:tcMar>
              <w:top w:w="142" w:type="dxa"/>
              <w:left w:w="142" w:type="dxa"/>
              <w:bottom w:w="142" w:type="dxa"/>
              <w:right w:w="142" w:type="dxa"/>
            </w:tcMar>
            <w:hideMark/>
          </w:tcPr>
          <w:p w14:paraId="6CFB9C01" w14:textId="77777777" w:rsidR="00AE0FE0" w:rsidRDefault="00AE0FE0">
            <w:pPr>
              <w:pStyle w:val="NormalWeb"/>
            </w:pPr>
            <w:r>
              <w:t>0</w:t>
            </w:r>
          </w:p>
        </w:tc>
        <w:tc>
          <w:tcPr>
            <w:tcW w:w="0" w:type="auto"/>
            <w:tcMar>
              <w:top w:w="142" w:type="dxa"/>
              <w:left w:w="142" w:type="dxa"/>
              <w:bottom w:w="142" w:type="dxa"/>
              <w:right w:w="142" w:type="dxa"/>
            </w:tcMar>
            <w:hideMark/>
          </w:tcPr>
          <w:p w14:paraId="0B9CD292" w14:textId="77777777" w:rsidR="00AE0FE0" w:rsidRDefault="00AE0FE0">
            <w:pPr>
              <w:pStyle w:val="NormalWeb"/>
            </w:pPr>
            <w:r>
              <w:t>(0.0)</w:t>
            </w:r>
          </w:p>
        </w:tc>
        <w:tc>
          <w:tcPr>
            <w:tcW w:w="0" w:type="auto"/>
            <w:tcMar>
              <w:top w:w="142" w:type="dxa"/>
              <w:left w:w="142" w:type="dxa"/>
              <w:bottom w:w="142" w:type="dxa"/>
              <w:right w:w="142" w:type="dxa"/>
            </w:tcMar>
            <w:hideMark/>
          </w:tcPr>
          <w:p w14:paraId="1A46D66D" w14:textId="77777777" w:rsidR="00AE0FE0" w:rsidRDefault="00AE0FE0">
            <w:pPr>
              <w:pStyle w:val="NormalWeb"/>
            </w:pPr>
            <w:r>
              <w:t>1</w:t>
            </w:r>
          </w:p>
        </w:tc>
        <w:tc>
          <w:tcPr>
            <w:tcW w:w="0" w:type="auto"/>
            <w:tcMar>
              <w:top w:w="142" w:type="dxa"/>
              <w:left w:w="142" w:type="dxa"/>
              <w:bottom w:w="142" w:type="dxa"/>
              <w:right w:w="142" w:type="dxa"/>
            </w:tcMar>
            <w:hideMark/>
          </w:tcPr>
          <w:p w14:paraId="2A9CCD98" w14:textId="77777777" w:rsidR="00AE0FE0" w:rsidRDefault="00AE0FE0">
            <w:pPr>
              <w:pStyle w:val="NormalWeb"/>
            </w:pPr>
            <w:r>
              <w:t>(4.8)</w:t>
            </w:r>
          </w:p>
        </w:tc>
        <w:tc>
          <w:tcPr>
            <w:tcW w:w="0" w:type="auto"/>
            <w:tcMar>
              <w:top w:w="142" w:type="dxa"/>
              <w:left w:w="142" w:type="dxa"/>
              <w:bottom w:w="142" w:type="dxa"/>
              <w:right w:w="142" w:type="dxa"/>
            </w:tcMar>
            <w:hideMark/>
          </w:tcPr>
          <w:p w14:paraId="5C880A52" w14:textId="77777777" w:rsidR="00AE0FE0" w:rsidRDefault="00AE0FE0">
            <w:pPr>
              <w:pStyle w:val="NormalWeb"/>
            </w:pPr>
            <w:r>
              <w:t>3</w:t>
            </w:r>
          </w:p>
        </w:tc>
        <w:tc>
          <w:tcPr>
            <w:tcW w:w="0" w:type="auto"/>
            <w:tcMar>
              <w:top w:w="142" w:type="dxa"/>
              <w:left w:w="142" w:type="dxa"/>
              <w:bottom w:w="142" w:type="dxa"/>
              <w:right w:w="142" w:type="dxa"/>
            </w:tcMar>
            <w:hideMark/>
          </w:tcPr>
          <w:p w14:paraId="6A00DE47" w14:textId="77777777" w:rsidR="00AE0FE0" w:rsidRDefault="00AE0FE0">
            <w:pPr>
              <w:pStyle w:val="NormalWeb"/>
            </w:pPr>
            <w:r>
              <w:t>(14.3)</w:t>
            </w:r>
          </w:p>
        </w:tc>
        <w:tc>
          <w:tcPr>
            <w:tcW w:w="0" w:type="auto"/>
            <w:tcMar>
              <w:top w:w="142" w:type="dxa"/>
              <w:left w:w="142" w:type="dxa"/>
              <w:bottom w:w="142" w:type="dxa"/>
              <w:right w:w="142" w:type="dxa"/>
            </w:tcMar>
            <w:hideMark/>
          </w:tcPr>
          <w:p w14:paraId="3E5C389D" w14:textId="77777777" w:rsidR="00AE0FE0" w:rsidRDefault="00AE0FE0">
            <w:pPr>
              <w:pStyle w:val="NormalWeb"/>
            </w:pPr>
            <w:r>
              <w:t>15</w:t>
            </w:r>
          </w:p>
        </w:tc>
        <w:tc>
          <w:tcPr>
            <w:tcW w:w="0" w:type="auto"/>
            <w:tcMar>
              <w:top w:w="142" w:type="dxa"/>
              <w:left w:w="142" w:type="dxa"/>
              <w:bottom w:w="142" w:type="dxa"/>
              <w:right w:w="142" w:type="dxa"/>
            </w:tcMar>
            <w:hideMark/>
          </w:tcPr>
          <w:p w14:paraId="72F4AB4F" w14:textId="77777777" w:rsidR="00AE0FE0" w:rsidRDefault="00AE0FE0">
            <w:pPr>
              <w:pStyle w:val="NormalWeb"/>
            </w:pPr>
            <w:r>
              <w:t>(71.4)</w:t>
            </w:r>
          </w:p>
        </w:tc>
      </w:tr>
      <w:tr w:rsidR="00751C2F" w14:paraId="6ACD4F26"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BCE369E" w14:textId="77777777" w:rsidR="00AE0FE0" w:rsidRDefault="00AE0FE0">
            <w:pPr>
              <w:pStyle w:val="NormalWeb"/>
            </w:pPr>
            <w:r>
              <w:t>Hypoaesthesia</w:t>
            </w:r>
          </w:p>
        </w:tc>
        <w:tc>
          <w:tcPr>
            <w:tcW w:w="0" w:type="auto"/>
            <w:tcMar>
              <w:top w:w="142" w:type="dxa"/>
              <w:left w:w="142" w:type="dxa"/>
              <w:bottom w:w="142" w:type="dxa"/>
              <w:right w:w="142" w:type="dxa"/>
            </w:tcMar>
            <w:hideMark/>
          </w:tcPr>
          <w:p w14:paraId="51120325" w14:textId="77777777" w:rsidR="00AE0FE0" w:rsidRDefault="00AE0FE0">
            <w:pPr>
              <w:pStyle w:val="NormalWeb"/>
            </w:pPr>
            <w:r>
              <w:t>19</w:t>
            </w:r>
          </w:p>
        </w:tc>
        <w:tc>
          <w:tcPr>
            <w:tcW w:w="0" w:type="auto"/>
            <w:tcMar>
              <w:top w:w="142" w:type="dxa"/>
              <w:left w:w="142" w:type="dxa"/>
              <w:bottom w:w="142" w:type="dxa"/>
              <w:right w:w="142" w:type="dxa"/>
            </w:tcMar>
            <w:hideMark/>
          </w:tcPr>
          <w:p w14:paraId="3B0F81AD" w14:textId="77777777" w:rsidR="00AE0FE0" w:rsidRDefault="00AE0FE0">
            <w:pPr>
              <w:pStyle w:val="NormalWeb"/>
            </w:pPr>
            <w:r>
              <w:t>3</w:t>
            </w:r>
          </w:p>
        </w:tc>
        <w:tc>
          <w:tcPr>
            <w:tcW w:w="0" w:type="auto"/>
            <w:tcMar>
              <w:top w:w="142" w:type="dxa"/>
              <w:left w:w="142" w:type="dxa"/>
              <w:bottom w:w="142" w:type="dxa"/>
              <w:right w:w="142" w:type="dxa"/>
            </w:tcMar>
            <w:hideMark/>
          </w:tcPr>
          <w:p w14:paraId="5CEE9E84" w14:textId="77777777" w:rsidR="00AE0FE0" w:rsidRDefault="00AE0FE0">
            <w:pPr>
              <w:pStyle w:val="NormalWeb"/>
            </w:pPr>
            <w:r>
              <w:t>(15.8)</w:t>
            </w:r>
          </w:p>
        </w:tc>
        <w:tc>
          <w:tcPr>
            <w:tcW w:w="0" w:type="auto"/>
            <w:tcMar>
              <w:top w:w="142" w:type="dxa"/>
              <w:left w:w="142" w:type="dxa"/>
              <w:bottom w:w="142" w:type="dxa"/>
              <w:right w:w="142" w:type="dxa"/>
            </w:tcMar>
            <w:hideMark/>
          </w:tcPr>
          <w:p w14:paraId="49441188" w14:textId="77777777" w:rsidR="00AE0FE0" w:rsidRDefault="00AE0FE0">
            <w:pPr>
              <w:pStyle w:val="NormalWeb"/>
            </w:pPr>
            <w:r>
              <w:t>3</w:t>
            </w:r>
          </w:p>
        </w:tc>
        <w:tc>
          <w:tcPr>
            <w:tcW w:w="0" w:type="auto"/>
            <w:tcMar>
              <w:top w:w="142" w:type="dxa"/>
              <w:left w:w="142" w:type="dxa"/>
              <w:bottom w:w="142" w:type="dxa"/>
              <w:right w:w="142" w:type="dxa"/>
            </w:tcMar>
            <w:hideMark/>
          </w:tcPr>
          <w:p w14:paraId="5361779B" w14:textId="77777777" w:rsidR="00AE0FE0" w:rsidRDefault="00AE0FE0">
            <w:pPr>
              <w:pStyle w:val="NormalWeb"/>
            </w:pPr>
            <w:r>
              <w:t>(15.8)</w:t>
            </w:r>
          </w:p>
        </w:tc>
        <w:tc>
          <w:tcPr>
            <w:tcW w:w="0" w:type="auto"/>
            <w:tcMar>
              <w:top w:w="142" w:type="dxa"/>
              <w:left w:w="142" w:type="dxa"/>
              <w:bottom w:w="142" w:type="dxa"/>
              <w:right w:w="142" w:type="dxa"/>
            </w:tcMar>
            <w:hideMark/>
          </w:tcPr>
          <w:p w14:paraId="5D36500C" w14:textId="77777777" w:rsidR="00AE0FE0" w:rsidRDefault="00AE0FE0">
            <w:pPr>
              <w:pStyle w:val="NormalWeb"/>
            </w:pPr>
            <w:r>
              <w:t>0</w:t>
            </w:r>
          </w:p>
        </w:tc>
        <w:tc>
          <w:tcPr>
            <w:tcW w:w="0" w:type="auto"/>
            <w:tcMar>
              <w:top w:w="142" w:type="dxa"/>
              <w:left w:w="142" w:type="dxa"/>
              <w:bottom w:w="142" w:type="dxa"/>
              <w:right w:w="142" w:type="dxa"/>
            </w:tcMar>
            <w:hideMark/>
          </w:tcPr>
          <w:p w14:paraId="07A9B4EE" w14:textId="77777777" w:rsidR="00AE0FE0" w:rsidRDefault="00AE0FE0">
            <w:pPr>
              <w:pStyle w:val="NormalWeb"/>
            </w:pPr>
            <w:r>
              <w:t>(0.0)</w:t>
            </w:r>
          </w:p>
        </w:tc>
        <w:tc>
          <w:tcPr>
            <w:tcW w:w="0" w:type="auto"/>
            <w:tcMar>
              <w:top w:w="142" w:type="dxa"/>
              <w:left w:w="142" w:type="dxa"/>
              <w:bottom w:w="142" w:type="dxa"/>
              <w:right w:w="142" w:type="dxa"/>
            </w:tcMar>
            <w:hideMark/>
          </w:tcPr>
          <w:p w14:paraId="148EB667" w14:textId="77777777" w:rsidR="00AE0FE0" w:rsidRDefault="00AE0FE0">
            <w:pPr>
              <w:pStyle w:val="NormalWeb"/>
            </w:pPr>
            <w:r>
              <w:t>19</w:t>
            </w:r>
          </w:p>
        </w:tc>
        <w:tc>
          <w:tcPr>
            <w:tcW w:w="0" w:type="auto"/>
            <w:tcMar>
              <w:top w:w="142" w:type="dxa"/>
              <w:left w:w="142" w:type="dxa"/>
              <w:bottom w:w="142" w:type="dxa"/>
              <w:right w:w="142" w:type="dxa"/>
            </w:tcMar>
            <w:hideMark/>
          </w:tcPr>
          <w:p w14:paraId="41F839C7" w14:textId="77777777" w:rsidR="00AE0FE0" w:rsidRDefault="00AE0FE0">
            <w:pPr>
              <w:pStyle w:val="NormalWeb"/>
            </w:pPr>
            <w:r>
              <w:t>(100.0)</w:t>
            </w:r>
          </w:p>
        </w:tc>
      </w:tr>
      <w:tr w:rsidR="009525C9" w14:paraId="686BA321"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162460F" w14:textId="77777777" w:rsidR="00AE0FE0" w:rsidRDefault="00AE0FE0">
            <w:pPr>
              <w:pStyle w:val="NormalWeb"/>
            </w:pPr>
            <w:r>
              <w:t>Haematochezia</w:t>
            </w:r>
          </w:p>
        </w:tc>
        <w:tc>
          <w:tcPr>
            <w:tcW w:w="0" w:type="auto"/>
            <w:tcMar>
              <w:top w:w="142" w:type="dxa"/>
              <w:left w:w="142" w:type="dxa"/>
              <w:bottom w:w="142" w:type="dxa"/>
              <w:right w:w="142" w:type="dxa"/>
            </w:tcMar>
            <w:hideMark/>
          </w:tcPr>
          <w:p w14:paraId="1226A4F7" w14:textId="77777777" w:rsidR="00AE0FE0" w:rsidRDefault="00AE0FE0">
            <w:pPr>
              <w:pStyle w:val="NormalWeb"/>
            </w:pPr>
            <w:r>
              <w:t>18</w:t>
            </w:r>
          </w:p>
        </w:tc>
        <w:tc>
          <w:tcPr>
            <w:tcW w:w="0" w:type="auto"/>
            <w:tcMar>
              <w:top w:w="142" w:type="dxa"/>
              <w:left w:w="142" w:type="dxa"/>
              <w:bottom w:w="142" w:type="dxa"/>
              <w:right w:w="142" w:type="dxa"/>
            </w:tcMar>
            <w:hideMark/>
          </w:tcPr>
          <w:p w14:paraId="6F934057" w14:textId="77777777" w:rsidR="00AE0FE0" w:rsidRDefault="00AE0FE0">
            <w:pPr>
              <w:pStyle w:val="NormalWeb"/>
            </w:pPr>
            <w:r>
              <w:t>6</w:t>
            </w:r>
          </w:p>
        </w:tc>
        <w:tc>
          <w:tcPr>
            <w:tcW w:w="0" w:type="auto"/>
            <w:tcMar>
              <w:top w:w="142" w:type="dxa"/>
              <w:left w:w="142" w:type="dxa"/>
              <w:bottom w:w="142" w:type="dxa"/>
              <w:right w:w="142" w:type="dxa"/>
            </w:tcMar>
            <w:hideMark/>
          </w:tcPr>
          <w:p w14:paraId="7F1834AD" w14:textId="77777777" w:rsidR="00AE0FE0" w:rsidRDefault="00AE0FE0">
            <w:pPr>
              <w:pStyle w:val="NormalWeb"/>
            </w:pPr>
            <w:r>
              <w:t>(33.3)</w:t>
            </w:r>
          </w:p>
        </w:tc>
        <w:tc>
          <w:tcPr>
            <w:tcW w:w="0" w:type="auto"/>
            <w:tcMar>
              <w:top w:w="142" w:type="dxa"/>
              <w:left w:w="142" w:type="dxa"/>
              <w:bottom w:w="142" w:type="dxa"/>
              <w:right w:w="142" w:type="dxa"/>
            </w:tcMar>
            <w:hideMark/>
          </w:tcPr>
          <w:p w14:paraId="5EA9C06A" w14:textId="77777777" w:rsidR="00AE0FE0" w:rsidRDefault="00AE0FE0">
            <w:pPr>
              <w:pStyle w:val="NormalWeb"/>
            </w:pPr>
            <w:r>
              <w:t>3</w:t>
            </w:r>
          </w:p>
        </w:tc>
        <w:tc>
          <w:tcPr>
            <w:tcW w:w="0" w:type="auto"/>
            <w:tcMar>
              <w:top w:w="142" w:type="dxa"/>
              <w:left w:w="142" w:type="dxa"/>
              <w:bottom w:w="142" w:type="dxa"/>
              <w:right w:w="142" w:type="dxa"/>
            </w:tcMar>
            <w:hideMark/>
          </w:tcPr>
          <w:p w14:paraId="31478E2E" w14:textId="77777777" w:rsidR="00AE0FE0" w:rsidRDefault="00AE0FE0">
            <w:pPr>
              <w:pStyle w:val="NormalWeb"/>
            </w:pPr>
            <w:r>
              <w:t>(16.7)</w:t>
            </w:r>
          </w:p>
        </w:tc>
        <w:tc>
          <w:tcPr>
            <w:tcW w:w="0" w:type="auto"/>
            <w:tcMar>
              <w:top w:w="142" w:type="dxa"/>
              <w:left w:w="142" w:type="dxa"/>
              <w:bottom w:w="142" w:type="dxa"/>
              <w:right w:w="142" w:type="dxa"/>
            </w:tcMar>
            <w:hideMark/>
          </w:tcPr>
          <w:p w14:paraId="2126553A" w14:textId="77777777" w:rsidR="00AE0FE0" w:rsidRDefault="00AE0FE0">
            <w:pPr>
              <w:pStyle w:val="NormalWeb"/>
            </w:pPr>
            <w:r>
              <w:t>17</w:t>
            </w:r>
          </w:p>
        </w:tc>
        <w:tc>
          <w:tcPr>
            <w:tcW w:w="0" w:type="auto"/>
            <w:tcMar>
              <w:top w:w="142" w:type="dxa"/>
              <w:left w:w="142" w:type="dxa"/>
              <w:bottom w:w="142" w:type="dxa"/>
              <w:right w:w="142" w:type="dxa"/>
            </w:tcMar>
            <w:hideMark/>
          </w:tcPr>
          <w:p w14:paraId="56A055BB" w14:textId="77777777" w:rsidR="00AE0FE0" w:rsidRDefault="00AE0FE0">
            <w:pPr>
              <w:pStyle w:val="NormalWeb"/>
            </w:pPr>
            <w:r>
              <w:t>(94.4)</w:t>
            </w:r>
          </w:p>
        </w:tc>
        <w:tc>
          <w:tcPr>
            <w:tcW w:w="0" w:type="auto"/>
            <w:tcMar>
              <w:top w:w="142" w:type="dxa"/>
              <w:left w:w="142" w:type="dxa"/>
              <w:bottom w:w="142" w:type="dxa"/>
              <w:right w:w="142" w:type="dxa"/>
            </w:tcMar>
            <w:hideMark/>
          </w:tcPr>
          <w:p w14:paraId="6005C198" w14:textId="77777777" w:rsidR="00AE0FE0" w:rsidRDefault="00AE0FE0">
            <w:pPr>
              <w:pStyle w:val="NormalWeb"/>
            </w:pPr>
            <w:r>
              <w:t>1</w:t>
            </w:r>
          </w:p>
        </w:tc>
        <w:tc>
          <w:tcPr>
            <w:tcW w:w="0" w:type="auto"/>
            <w:tcMar>
              <w:top w:w="142" w:type="dxa"/>
              <w:left w:w="142" w:type="dxa"/>
              <w:bottom w:w="142" w:type="dxa"/>
              <w:right w:w="142" w:type="dxa"/>
            </w:tcMar>
            <w:hideMark/>
          </w:tcPr>
          <w:p w14:paraId="57E0DC2E" w14:textId="77777777" w:rsidR="00AE0FE0" w:rsidRDefault="00AE0FE0">
            <w:pPr>
              <w:pStyle w:val="NormalWeb"/>
            </w:pPr>
            <w:r>
              <w:t>(5.6)</w:t>
            </w:r>
          </w:p>
        </w:tc>
      </w:tr>
      <w:tr w:rsidR="00751C2F" w14:paraId="6B119B1D"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045E21B4" w14:textId="77777777" w:rsidR="00AE0FE0" w:rsidRDefault="00AE0FE0">
            <w:pPr>
              <w:pStyle w:val="NormalWeb"/>
            </w:pPr>
            <w:r>
              <w:t>Intussusception</w:t>
            </w:r>
          </w:p>
        </w:tc>
        <w:tc>
          <w:tcPr>
            <w:tcW w:w="0" w:type="auto"/>
            <w:tcMar>
              <w:top w:w="142" w:type="dxa"/>
              <w:left w:w="142" w:type="dxa"/>
              <w:bottom w:w="142" w:type="dxa"/>
              <w:right w:w="142" w:type="dxa"/>
            </w:tcMar>
            <w:hideMark/>
          </w:tcPr>
          <w:p w14:paraId="2A3F9B68" w14:textId="77777777" w:rsidR="00AE0FE0" w:rsidRDefault="00AE0FE0">
            <w:pPr>
              <w:pStyle w:val="NormalWeb"/>
            </w:pPr>
            <w:r>
              <w:t>16</w:t>
            </w:r>
          </w:p>
        </w:tc>
        <w:tc>
          <w:tcPr>
            <w:tcW w:w="0" w:type="auto"/>
            <w:tcMar>
              <w:top w:w="142" w:type="dxa"/>
              <w:left w:w="142" w:type="dxa"/>
              <w:bottom w:w="142" w:type="dxa"/>
              <w:right w:w="142" w:type="dxa"/>
            </w:tcMar>
            <w:hideMark/>
          </w:tcPr>
          <w:p w14:paraId="6539B447" w14:textId="77777777" w:rsidR="00AE0FE0" w:rsidRDefault="00AE0FE0">
            <w:pPr>
              <w:pStyle w:val="NormalWeb"/>
            </w:pPr>
            <w:r>
              <w:t>14</w:t>
            </w:r>
          </w:p>
        </w:tc>
        <w:tc>
          <w:tcPr>
            <w:tcW w:w="0" w:type="auto"/>
            <w:tcMar>
              <w:top w:w="142" w:type="dxa"/>
              <w:left w:w="142" w:type="dxa"/>
              <w:bottom w:w="142" w:type="dxa"/>
              <w:right w:w="142" w:type="dxa"/>
            </w:tcMar>
            <w:hideMark/>
          </w:tcPr>
          <w:p w14:paraId="71C5FD47" w14:textId="77777777" w:rsidR="00AE0FE0" w:rsidRDefault="00AE0FE0">
            <w:pPr>
              <w:pStyle w:val="NormalWeb"/>
            </w:pPr>
            <w:r>
              <w:t>(87.5)</w:t>
            </w:r>
          </w:p>
        </w:tc>
        <w:tc>
          <w:tcPr>
            <w:tcW w:w="0" w:type="auto"/>
            <w:tcMar>
              <w:top w:w="142" w:type="dxa"/>
              <w:left w:w="142" w:type="dxa"/>
              <w:bottom w:w="142" w:type="dxa"/>
              <w:right w:w="142" w:type="dxa"/>
            </w:tcMar>
            <w:hideMark/>
          </w:tcPr>
          <w:p w14:paraId="539285CD" w14:textId="77777777" w:rsidR="00AE0FE0" w:rsidRDefault="00AE0FE0">
            <w:pPr>
              <w:pStyle w:val="NormalWeb"/>
            </w:pPr>
            <w:r>
              <w:t>15</w:t>
            </w:r>
          </w:p>
        </w:tc>
        <w:tc>
          <w:tcPr>
            <w:tcW w:w="0" w:type="auto"/>
            <w:tcMar>
              <w:top w:w="142" w:type="dxa"/>
              <w:left w:w="142" w:type="dxa"/>
              <w:bottom w:w="142" w:type="dxa"/>
              <w:right w:w="142" w:type="dxa"/>
            </w:tcMar>
            <w:hideMark/>
          </w:tcPr>
          <w:p w14:paraId="3723F0CD" w14:textId="77777777" w:rsidR="00AE0FE0" w:rsidRDefault="00AE0FE0">
            <w:pPr>
              <w:pStyle w:val="NormalWeb"/>
            </w:pPr>
            <w:r>
              <w:t>(93.8)</w:t>
            </w:r>
          </w:p>
        </w:tc>
        <w:tc>
          <w:tcPr>
            <w:tcW w:w="0" w:type="auto"/>
            <w:tcMar>
              <w:top w:w="142" w:type="dxa"/>
              <w:left w:w="142" w:type="dxa"/>
              <w:bottom w:w="142" w:type="dxa"/>
              <w:right w:w="142" w:type="dxa"/>
            </w:tcMar>
            <w:hideMark/>
          </w:tcPr>
          <w:p w14:paraId="78D9AE74" w14:textId="77777777" w:rsidR="00AE0FE0" w:rsidRDefault="00AE0FE0">
            <w:pPr>
              <w:pStyle w:val="NormalWeb"/>
            </w:pPr>
            <w:r>
              <w:t>16</w:t>
            </w:r>
          </w:p>
        </w:tc>
        <w:tc>
          <w:tcPr>
            <w:tcW w:w="0" w:type="auto"/>
            <w:tcMar>
              <w:top w:w="142" w:type="dxa"/>
              <w:left w:w="142" w:type="dxa"/>
              <w:bottom w:w="142" w:type="dxa"/>
              <w:right w:w="142" w:type="dxa"/>
            </w:tcMar>
            <w:hideMark/>
          </w:tcPr>
          <w:p w14:paraId="52068B01" w14:textId="77777777" w:rsidR="00AE0FE0" w:rsidRDefault="00AE0FE0">
            <w:pPr>
              <w:pStyle w:val="NormalWeb"/>
            </w:pPr>
            <w:r>
              <w:t>(100.0)</w:t>
            </w:r>
          </w:p>
        </w:tc>
        <w:tc>
          <w:tcPr>
            <w:tcW w:w="0" w:type="auto"/>
            <w:tcMar>
              <w:top w:w="142" w:type="dxa"/>
              <w:left w:w="142" w:type="dxa"/>
              <w:bottom w:w="142" w:type="dxa"/>
              <w:right w:w="142" w:type="dxa"/>
            </w:tcMar>
            <w:hideMark/>
          </w:tcPr>
          <w:p w14:paraId="600F90BC" w14:textId="77777777" w:rsidR="00AE0FE0" w:rsidRDefault="00AE0FE0">
            <w:pPr>
              <w:pStyle w:val="NormalWeb"/>
            </w:pPr>
            <w:r>
              <w:t>0</w:t>
            </w:r>
          </w:p>
        </w:tc>
        <w:tc>
          <w:tcPr>
            <w:tcW w:w="0" w:type="auto"/>
            <w:tcMar>
              <w:top w:w="142" w:type="dxa"/>
              <w:left w:w="142" w:type="dxa"/>
              <w:bottom w:w="142" w:type="dxa"/>
              <w:right w:w="142" w:type="dxa"/>
            </w:tcMar>
            <w:hideMark/>
          </w:tcPr>
          <w:p w14:paraId="5030614D" w14:textId="77777777" w:rsidR="00AE0FE0" w:rsidRDefault="00AE0FE0">
            <w:pPr>
              <w:pStyle w:val="NormalWeb"/>
            </w:pPr>
            <w:r>
              <w:t>(0.0)</w:t>
            </w:r>
          </w:p>
        </w:tc>
      </w:tr>
      <w:tr w:rsidR="009525C9" w14:paraId="1479F641"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D78A711" w14:textId="77777777" w:rsidR="00AE0FE0" w:rsidRDefault="00AE0FE0">
            <w:pPr>
              <w:pStyle w:val="NormalWeb"/>
            </w:pPr>
            <w:r>
              <w:t>Somnolence</w:t>
            </w:r>
          </w:p>
        </w:tc>
        <w:tc>
          <w:tcPr>
            <w:tcW w:w="0" w:type="auto"/>
            <w:tcMar>
              <w:top w:w="142" w:type="dxa"/>
              <w:left w:w="142" w:type="dxa"/>
              <w:bottom w:w="142" w:type="dxa"/>
              <w:right w:w="142" w:type="dxa"/>
            </w:tcMar>
            <w:hideMark/>
          </w:tcPr>
          <w:p w14:paraId="38ADF0A6" w14:textId="77777777" w:rsidR="00AE0FE0" w:rsidRDefault="00AE0FE0">
            <w:pPr>
              <w:pStyle w:val="NormalWeb"/>
            </w:pPr>
            <w:r>
              <w:t>14</w:t>
            </w:r>
          </w:p>
        </w:tc>
        <w:tc>
          <w:tcPr>
            <w:tcW w:w="0" w:type="auto"/>
            <w:tcMar>
              <w:top w:w="142" w:type="dxa"/>
              <w:left w:w="142" w:type="dxa"/>
              <w:bottom w:w="142" w:type="dxa"/>
              <w:right w:w="142" w:type="dxa"/>
            </w:tcMar>
            <w:hideMark/>
          </w:tcPr>
          <w:p w14:paraId="03F5CFFF" w14:textId="77777777" w:rsidR="00AE0FE0" w:rsidRDefault="00AE0FE0">
            <w:pPr>
              <w:pStyle w:val="NormalWeb"/>
            </w:pPr>
            <w:r>
              <w:t>0</w:t>
            </w:r>
          </w:p>
        </w:tc>
        <w:tc>
          <w:tcPr>
            <w:tcW w:w="0" w:type="auto"/>
            <w:tcMar>
              <w:top w:w="142" w:type="dxa"/>
              <w:left w:w="142" w:type="dxa"/>
              <w:bottom w:w="142" w:type="dxa"/>
              <w:right w:w="142" w:type="dxa"/>
            </w:tcMar>
            <w:hideMark/>
          </w:tcPr>
          <w:p w14:paraId="08392C40" w14:textId="77777777" w:rsidR="00AE0FE0" w:rsidRDefault="00AE0FE0">
            <w:pPr>
              <w:pStyle w:val="NormalWeb"/>
            </w:pPr>
            <w:r>
              <w:t>(0.0)</w:t>
            </w:r>
          </w:p>
        </w:tc>
        <w:tc>
          <w:tcPr>
            <w:tcW w:w="0" w:type="auto"/>
            <w:tcMar>
              <w:top w:w="142" w:type="dxa"/>
              <w:left w:w="142" w:type="dxa"/>
              <w:bottom w:w="142" w:type="dxa"/>
              <w:right w:w="142" w:type="dxa"/>
            </w:tcMar>
            <w:hideMark/>
          </w:tcPr>
          <w:p w14:paraId="14635916" w14:textId="77777777" w:rsidR="00AE0FE0" w:rsidRDefault="00AE0FE0">
            <w:pPr>
              <w:pStyle w:val="NormalWeb"/>
            </w:pPr>
            <w:r>
              <w:t>3</w:t>
            </w:r>
          </w:p>
        </w:tc>
        <w:tc>
          <w:tcPr>
            <w:tcW w:w="0" w:type="auto"/>
            <w:tcMar>
              <w:top w:w="142" w:type="dxa"/>
              <w:left w:w="142" w:type="dxa"/>
              <w:bottom w:w="142" w:type="dxa"/>
              <w:right w:w="142" w:type="dxa"/>
            </w:tcMar>
            <w:hideMark/>
          </w:tcPr>
          <w:p w14:paraId="425D5F8F" w14:textId="77777777" w:rsidR="00AE0FE0" w:rsidRDefault="00AE0FE0">
            <w:pPr>
              <w:pStyle w:val="NormalWeb"/>
            </w:pPr>
            <w:r>
              <w:t>(21.4)</w:t>
            </w:r>
          </w:p>
        </w:tc>
        <w:tc>
          <w:tcPr>
            <w:tcW w:w="0" w:type="auto"/>
            <w:tcMar>
              <w:top w:w="142" w:type="dxa"/>
              <w:left w:w="142" w:type="dxa"/>
              <w:bottom w:w="142" w:type="dxa"/>
              <w:right w:w="142" w:type="dxa"/>
            </w:tcMar>
            <w:hideMark/>
          </w:tcPr>
          <w:p w14:paraId="1327BE21" w14:textId="77777777" w:rsidR="00AE0FE0" w:rsidRDefault="00AE0FE0">
            <w:pPr>
              <w:pStyle w:val="NormalWeb"/>
            </w:pPr>
            <w:r>
              <w:t>9</w:t>
            </w:r>
          </w:p>
        </w:tc>
        <w:tc>
          <w:tcPr>
            <w:tcW w:w="0" w:type="auto"/>
            <w:tcMar>
              <w:top w:w="142" w:type="dxa"/>
              <w:left w:w="142" w:type="dxa"/>
              <w:bottom w:w="142" w:type="dxa"/>
              <w:right w:w="142" w:type="dxa"/>
            </w:tcMar>
            <w:hideMark/>
          </w:tcPr>
          <w:p w14:paraId="76B5AEE8" w14:textId="77777777" w:rsidR="00AE0FE0" w:rsidRDefault="00AE0FE0">
            <w:pPr>
              <w:pStyle w:val="NormalWeb"/>
            </w:pPr>
            <w:r>
              <w:t>(64.3)</w:t>
            </w:r>
          </w:p>
        </w:tc>
        <w:tc>
          <w:tcPr>
            <w:tcW w:w="0" w:type="auto"/>
            <w:tcMar>
              <w:top w:w="142" w:type="dxa"/>
              <w:left w:w="142" w:type="dxa"/>
              <w:bottom w:w="142" w:type="dxa"/>
              <w:right w:w="142" w:type="dxa"/>
            </w:tcMar>
            <w:hideMark/>
          </w:tcPr>
          <w:p w14:paraId="3303FFF4" w14:textId="77777777" w:rsidR="00AE0FE0" w:rsidRDefault="00AE0FE0">
            <w:pPr>
              <w:pStyle w:val="NormalWeb"/>
            </w:pPr>
            <w:r>
              <w:t>5</w:t>
            </w:r>
          </w:p>
        </w:tc>
        <w:tc>
          <w:tcPr>
            <w:tcW w:w="0" w:type="auto"/>
            <w:tcMar>
              <w:top w:w="142" w:type="dxa"/>
              <w:left w:w="142" w:type="dxa"/>
              <w:bottom w:w="142" w:type="dxa"/>
              <w:right w:w="142" w:type="dxa"/>
            </w:tcMar>
            <w:hideMark/>
          </w:tcPr>
          <w:p w14:paraId="3B7F0F47" w14:textId="77777777" w:rsidR="00AE0FE0" w:rsidRDefault="00AE0FE0">
            <w:pPr>
              <w:pStyle w:val="NormalWeb"/>
            </w:pPr>
            <w:r>
              <w:t>(35.7)</w:t>
            </w:r>
          </w:p>
        </w:tc>
      </w:tr>
      <w:tr w:rsidR="00751C2F" w14:paraId="3E9F900F"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5E8DED3" w14:textId="77777777" w:rsidR="00AE0FE0" w:rsidRDefault="00AE0FE0">
            <w:pPr>
              <w:pStyle w:val="NormalWeb"/>
            </w:pPr>
            <w:r>
              <w:t>Throat irritation</w:t>
            </w:r>
          </w:p>
        </w:tc>
        <w:tc>
          <w:tcPr>
            <w:tcW w:w="0" w:type="auto"/>
            <w:tcMar>
              <w:top w:w="142" w:type="dxa"/>
              <w:left w:w="142" w:type="dxa"/>
              <w:bottom w:w="142" w:type="dxa"/>
              <w:right w:w="142" w:type="dxa"/>
            </w:tcMar>
            <w:hideMark/>
          </w:tcPr>
          <w:p w14:paraId="71B91BDE" w14:textId="77777777" w:rsidR="00AE0FE0" w:rsidRDefault="00AE0FE0">
            <w:pPr>
              <w:pStyle w:val="NormalWeb"/>
            </w:pPr>
            <w:r>
              <w:t>12</w:t>
            </w:r>
          </w:p>
        </w:tc>
        <w:tc>
          <w:tcPr>
            <w:tcW w:w="0" w:type="auto"/>
            <w:tcMar>
              <w:top w:w="142" w:type="dxa"/>
              <w:left w:w="142" w:type="dxa"/>
              <w:bottom w:w="142" w:type="dxa"/>
              <w:right w:w="142" w:type="dxa"/>
            </w:tcMar>
            <w:hideMark/>
          </w:tcPr>
          <w:p w14:paraId="656EFDF8" w14:textId="77777777" w:rsidR="00AE0FE0" w:rsidRDefault="00AE0FE0">
            <w:pPr>
              <w:pStyle w:val="NormalWeb"/>
            </w:pPr>
            <w:r>
              <w:t>2</w:t>
            </w:r>
          </w:p>
        </w:tc>
        <w:tc>
          <w:tcPr>
            <w:tcW w:w="0" w:type="auto"/>
            <w:tcMar>
              <w:top w:w="142" w:type="dxa"/>
              <w:left w:w="142" w:type="dxa"/>
              <w:bottom w:w="142" w:type="dxa"/>
              <w:right w:w="142" w:type="dxa"/>
            </w:tcMar>
            <w:hideMark/>
          </w:tcPr>
          <w:p w14:paraId="6E1209B4" w14:textId="77777777" w:rsidR="00AE0FE0" w:rsidRDefault="00AE0FE0">
            <w:pPr>
              <w:pStyle w:val="NormalWeb"/>
            </w:pPr>
            <w:r>
              <w:t>(16.7)</w:t>
            </w:r>
          </w:p>
        </w:tc>
        <w:tc>
          <w:tcPr>
            <w:tcW w:w="0" w:type="auto"/>
            <w:tcMar>
              <w:top w:w="142" w:type="dxa"/>
              <w:left w:w="142" w:type="dxa"/>
              <w:bottom w:w="142" w:type="dxa"/>
              <w:right w:w="142" w:type="dxa"/>
            </w:tcMar>
            <w:hideMark/>
          </w:tcPr>
          <w:p w14:paraId="450B2CD6" w14:textId="77777777" w:rsidR="00AE0FE0" w:rsidRDefault="00AE0FE0">
            <w:pPr>
              <w:pStyle w:val="NormalWeb"/>
            </w:pPr>
            <w:r>
              <w:t>4</w:t>
            </w:r>
          </w:p>
        </w:tc>
        <w:tc>
          <w:tcPr>
            <w:tcW w:w="0" w:type="auto"/>
            <w:tcMar>
              <w:top w:w="142" w:type="dxa"/>
              <w:left w:w="142" w:type="dxa"/>
              <w:bottom w:w="142" w:type="dxa"/>
              <w:right w:w="142" w:type="dxa"/>
            </w:tcMar>
            <w:hideMark/>
          </w:tcPr>
          <w:p w14:paraId="58C3DDB1" w14:textId="77777777" w:rsidR="00AE0FE0" w:rsidRDefault="00AE0FE0">
            <w:pPr>
              <w:pStyle w:val="NormalWeb"/>
            </w:pPr>
            <w:r>
              <w:t>(33.3)</w:t>
            </w:r>
          </w:p>
        </w:tc>
        <w:tc>
          <w:tcPr>
            <w:tcW w:w="0" w:type="auto"/>
            <w:tcMar>
              <w:top w:w="142" w:type="dxa"/>
              <w:left w:w="142" w:type="dxa"/>
              <w:bottom w:w="142" w:type="dxa"/>
              <w:right w:w="142" w:type="dxa"/>
            </w:tcMar>
            <w:hideMark/>
          </w:tcPr>
          <w:p w14:paraId="6D1CA1DF" w14:textId="77777777" w:rsidR="00AE0FE0" w:rsidRDefault="00AE0FE0">
            <w:pPr>
              <w:pStyle w:val="NormalWeb"/>
            </w:pPr>
            <w:r>
              <w:t>0</w:t>
            </w:r>
          </w:p>
        </w:tc>
        <w:tc>
          <w:tcPr>
            <w:tcW w:w="0" w:type="auto"/>
            <w:tcMar>
              <w:top w:w="142" w:type="dxa"/>
              <w:left w:w="142" w:type="dxa"/>
              <w:bottom w:w="142" w:type="dxa"/>
              <w:right w:w="142" w:type="dxa"/>
            </w:tcMar>
            <w:hideMark/>
          </w:tcPr>
          <w:p w14:paraId="7E7AC84B" w14:textId="77777777" w:rsidR="00AE0FE0" w:rsidRDefault="00AE0FE0">
            <w:pPr>
              <w:pStyle w:val="NormalWeb"/>
            </w:pPr>
            <w:r>
              <w:t>(0.0)</w:t>
            </w:r>
          </w:p>
        </w:tc>
        <w:tc>
          <w:tcPr>
            <w:tcW w:w="0" w:type="auto"/>
            <w:tcMar>
              <w:top w:w="142" w:type="dxa"/>
              <w:left w:w="142" w:type="dxa"/>
              <w:bottom w:w="142" w:type="dxa"/>
              <w:right w:w="142" w:type="dxa"/>
            </w:tcMar>
            <w:hideMark/>
          </w:tcPr>
          <w:p w14:paraId="4762CED2" w14:textId="77777777" w:rsidR="00AE0FE0" w:rsidRDefault="00AE0FE0">
            <w:pPr>
              <w:pStyle w:val="NormalWeb"/>
            </w:pPr>
            <w:r>
              <w:t>12</w:t>
            </w:r>
          </w:p>
        </w:tc>
        <w:tc>
          <w:tcPr>
            <w:tcW w:w="0" w:type="auto"/>
            <w:tcMar>
              <w:top w:w="142" w:type="dxa"/>
              <w:left w:w="142" w:type="dxa"/>
              <w:bottom w:w="142" w:type="dxa"/>
              <w:right w:w="142" w:type="dxa"/>
            </w:tcMar>
            <w:hideMark/>
          </w:tcPr>
          <w:p w14:paraId="34A52595" w14:textId="77777777" w:rsidR="00AE0FE0" w:rsidRDefault="00AE0FE0">
            <w:pPr>
              <w:pStyle w:val="NormalWeb"/>
            </w:pPr>
            <w:r>
              <w:t>(100.0)</w:t>
            </w:r>
          </w:p>
        </w:tc>
      </w:tr>
      <w:tr w:rsidR="009525C9" w14:paraId="5C04020A"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A665B81" w14:textId="77777777" w:rsidR="00AE0FE0" w:rsidRDefault="00AE0FE0">
            <w:pPr>
              <w:pStyle w:val="NormalWeb"/>
            </w:pPr>
            <w:r>
              <w:lastRenderedPageBreak/>
              <w:t>Blister</w:t>
            </w:r>
          </w:p>
        </w:tc>
        <w:tc>
          <w:tcPr>
            <w:tcW w:w="0" w:type="auto"/>
            <w:tcMar>
              <w:top w:w="142" w:type="dxa"/>
              <w:left w:w="142" w:type="dxa"/>
              <w:bottom w:w="142" w:type="dxa"/>
              <w:right w:w="142" w:type="dxa"/>
            </w:tcMar>
            <w:hideMark/>
          </w:tcPr>
          <w:p w14:paraId="13D1255B" w14:textId="77777777" w:rsidR="00AE0FE0" w:rsidRDefault="00AE0FE0">
            <w:pPr>
              <w:pStyle w:val="NormalWeb"/>
            </w:pPr>
            <w:r>
              <w:t>9</w:t>
            </w:r>
          </w:p>
        </w:tc>
        <w:tc>
          <w:tcPr>
            <w:tcW w:w="0" w:type="auto"/>
            <w:tcMar>
              <w:top w:w="142" w:type="dxa"/>
              <w:left w:w="142" w:type="dxa"/>
              <w:bottom w:w="142" w:type="dxa"/>
              <w:right w:w="142" w:type="dxa"/>
            </w:tcMar>
            <w:hideMark/>
          </w:tcPr>
          <w:p w14:paraId="5992BE18" w14:textId="77777777" w:rsidR="00AE0FE0" w:rsidRDefault="00AE0FE0">
            <w:pPr>
              <w:pStyle w:val="NormalWeb"/>
            </w:pPr>
            <w:r>
              <w:t>0</w:t>
            </w:r>
          </w:p>
        </w:tc>
        <w:tc>
          <w:tcPr>
            <w:tcW w:w="0" w:type="auto"/>
            <w:tcMar>
              <w:top w:w="142" w:type="dxa"/>
              <w:left w:w="142" w:type="dxa"/>
              <w:bottom w:w="142" w:type="dxa"/>
              <w:right w:w="142" w:type="dxa"/>
            </w:tcMar>
            <w:hideMark/>
          </w:tcPr>
          <w:p w14:paraId="6D9374BC" w14:textId="77777777" w:rsidR="00AE0FE0" w:rsidRDefault="00AE0FE0">
            <w:pPr>
              <w:pStyle w:val="NormalWeb"/>
            </w:pPr>
            <w:r>
              <w:t>(0.0)</w:t>
            </w:r>
          </w:p>
        </w:tc>
        <w:tc>
          <w:tcPr>
            <w:tcW w:w="0" w:type="auto"/>
            <w:tcMar>
              <w:top w:w="142" w:type="dxa"/>
              <w:left w:w="142" w:type="dxa"/>
              <w:bottom w:w="142" w:type="dxa"/>
              <w:right w:w="142" w:type="dxa"/>
            </w:tcMar>
            <w:hideMark/>
          </w:tcPr>
          <w:p w14:paraId="4CF23E37" w14:textId="77777777" w:rsidR="00AE0FE0" w:rsidRDefault="00AE0FE0">
            <w:pPr>
              <w:pStyle w:val="NormalWeb"/>
            </w:pPr>
            <w:r>
              <w:t>2</w:t>
            </w:r>
          </w:p>
        </w:tc>
        <w:tc>
          <w:tcPr>
            <w:tcW w:w="0" w:type="auto"/>
            <w:tcMar>
              <w:top w:w="142" w:type="dxa"/>
              <w:left w:w="142" w:type="dxa"/>
              <w:bottom w:w="142" w:type="dxa"/>
              <w:right w:w="142" w:type="dxa"/>
            </w:tcMar>
            <w:hideMark/>
          </w:tcPr>
          <w:p w14:paraId="0449AFCE" w14:textId="77777777" w:rsidR="00AE0FE0" w:rsidRDefault="00AE0FE0">
            <w:pPr>
              <w:pStyle w:val="NormalWeb"/>
            </w:pPr>
            <w:r>
              <w:t>(22.2)</w:t>
            </w:r>
          </w:p>
        </w:tc>
        <w:tc>
          <w:tcPr>
            <w:tcW w:w="0" w:type="auto"/>
            <w:tcMar>
              <w:top w:w="142" w:type="dxa"/>
              <w:left w:w="142" w:type="dxa"/>
              <w:bottom w:w="142" w:type="dxa"/>
              <w:right w:w="142" w:type="dxa"/>
            </w:tcMar>
            <w:hideMark/>
          </w:tcPr>
          <w:p w14:paraId="19EA33ED" w14:textId="77777777" w:rsidR="00AE0FE0" w:rsidRDefault="00AE0FE0">
            <w:pPr>
              <w:pStyle w:val="NormalWeb"/>
            </w:pPr>
            <w:r>
              <w:t>4</w:t>
            </w:r>
          </w:p>
        </w:tc>
        <w:tc>
          <w:tcPr>
            <w:tcW w:w="0" w:type="auto"/>
            <w:tcMar>
              <w:top w:w="142" w:type="dxa"/>
              <w:left w:w="142" w:type="dxa"/>
              <w:bottom w:w="142" w:type="dxa"/>
              <w:right w:w="142" w:type="dxa"/>
            </w:tcMar>
            <w:hideMark/>
          </w:tcPr>
          <w:p w14:paraId="48D6C684" w14:textId="77777777" w:rsidR="00AE0FE0" w:rsidRDefault="00AE0FE0">
            <w:pPr>
              <w:pStyle w:val="NormalWeb"/>
            </w:pPr>
            <w:r>
              <w:t>(44.4)</w:t>
            </w:r>
          </w:p>
        </w:tc>
        <w:tc>
          <w:tcPr>
            <w:tcW w:w="0" w:type="auto"/>
            <w:tcMar>
              <w:top w:w="142" w:type="dxa"/>
              <w:left w:w="142" w:type="dxa"/>
              <w:bottom w:w="142" w:type="dxa"/>
              <w:right w:w="142" w:type="dxa"/>
            </w:tcMar>
            <w:hideMark/>
          </w:tcPr>
          <w:p w14:paraId="728A915D" w14:textId="77777777" w:rsidR="00AE0FE0" w:rsidRDefault="00AE0FE0">
            <w:pPr>
              <w:pStyle w:val="NormalWeb"/>
            </w:pPr>
            <w:r>
              <w:t>5</w:t>
            </w:r>
          </w:p>
        </w:tc>
        <w:tc>
          <w:tcPr>
            <w:tcW w:w="0" w:type="auto"/>
            <w:tcMar>
              <w:top w:w="142" w:type="dxa"/>
              <w:left w:w="142" w:type="dxa"/>
              <w:bottom w:w="142" w:type="dxa"/>
              <w:right w:w="142" w:type="dxa"/>
            </w:tcMar>
            <w:hideMark/>
          </w:tcPr>
          <w:p w14:paraId="48F78DB4" w14:textId="77777777" w:rsidR="00AE0FE0" w:rsidRDefault="00AE0FE0">
            <w:pPr>
              <w:pStyle w:val="NormalWeb"/>
            </w:pPr>
            <w:r>
              <w:t>(55.6)</w:t>
            </w:r>
          </w:p>
        </w:tc>
      </w:tr>
      <w:tr w:rsidR="00751C2F" w14:paraId="058615BC"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0CF16B2" w14:textId="77777777" w:rsidR="00AE0FE0" w:rsidRDefault="00AE0FE0">
            <w:pPr>
              <w:pStyle w:val="NormalWeb"/>
            </w:pPr>
            <w:r>
              <w:t>Anaphylactic reaction</w:t>
            </w:r>
          </w:p>
        </w:tc>
        <w:tc>
          <w:tcPr>
            <w:tcW w:w="0" w:type="auto"/>
            <w:tcMar>
              <w:top w:w="142" w:type="dxa"/>
              <w:left w:w="142" w:type="dxa"/>
              <w:bottom w:w="142" w:type="dxa"/>
              <w:right w:w="142" w:type="dxa"/>
            </w:tcMar>
            <w:hideMark/>
          </w:tcPr>
          <w:p w14:paraId="43A67511" w14:textId="77777777" w:rsidR="00AE0FE0" w:rsidRDefault="00AE0FE0">
            <w:pPr>
              <w:pStyle w:val="NormalWeb"/>
            </w:pPr>
            <w:r>
              <w:t>8</w:t>
            </w:r>
          </w:p>
        </w:tc>
        <w:tc>
          <w:tcPr>
            <w:tcW w:w="0" w:type="auto"/>
            <w:tcMar>
              <w:top w:w="142" w:type="dxa"/>
              <w:left w:w="142" w:type="dxa"/>
              <w:bottom w:w="142" w:type="dxa"/>
              <w:right w:w="142" w:type="dxa"/>
            </w:tcMar>
            <w:hideMark/>
          </w:tcPr>
          <w:p w14:paraId="63E5F52D" w14:textId="77777777" w:rsidR="00AE0FE0" w:rsidRDefault="00AE0FE0">
            <w:pPr>
              <w:pStyle w:val="NormalWeb"/>
            </w:pPr>
            <w:r>
              <w:t>5</w:t>
            </w:r>
          </w:p>
        </w:tc>
        <w:tc>
          <w:tcPr>
            <w:tcW w:w="0" w:type="auto"/>
            <w:tcMar>
              <w:top w:w="142" w:type="dxa"/>
              <w:left w:w="142" w:type="dxa"/>
              <w:bottom w:w="142" w:type="dxa"/>
              <w:right w:w="142" w:type="dxa"/>
            </w:tcMar>
            <w:hideMark/>
          </w:tcPr>
          <w:p w14:paraId="07FB9DB0" w14:textId="77777777" w:rsidR="00AE0FE0" w:rsidRDefault="00AE0FE0">
            <w:pPr>
              <w:pStyle w:val="NormalWeb"/>
            </w:pPr>
            <w:r>
              <w:t>(62.5)</w:t>
            </w:r>
          </w:p>
        </w:tc>
        <w:tc>
          <w:tcPr>
            <w:tcW w:w="0" w:type="auto"/>
            <w:tcMar>
              <w:top w:w="142" w:type="dxa"/>
              <w:left w:w="142" w:type="dxa"/>
              <w:bottom w:w="142" w:type="dxa"/>
              <w:right w:w="142" w:type="dxa"/>
            </w:tcMar>
            <w:hideMark/>
          </w:tcPr>
          <w:p w14:paraId="5ADD1059" w14:textId="77777777" w:rsidR="00AE0FE0" w:rsidRDefault="00AE0FE0">
            <w:pPr>
              <w:pStyle w:val="NormalWeb"/>
            </w:pPr>
            <w:r>
              <w:t>4</w:t>
            </w:r>
          </w:p>
        </w:tc>
        <w:tc>
          <w:tcPr>
            <w:tcW w:w="0" w:type="auto"/>
            <w:tcMar>
              <w:top w:w="142" w:type="dxa"/>
              <w:left w:w="142" w:type="dxa"/>
              <w:bottom w:w="142" w:type="dxa"/>
              <w:right w:w="142" w:type="dxa"/>
            </w:tcMar>
            <w:hideMark/>
          </w:tcPr>
          <w:p w14:paraId="6DC91500" w14:textId="77777777" w:rsidR="00AE0FE0" w:rsidRDefault="00AE0FE0">
            <w:pPr>
              <w:pStyle w:val="NormalWeb"/>
            </w:pPr>
            <w:r>
              <w:t>(50.0)</w:t>
            </w:r>
          </w:p>
        </w:tc>
        <w:tc>
          <w:tcPr>
            <w:tcW w:w="0" w:type="auto"/>
            <w:tcMar>
              <w:top w:w="142" w:type="dxa"/>
              <w:left w:w="142" w:type="dxa"/>
              <w:bottom w:w="142" w:type="dxa"/>
              <w:right w:w="142" w:type="dxa"/>
            </w:tcMar>
            <w:hideMark/>
          </w:tcPr>
          <w:p w14:paraId="563785B4" w14:textId="77777777" w:rsidR="00AE0FE0" w:rsidRDefault="00AE0FE0">
            <w:pPr>
              <w:pStyle w:val="NormalWeb"/>
            </w:pPr>
            <w:r>
              <w:t>1</w:t>
            </w:r>
          </w:p>
        </w:tc>
        <w:tc>
          <w:tcPr>
            <w:tcW w:w="0" w:type="auto"/>
            <w:tcMar>
              <w:top w:w="142" w:type="dxa"/>
              <w:left w:w="142" w:type="dxa"/>
              <w:bottom w:w="142" w:type="dxa"/>
              <w:right w:w="142" w:type="dxa"/>
            </w:tcMar>
            <w:hideMark/>
          </w:tcPr>
          <w:p w14:paraId="2B112907" w14:textId="77777777" w:rsidR="00AE0FE0" w:rsidRDefault="00AE0FE0">
            <w:pPr>
              <w:pStyle w:val="NormalWeb"/>
            </w:pPr>
            <w:r>
              <w:t>(12.5)</w:t>
            </w:r>
          </w:p>
        </w:tc>
        <w:tc>
          <w:tcPr>
            <w:tcW w:w="0" w:type="auto"/>
            <w:tcMar>
              <w:top w:w="142" w:type="dxa"/>
              <w:left w:w="142" w:type="dxa"/>
              <w:bottom w:w="142" w:type="dxa"/>
              <w:right w:w="142" w:type="dxa"/>
            </w:tcMar>
            <w:hideMark/>
          </w:tcPr>
          <w:p w14:paraId="4C5FB4D4" w14:textId="77777777" w:rsidR="00AE0FE0" w:rsidRDefault="00AE0FE0">
            <w:pPr>
              <w:pStyle w:val="NormalWeb"/>
            </w:pPr>
            <w:r>
              <w:t>3</w:t>
            </w:r>
          </w:p>
        </w:tc>
        <w:tc>
          <w:tcPr>
            <w:tcW w:w="0" w:type="auto"/>
            <w:tcMar>
              <w:top w:w="142" w:type="dxa"/>
              <w:left w:w="142" w:type="dxa"/>
              <w:bottom w:w="142" w:type="dxa"/>
              <w:right w:w="142" w:type="dxa"/>
            </w:tcMar>
            <w:hideMark/>
          </w:tcPr>
          <w:p w14:paraId="0EA90734" w14:textId="77777777" w:rsidR="00AE0FE0" w:rsidRDefault="00AE0FE0">
            <w:pPr>
              <w:pStyle w:val="NormalWeb"/>
            </w:pPr>
            <w:r>
              <w:t>(37.5)</w:t>
            </w:r>
          </w:p>
        </w:tc>
      </w:tr>
      <w:tr w:rsidR="009525C9" w14:paraId="2641A8BE"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03FC777C" w14:textId="77777777" w:rsidR="00AE0FE0" w:rsidRDefault="00AE0FE0">
            <w:pPr>
              <w:pStyle w:val="NormalWeb"/>
            </w:pPr>
            <w:r>
              <w:t>Gait disturbance</w:t>
            </w:r>
          </w:p>
        </w:tc>
        <w:tc>
          <w:tcPr>
            <w:tcW w:w="0" w:type="auto"/>
            <w:tcMar>
              <w:top w:w="142" w:type="dxa"/>
              <w:left w:w="142" w:type="dxa"/>
              <w:bottom w:w="142" w:type="dxa"/>
              <w:right w:w="142" w:type="dxa"/>
            </w:tcMar>
            <w:hideMark/>
          </w:tcPr>
          <w:p w14:paraId="07808DA4" w14:textId="77777777" w:rsidR="00AE0FE0" w:rsidRDefault="00AE0FE0">
            <w:pPr>
              <w:pStyle w:val="NormalWeb"/>
            </w:pPr>
            <w:r>
              <w:t>7</w:t>
            </w:r>
          </w:p>
        </w:tc>
        <w:tc>
          <w:tcPr>
            <w:tcW w:w="0" w:type="auto"/>
            <w:tcMar>
              <w:top w:w="142" w:type="dxa"/>
              <w:left w:w="142" w:type="dxa"/>
              <w:bottom w:w="142" w:type="dxa"/>
              <w:right w:w="142" w:type="dxa"/>
            </w:tcMar>
            <w:hideMark/>
          </w:tcPr>
          <w:p w14:paraId="69C68BE4" w14:textId="77777777" w:rsidR="00AE0FE0" w:rsidRDefault="00AE0FE0">
            <w:pPr>
              <w:pStyle w:val="NormalWeb"/>
            </w:pPr>
            <w:r>
              <w:t>0</w:t>
            </w:r>
          </w:p>
        </w:tc>
        <w:tc>
          <w:tcPr>
            <w:tcW w:w="0" w:type="auto"/>
            <w:tcMar>
              <w:top w:w="142" w:type="dxa"/>
              <w:left w:w="142" w:type="dxa"/>
              <w:bottom w:w="142" w:type="dxa"/>
              <w:right w:w="142" w:type="dxa"/>
            </w:tcMar>
            <w:hideMark/>
          </w:tcPr>
          <w:p w14:paraId="00F19654" w14:textId="77777777" w:rsidR="00AE0FE0" w:rsidRDefault="00AE0FE0">
            <w:pPr>
              <w:pStyle w:val="NormalWeb"/>
            </w:pPr>
            <w:r>
              <w:t>(0.0)</w:t>
            </w:r>
          </w:p>
        </w:tc>
        <w:tc>
          <w:tcPr>
            <w:tcW w:w="0" w:type="auto"/>
            <w:tcMar>
              <w:top w:w="142" w:type="dxa"/>
              <w:left w:w="142" w:type="dxa"/>
              <w:bottom w:w="142" w:type="dxa"/>
              <w:right w:w="142" w:type="dxa"/>
            </w:tcMar>
            <w:hideMark/>
          </w:tcPr>
          <w:p w14:paraId="4F20C897" w14:textId="77777777" w:rsidR="00AE0FE0" w:rsidRDefault="00AE0FE0">
            <w:pPr>
              <w:pStyle w:val="NormalWeb"/>
            </w:pPr>
            <w:r>
              <w:t>3</w:t>
            </w:r>
          </w:p>
        </w:tc>
        <w:tc>
          <w:tcPr>
            <w:tcW w:w="0" w:type="auto"/>
            <w:tcMar>
              <w:top w:w="142" w:type="dxa"/>
              <w:left w:w="142" w:type="dxa"/>
              <w:bottom w:w="142" w:type="dxa"/>
              <w:right w:w="142" w:type="dxa"/>
            </w:tcMar>
            <w:hideMark/>
          </w:tcPr>
          <w:p w14:paraId="37BC2BEA" w14:textId="77777777" w:rsidR="00AE0FE0" w:rsidRDefault="00AE0FE0">
            <w:pPr>
              <w:pStyle w:val="NormalWeb"/>
            </w:pPr>
            <w:r>
              <w:t>(42.9)</w:t>
            </w:r>
          </w:p>
        </w:tc>
        <w:tc>
          <w:tcPr>
            <w:tcW w:w="0" w:type="auto"/>
            <w:tcMar>
              <w:top w:w="142" w:type="dxa"/>
              <w:left w:w="142" w:type="dxa"/>
              <w:bottom w:w="142" w:type="dxa"/>
              <w:right w:w="142" w:type="dxa"/>
            </w:tcMar>
            <w:hideMark/>
          </w:tcPr>
          <w:p w14:paraId="48ED73E5" w14:textId="77777777" w:rsidR="00AE0FE0" w:rsidRDefault="00AE0FE0">
            <w:pPr>
              <w:pStyle w:val="NormalWeb"/>
            </w:pPr>
            <w:r>
              <w:t>1</w:t>
            </w:r>
          </w:p>
        </w:tc>
        <w:tc>
          <w:tcPr>
            <w:tcW w:w="0" w:type="auto"/>
            <w:tcMar>
              <w:top w:w="142" w:type="dxa"/>
              <w:left w:w="142" w:type="dxa"/>
              <w:bottom w:w="142" w:type="dxa"/>
              <w:right w:w="142" w:type="dxa"/>
            </w:tcMar>
            <w:hideMark/>
          </w:tcPr>
          <w:p w14:paraId="5883E165" w14:textId="77777777" w:rsidR="00AE0FE0" w:rsidRDefault="00AE0FE0">
            <w:pPr>
              <w:pStyle w:val="NormalWeb"/>
            </w:pPr>
            <w:r>
              <w:t>(14.3)</w:t>
            </w:r>
          </w:p>
        </w:tc>
        <w:tc>
          <w:tcPr>
            <w:tcW w:w="0" w:type="auto"/>
            <w:tcMar>
              <w:top w:w="142" w:type="dxa"/>
              <w:left w:w="142" w:type="dxa"/>
              <w:bottom w:w="142" w:type="dxa"/>
              <w:right w:w="142" w:type="dxa"/>
            </w:tcMar>
            <w:hideMark/>
          </w:tcPr>
          <w:p w14:paraId="566ACB4A" w14:textId="77777777" w:rsidR="00AE0FE0" w:rsidRDefault="00AE0FE0">
            <w:pPr>
              <w:pStyle w:val="NormalWeb"/>
            </w:pPr>
            <w:r>
              <w:t>5</w:t>
            </w:r>
          </w:p>
        </w:tc>
        <w:tc>
          <w:tcPr>
            <w:tcW w:w="0" w:type="auto"/>
            <w:tcMar>
              <w:top w:w="142" w:type="dxa"/>
              <w:left w:w="142" w:type="dxa"/>
              <w:bottom w:w="142" w:type="dxa"/>
              <w:right w:w="142" w:type="dxa"/>
            </w:tcMar>
            <w:hideMark/>
          </w:tcPr>
          <w:p w14:paraId="5A05A96D" w14:textId="77777777" w:rsidR="00AE0FE0" w:rsidRDefault="00AE0FE0">
            <w:pPr>
              <w:pStyle w:val="NormalWeb"/>
            </w:pPr>
            <w:r>
              <w:t>(71.4)</w:t>
            </w:r>
          </w:p>
        </w:tc>
      </w:tr>
      <w:tr w:rsidR="00751C2F" w14:paraId="3B2F1971"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3FF35B50" w14:textId="77777777" w:rsidR="00AE0FE0" w:rsidRDefault="00AE0FE0">
            <w:pPr>
              <w:pStyle w:val="NormalWeb"/>
            </w:pPr>
            <w:r>
              <w:t>Guillain-Barre Syndrome</w:t>
            </w:r>
          </w:p>
        </w:tc>
        <w:tc>
          <w:tcPr>
            <w:tcW w:w="0" w:type="auto"/>
            <w:tcMar>
              <w:top w:w="142" w:type="dxa"/>
              <w:left w:w="142" w:type="dxa"/>
              <w:bottom w:w="142" w:type="dxa"/>
              <w:right w:w="142" w:type="dxa"/>
            </w:tcMar>
            <w:hideMark/>
          </w:tcPr>
          <w:p w14:paraId="7602E12E" w14:textId="77777777" w:rsidR="00AE0FE0" w:rsidRDefault="00AE0FE0">
            <w:pPr>
              <w:pStyle w:val="NormalWeb"/>
            </w:pPr>
            <w:r>
              <w:t>6</w:t>
            </w:r>
          </w:p>
        </w:tc>
        <w:tc>
          <w:tcPr>
            <w:tcW w:w="0" w:type="auto"/>
            <w:tcMar>
              <w:top w:w="142" w:type="dxa"/>
              <w:left w:w="142" w:type="dxa"/>
              <w:bottom w:w="142" w:type="dxa"/>
              <w:right w:w="142" w:type="dxa"/>
            </w:tcMar>
            <w:hideMark/>
          </w:tcPr>
          <w:p w14:paraId="678588BC" w14:textId="77777777" w:rsidR="00AE0FE0" w:rsidRDefault="00AE0FE0">
            <w:pPr>
              <w:pStyle w:val="NormalWeb"/>
            </w:pPr>
            <w:r>
              <w:t>4</w:t>
            </w:r>
          </w:p>
        </w:tc>
        <w:tc>
          <w:tcPr>
            <w:tcW w:w="0" w:type="auto"/>
            <w:tcMar>
              <w:top w:w="142" w:type="dxa"/>
              <w:left w:w="142" w:type="dxa"/>
              <w:bottom w:w="142" w:type="dxa"/>
              <w:right w:w="142" w:type="dxa"/>
            </w:tcMar>
            <w:hideMark/>
          </w:tcPr>
          <w:p w14:paraId="08DB8B36" w14:textId="77777777" w:rsidR="00AE0FE0" w:rsidRDefault="00AE0FE0">
            <w:pPr>
              <w:pStyle w:val="NormalWeb"/>
            </w:pPr>
            <w:r>
              <w:t>(66.7)</w:t>
            </w:r>
          </w:p>
        </w:tc>
        <w:tc>
          <w:tcPr>
            <w:tcW w:w="0" w:type="auto"/>
            <w:tcMar>
              <w:top w:w="142" w:type="dxa"/>
              <w:left w:w="142" w:type="dxa"/>
              <w:bottom w:w="142" w:type="dxa"/>
              <w:right w:w="142" w:type="dxa"/>
            </w:tcMar>
            <w:hideMark/>
          </w:tcPr>
          <w:p w14:paraId="69785435" w14:textId="77777777" w:rsidR="00AE0FE0" w:rsidRDefault="00AE0FE0">
            <w:pPr>
              <w:pStyle w:val="NormalWeb"/>
            </w:pPr>
            <w:r>
              <w:t>2</w:t>
            </w:r>
          </w:p>
        </w:tc>
        <w:tc>
          <w:tcPr>
            <w:tcW w:w="0" w:type="auto"/>
            <w:tcMar>
              <w:top w:w="142" w:type="dxa"/>
              <w:left w:w="142" w:type="dxa"/>
              <w:bottom w:w="142" w:type="dxa"/>
              <w:right w:w="142" w:type="dxa"/>
            </w:tcMar>
            <w:hideMark/>
          </w:tcPr>
          <w:p w14:paraId="48435AEE" w14:textId="77777777" w:rsidR="00AE0FE0" w:rsidRDefault="00AE0FE0">
            <w:pPr>
              <w:pStyle w:val="NormalWeb"/>
            </w:pPr>
            <w:r>
              <w:t>(33.3)</w:t>
            </w:r>
          </w:p>
        </w:tc>
        <w:tc>
          <w:tcPr>
            <w:tcW w:w="0" w:type="auto"/>
            <w:tcMar>
              <w:top w:w="142" w:type="dxa"/>
              <w:left w:w="142" w:type="dxa"/>
              <w:bottom w:w="142" w:type="dxa"/>
              <w:right w:w="142" w:type="dxa"/>
            </w:tcMar>
            <w:hideMark/>
          </w:tcPr>
          <w:p w14:paraId="5B0448F5" w14:textId="77777777" w:rsidR="00AE0FE0" w:rsidRDefault="00AE0FE0">
            <w:pPr>
              <w:pStyle w:val="NormalWeb"/>
            </w:pPr>
            <w:r>
              <w:t>0</w:t>
            </w:r>
          </w:p>
        </w:tc>
        <w:tc>
          <w:tcPr>
            <w:tcW w:w="0" w:type="auto"/>
            <w:tcMar>
              <w:top w:w="142" w:type="dxa"/>
              <w:left w:w="142" w:type="dxa"/>
              <w:bottom w:w="142" w:type="dxa"/>
              <w:right w:w="142" w:type="dxa"/>
            </w:tcMar>
            <w:hideMark/>
          </w:tcPr>
          <w:p w14:paraId="4E6FB971" w14:textId="77777777" w:rsidR="00AE0FE0" w:rsidRDefault="00AE0FE0">
            <w:pPr>
              <w:pStyle w:val="NormalWeb"/>
            </w:pPr>
            <w:r>
              <w:t>(0.0)</w:t>
            </w:r>
          </w:p>
        </w:tc>
        <w:tc>
          <w:tcPr>
            <w:tcW w:w="0" w:type="auto"/>
            <w:tcMar>
              <w:top w:w="142" w:type="dxa"/>
              <w:left w:w="142" w:type="dxa"/>
              <w:bottom w:w="142" w:type="dxa"/>
              <w:right w:w="142" w:type="dxa"/>
            </w:tcMar>
            <w:hideMark/>
          </w:tcPr>
          <w:p w14:paraId="2F2A071B" w14:textId="77777777" w:rsidR="00AE0FE0" w:rsidRDefault="00AE0FE0">
            <w:pPr>
              <w:pStyle w:val="NormalWeb"/>
            </w:pPr>
            <w:r>
              <w:t>5</w:t>
            </w:r>
          </w:p>
        </w:tc>
        <w:tc>
          <w:tcPr>
            <w:tcW w:w="0" w:type="auto"/>
            <w:tcMar>
              <w:top w:w="142" w:type="dxa"/>
              <w:left w:w="142" w:type="dxa"/>
              <w:bottom w:w="142" w:type="dxa"/>
              <w:right w:w="142" w:type="dxa"/>
            </w:tcMar>
            <w:hideMark/>
          </w:tcPr>
          <w:p w14:paraId="7A5F7597" w14:textId="77777777" w:rsidR="00AE0FE0" w:rsidRDefault="00AE0FE0">
            <w:pPr>
              <w:pStyle w:val="NormalWeb"/>
            </w:pPr>
            <w:r>
              <w:t>(83.3)</w:t>
            </w:r>
          </w:p>
        </w:tc>
      </w:tr>
      <w:tr w:rsidR="009525C9" w14:paraId="0B96A509" w14:textId="77777777" w:rsidTr="009525C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8EFD9FF" w14:textId="77777777" w:rsidR="00AE0FE0" w:rsidRDefault="00AE0FE0">
            <w:pPr>
              <w:pStyle w:val="NormalWeb"/>
            </w:pPr>
            <w:r>
              <w:t>Tremor</w:t>
            </w:r>
          </w:p>
        </w:tc>
        <w:tc>
          <w:tcPr>
            <w:tcW w:w="0" w:type="auto"/>
            <w:tcMar>
              <w:top w:w="142" w:type="dxa"/>
              <w:left w:w="142" w:type="dxa"/>
              <w:bottom w:w="142" w:type="dxa"/>
              <w:right w:w="142" w:type="dxa"/>
            </w:tcMar>
            <w:hideMark/>
          </w:tcPr>
          <w:p w14:paraId="448ACC3A" w14:textId="77777777" w:rsidR="00AE0FE0" w:rsidRDefault="00AE0FE0">
            <w:pPr>
              <w:pStyle w:val="NormalWeb"/>
            </w:pPr>
            <w:r>
              <w:t>5</w:t>
            </w:r>
          </w:p>
        </w:tc>
        <w:tc>
          <w:tcPr>
            <w:tcW w:w="0" w:type="auto"/>
            <w:tcMar>
              <w:top w:w="142" w:type="dxa"/>
              <w:left w:w="142" w:type="dxa"/>
              <w:bottom w:w="142" w:type="dxa"/>
              <w:right w:w="142" w:type="dxa"/>
            </w:tcMar>
            <w:hideMark/>
          </w:tcPr>
          <w:p w14:paraId="1BC99694" w14:textId="77777777" w:rsidR="00AE0FE0" w:rsidRDefault="00AE0FE0">
            <w:pPr>
              <w:pStyle w:val="NormalWeb"/>
            </w:pPr>
            <w:r>
              <w:t>2</w:t>
            </w:r>
          </w:p>
        </w:tc>
        <w:tc>
          <w:tcPr>
            <w:tcW w:w="0" w:type="auto"/>
            <w:tcMar>
              <w:top w:w="142" w:type="dxa"/>
              <w:left w:w="142" w:type="dxa"/>
              <w:bottom w:w="142" w:type="dxa"/>
              <w:right w:w="142" w:type="dxa"/>
            </w:tcMar>
            <w:hideMark/>
          </w:tcPr>
          <w:p w14:paraId="1FA26683" w14:textId="77777777" w:rsidR="00AE0FE0" w:rsidRDefault="00AE0FE0">
            <w:pPr>
              <w:pStyle w:val="NormalWeb"/>
            </w:pPr>
            <w:r>
              <w:t>(40.0)</w:t>
            </w:r>
          </w:p>
        </w:tc>
        <w:tc>
          <w:tcPr>
            <w:tcW w:w="0" w:type="auto"/>
            <w:tcMar>
              <w:top w:w="142" w:type="dxa"/>
              <w:left w:w="142" w:type="dxa"/>
              <w:bottom w:w="142" w:type="dxa"/>
              <w:right w:w="142" w:type="dxa"/>
            </w:tcMar>
            <w:hideMark/>
          </w:tcPr>
          <w:p w14:paraId="344372A7" w14:textId="77777777" w:rsidR="00AE0FE0" w:rsidRDefault="00AE0FE0">
            <w:pPr>
              <w:pStyle w:val="NormalWeb"/>
            </w:pPr>
            <w:r>
              <w:t>0</w:t>
            </w:r>
          </w:p>
        </w:tc>
        <w:tc>
          <w:tcPr>
            <w:tcW w:w="0" w:type="auto"/>
            <w:tcMar>
              <w:top w:w="142" w:type="dxa"/>
              <w:left w:w="142" w:type="dxa"/>
              <w:bottom w:w="142" w:type="dxa"/>
              <w:right w:w="142" w:type="dxa"/>
            </w:tcMar>
            <w:hideMark/>
          </w:tcPr>
          <w:p w14:paraId="1A9239F3" w14:textId="77777777" w:rsidR="00AE0FE0" w:rsidRDefault="00AE0FE0">
            <w:pPr>
              <w:pStyle w:val="NormalWeb"/>
            </w:pPr>
            <w:r>
              <w:t>(0.0)</w:t>
            </w:r>
          </w:p>
        </w:tc>
        <w:tc>
          <w:tcPr>
            <w:tcW w:w="0" w:type="auto"/>
            <w:tcMar>
              <w:top w:w="142" w:type="dxa"/>
              <w:left w:w="142" w:type="dxa"/>
              <w:bottom w:w="142" w:type="dxa"/>
              <w:right w:w="142" w:type="dxa"/>
            </w:tcMar>
            <w:hideMark/>
          </w:tcPr>
          <w:p w14:paraId="76C5EB7A" w14:textId="77777777" w:rsidR="00AE0FE0" w:rsidRDefault="00AE0FE0">
            <w:pPr>
              <w:pStyle w:val="NormalWeb"/>
            </w:pPr>
            <w:r>
              <w:t>0</w:t>
            </w:r>
          </w:p>
        </w:tc>
        <w:tc>
          <w:tcPr>
            <w:tcW w:w="0" w:type="auto"/>
            <w:tcMar>
              <w:top w:w="142" w:type="dxa"/>
              <w:left w:w="142" w:type="dxa"/>
              <w:bottom w:w="142" w:type="dxa"/>
              <w:right w:w="142" w:type="dxa"/>
            </w:tcMar>
            <w:hideMark/>
          </w:tcPr>
          <w:p w14:paraId="21E79D1C" w14:textId="77777777" w:rsidR="00AE0FE0" w:rsidRDefault="00AE0FE0">
            <w:pPr>
              <w:pStyle w:val="NormalWeb"/>
            </w:pPr>
            <w:r>
              <w:t>(0.0)</w:t>
            </w:r>
          </w:p>
        </w:tc>
        <w:tc>
          <w:tcPr>
            <w:tcW w:w="0" w:type="auto"/>
            <w:tcMar>
              <w:top w:w="142" w:type="dxa"/>
              <w:left w:w="142" w:type="dxa"/>
              <w:bottom w:w="142" w:type="dxa"/>
              <w:right w:w="142" w:type="dxa"/>
            </w:tcMar>
            <w:hideMark/>
          </w:tcPr>
          <w:p w14:paraId="4D830354" w14:textId="77777777" w:rsidR="00AE0FE0" w:rsidRDefault="00AE0FE0">
            <w:pPr>
              <w:pStyle w:val="NormalWeb"/>
            </w:pPr>
            <w:r>
              <w:t>4</w:t>
            </w:r>
          </w:p>
        </w:tc>
        <w:tc>
          <w:tcPr>
            <w:tcW w:w="0" w:type="auto"/>
            <w:tcMar>
              <w:top w:w="142" w:type="dxa"/>
              <w:left w:w="142" w:type="dxa"/>
              <w:bottom w:w="142" w:type="dxa"/>
              <w:right w:w="142" w:type="dxa"/>
            </w:tcMar>
            <w:hideMark/>
          </w:tcPr>
          <w:p w14:paraId="36238449" w14:textId="77777777" w:rsidR="00AE0FE0" w:rsidRDefault="00AE0FE0">
            <w:pPr>
              <w:pStyle w:val="NormalWeb"/>
            </w:pPr>
            <w:r>
              <w:t>(80.0)</w:t>
            </w:r>
          </w:p>
        </w:tc>
      </w:tr>
      <w:tr w:rsidR="00751C2F" w14:paraId="74ADBEC6" w14:textId="77777777" w:rsidTr="009525C9">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D460CCF" w14:textId="77777777" w:rsidR="00AE0FE0" w:rsidRDefault="00AE0FE0">
            <w:pPr>
              <w:pStyle w:val="NormalWeb"/>
            </w:pPr>
            <w:r>
              <w:t>Lymphadenitis</w:t>
            </w:r>
          </w:p>
        </w:tc>
        <w:tc>
          <w:tcPr>
            <w:tcW w:w="0" w:type="auto"/>
            <w:tcMar>
              <w:top w:w="142" w:type="dxa"/>
              <w:left w:w="142" w:type="dxa"/>
              <w:bottom w:w="142" w:type="dxa"/>
              <w:right w:w="142" w:type="dxa"/>
            </w:tcMar>
            <w:hideMark/>
          </w:tcPr>
          <w:p w14:paraId="73662010" w14:textId="77777777" w:rsidR="00AE0FE0" w:rsidRDefault="00AE0FE0">
            <w:pPr>
              <w:pStyle w:val="NormalWeb"/>
            </w:pPr>
            <w:r>
              <w:t>1</w:t>
            </w:r>
          </w:p>
        </w:tc>
        <w:tc>
          <w:tcPr>
            <w:tcW w:w="0" w:type="auto"/>
            <w:tcMar>
              <w:top w:w="142" w:type="dxa"/>
              <w:left w:w="142" w:type="dxa"/>
              <w:bottom w:w="142" w:type="dxa"/>
              <w:right w:w="142" w:type="dxa"/>
            </w:tcMar>
            <w:hideMark/>
          </w:tcPr>
          <w:p w14:paraId="2FE8EEDD" w14:textId="77777777" w:rsidR="00AE0FE0" w:rsidRDefault="00AE0FE0">
            <w:pPr>
              <w:pStyle w:val="NormalWeb"/>
            </w:pPr>
            <w:r>
              <w:t>0</w:t>
            </w:r>
          </w:p>
        </w:tc>
        <w:tc>
          <w:tcPr>
            <w:tcW w:w="0" w:type="auto"/>
            <w:tcMar>
              <w:top w:w="142" w:type="dxa"/>
              <w:left w:w="142" w:type="dxa"/>
              <w:bottom w:w="142" w:type="dxa"/>
              <w:right w:w="142" w:type="dxa"/>
            </w:tcMar>
            <w:hideMark/>
          </w:tcPr>
          <w:p w14:paraId="1620613D" w14:textId="77777777" w:rsidR="00AE0FE0" w:rsidRDefault="00AE0FE0">
            <w:pPr>
              <w:pStyle w:val="NormalWeb"/>
            </w:pPr>
            <w:r>
              <w:t>(0.0)</w:t>
            </w:r>
          </w:p>
        </w:tc>
        <w:tc>
          <w:tcPr>
            <w:tcW w:w="0" w:type="auto"/>
            <w:tcMar>
              <w:top w:w="142" w:type="dxa"/>
              <w:left w:w="142" w:type="dxa"/>
              <w:bottom w:w="142" w:type="dxa"/>
              <w:right w:w="142" w:type="dxa"/>
            </w:tcMar>
            <w:hideMark/>
          </w:tcPr>
          <w:p w14:paraId="733F298A" w14:textId="77777777" w:rsidR="00AE0FE0" w:rsidRDefault="00AE0FE0">
            <w:pPr>
              <w:pStyle w:val="NormalWeb"/>
            </w:pPr>
            <w:r>
              <w:t>0</w:t>
            </w:r>
          </w:p>
        </w:tc>
        <w:tc>
          <w:tcPr>
            <w:tcW w:w="0" w:type="auto"/>
            <w:tcMar>
              <w:top w:w="142" w:type="dxa"/>
              <w:left w:w="142" w:type="dxa"/>
              <w:bottom w:w="142" w:type="dxa"/>
              <w:right w:w="142" w:type="dxa"/>
            </w:tcMar>
            <w:hideMark/>
          </w:tcPr>
          <w:p w14:paraId="59297ECE" w14:textId="77777777" w:rsidR="00AE0FE0" w:rsidRDefault="00AE0FE0">
            <w:pPr>
              <w:pStyle w:val="NormalWeb"/>
            </w:pPr>
            <w:r>
              <w:t>(0.0)</w:t>
            </w:r>
          </w:p>
        </w:tc>
        <w:tc>
          <w:tcPr>
            <w:tcW w:w="0" w:type="auto"/>
            <w:tcMar>
              <w:top w:w="142" w:type="dxa"/>
              <w:left w:w="142" w:type="dxa"/>
              <w:bottom w:w="142" w:type="dxa"/>
              <w:right w:w="142" w:type="dxa"/>
            </w:tcMar>
            <w:hideMark/>
          </w:tcPr>
          <w:p w14:paraId="27F27F6D" w14:textId="77777777" w:rsidR="00AE0FE0" w:rsidRDefault="00AE0FE0">
            <w:pPr>
              <w:pStyle w:val="NormalWeb"/>
            </w:pPr>
            <w:r>
              <w:t>1</w:t>
            </w:r>
          </w:p>
        </w:tc>
        <w:tc>
          <w:tcPr>
            <w:tcW w:w="0" w:type="auto"/>
            <w:tcMar>
              <w:top w:w="142" w:type="dxa"/>
              <w:left w:w="142" w:type="dxa"/>
              <w:bottom w:w="142" w:type="dxa"/>
              <w:right w:w="142" w:type="dxa"/>
            </w:tcMar>
            <w:hideMark/>
          </w:tcPr>
          <w:p w14:paraId="1D0F433B" w14:textId="77777777" w:rsidR="00AE0FE0" w:rsidRDefault="00AE0FE0">
            <w:pPr>
              <w:pStyle w:val="NormalWeb"/>
            </w:pPr>
            <w:r>
              <w:t>(100.0)</w:t>
            </w:r>
          </w:p>
        </w:tc>
        <w:tc>
          <w:tcPr>
            <w:tcW w:w="0" w:type="auto"/>
            <w:tcMar>
              <w:top w:w="142" w:type="dxa"/>
              <w:left w:w="142" w:type="dxa"/>
              <w:bottom w:w="142" w:type="dxa"/>
              <w:right w:w="142" w:type="dxa"/>
            </w:tcMar>
            <w:hideMark/>
          </w:tcPr>
          <w:p w14:paraId="6D92DE9C" w14:textId="77777777" w:rsidR="00AE0FE0" w:rsidRDefault="00AE0FE0">
            <w:pPr>
              <w:pStyle w:val="NormalWeb"/>
            </w:pPr>
            <w:r>
              <w:t>0</w:t>
            </w:r>
          </w:p>
        </w:tc>
        <w:tc>
          <w:tcPr>
            <w:tcW w:w="0" w:type="auto"/>
            <w:tcMar>
              <w:top w:w="142" w:type="dxa"/>
              <w:left w:w="142" w:type="dxa"/>
              <w:bottom w:w="142" w:type="dxa"/>
              <w:right w:w="142" w:type="dxa"/>
            </w:tcMar>
            <w:hideMark/>
          </w:tcPr>
          <w:p w14:paraId="3672FF02" w14:textId="77777777" w:rsidR="00AE0FE0" w:rsidRDefault="00AE0FE0">
            <w:pPr>
              <w:pStyle w:val="NormalWeb"/>
            </w:pPr>
            <w:r>
              <w:t>(0.0)</w:t>
            </w:r>
          </w:p>
        </w:tc>
      </w:tr>
    </w:tbl>
    <w:p w14:paraId="487CA3F8" w14:textId="77777777" w:rsidR="00AE0FE0" w:rsidRDefault="00AE0FE0" w:rsidP="00600995">
      <w:pPr>
        <w:pStyle w:val="CDIfootnotes"/>
      </w:pPr>
      <w:r>
        <w:rPr>
          <w:vertAlign w:val="superscript"/>
        </w:rPr>
        <w:t>¥</w:t>
      </w:r>
      <w:r>
        <w:t xml:space="preserve"> A complete list of adverse reactions as classified by individual Preferred Terms is available on request.</w:t>
      </w:r>
      <w:r w:rsidR="00E53DD3">
        <w:br/>
      </w:r>
      <w:r>
        <w:rPr>
          <w:vertAlign w:val="superscript"/>
        </w:rPr>
        <w:t>*</w:t>
      </w:r>
      <w:r>
        <w:t xml:space="preserve"> Selected reported adverse events reported during Jan-Dec 2016. Note: for injection site reaction, rash and convulsions, PT’s were grouped as described below.</w:t>
      </w:r>
      <w:r w:rsidR="00E53DD3">
        <w:br/>
      </w:r>
      <w:r>
        <w:rPr>
          <w:vertAlign w:val="superscript"/>
        </w:rPr>
        <w:t>**</w:t>
      </w:r>
      <w:r>
        <w:t xml:space="preserve"> Injection site reaction includes the following MedDRA PTs: injection site reaction, injection site swelling, injection site pain, injection site mass, injection site erythema, injection site cellulitis, injection site rash, injection site induration, injection site abscess, injection site pruritus, injection site nodule, injected limb mobility decreased, injection site urticaria, injection site inflammation, injection site bruising, injection site infection, and injection site warmth.</w:t>
      </w:r>
      <w:r w:rsidR="00E53DD3">
        <w:br/>
      </w:r>
      <w:r>
        <w:rPr>
          <w:vertAlign w:val="superscript"/>
        </w:rPr>
        <w:t>***</w:t>
      </w:r>
      <w:r>
        <w:t xml:space="preserve"> Rash includes the following MedDRA PTs: rash, rash generalised, rash erythematous, rash pruritic, rash maculo-papular, rash macular, rash vesicular, rash </w:t>
      </w:r>
      <w:proofErr w:type="spellStart"/>
      <w:r>
        <w:t>papular</w:t>
      </w:r>
      <w:proofErr w:type="spellEnd"/>
      <w:r>
        <w:t>, rash morbilliform, and rash pustular.</w:t>
      </w:r>
      <w:r w:rsidR="00E53DD3">
        <w:br/>
      </w:r>
      <w:r>
        <w:rPr>
          <w:vertAlign w:val="superscript"/>
        </w:rPr>
        <w:t>****</w:t>
      </w:r>
      <w:r>
        <w:t xml:space="preserve"> Convulsion includes the following MedDRA PTs: febrile convulsion, and </w:t>
      </w:r>
      <w:r w:rsidR="00E206DB">
        <w:t>convulsion,</w:t>
      </w:r>
      <w:r>
        <w:t xml:space="preserve"> grand mal convulsion, and partial seizures.</w:t>
      </w:r>
      <w:r w:rsidR="00E53DD3">
        <w:br/>
      </w:r>
      <w:r>
        <w:rPr>
          <w:vertAlign w:val="superscript"/>
        </w:rPr>
        <w:t>†</w:t>
      </w:r>
      <w:r>
        <w:t xml:space="preserve"> AEFI records where only one reaction was reported.</w:t>
      </w:r>
      <w:r w:rsidR="00E53DD3">
        <w:br/>
      </w:r>
      <w:r>
        <w:rPr>
          <w:vertAlign w:val="superscript"/>
        </w:rPr>
        <w:t>§</w:t>
      </w:r>
      <w:r>
        <w:t xml:space="preserve"> ‘Serious’ outcomes are defined in the Methods section.</w:t>
      </w:r>
      <w:r w:rsidR="00E53DD3">
        <w:br/>
      </w:r>
      <w:r>
        <w:rPr>
          <w:vertAlign w:val="superscript"/>
        </w:rPr>
        <w:t>‡</w:t>
      </w:r>
      <w:r>
        <w:t xml:space="preserve"> Includes only AEFI records where an age or date of birth has been reported</w:t>
      </w:r>
      <w:r w:rsidR="00E53DD3">
        <w:br/>
      </w:r>
      <w:r>
        <w:rPr>
          <w:vertAlign w:val="superscript"/>
        </w:rPr>
        <w:t>||</w:t>
      </w:r>
      <w:r>
        <w:t xml:space="preserve"> Percentages relate to the number of AEFI records in which the specific reaction term was listed</w:t>
      </w:r>
    </w:p>
    <w:p w14:paraId="70AB4C9D" w14:textId="77777777" w:rsidR="00AE0FE0" w:rsidRDefault="00AE0FE0">
      <w:pPr>
        <w:pStyle w:val="NormalWeb"/>
      </w:pPr>
      <w:r>
        <w:t xml:space="preserve">The number of reports for each reaction has changed over time (Figure 4). The variation in reporting of ISRs is related to changes in the immunisation schedule for vaccines that are known to have higher rates of ISR, including </w:t>
      </w:r>
      <w:proofErr w:type="spellStart"/>
      <w:r>
        <w:t>DTPa</w:t>
      </w:r>
      <w:proofErr w:type="spellEnd"/>
      <w:r>
        <w:t xml:space="preserve">-containing vaccines, 23vPPV and HPV vaccine. </w:t>
      </w:r>
      <w:r>
        <w:rPr>
          <w:vertAlign w:val="superscript"/>
        </w:rPr>
        <w:t>3-14</w:t>
      </w:r>
      <w:r w:rsidR="00694369">
        <w:rPr>
          <w:vertAlign w:val="superscript"/>
        </w:rPr>
        <w:t>, 34, 35</w:t>
      </w:r>
      <w:r>
        <w:t xml:space="preserve"> Increases in reports of fever were largely associated with time periods when new vaccines were added to the NIP in the reporting period, such as 7vPCV and HPV; the extension of seasonal influenza vaccine on the NIP to include persons &lt;65 years at high risk of influenza in 2010; 13vPCV replacing 7vPCV in July 2011; and the extension of HPV to males in 2013. </w:t>
      </w:r>
    </w:p>
    <w:p w14:paraId="76A715F9" w14:textId="77777777" w:rsidR="00AE0FE0" w:rsidRPr="003A6918" w:rsidRDefault="00AE0FE0" w:rsidP="003A6918">
      <w:pPr>
        <w:pStyle w:val="Heading2"/>
      </w:pPr>
      <w:r w:rsidRPr="003A6918">
        <w:rPr>
          <w:rStyle w:val="Strong"/>
          <w:b/>
          <w:bCs/>
        </w:rPr>
        <w:t>Severity of outcomes</w:t>
      </w:r>
      <w:r w:rsidRPr="003A6918">
        <w:t xml:space="preserve"> </w:t>
      </w:r>
    </w:p>
    <w:p w14:paraId="0302E3E0" w14:textId="77777777" w:rsidR="00AE0FE0" w:rsidRDefault="00AE0FE0">
      <w:pPr>
        <w:pStyle w:val="NormalWeb"/>
      </w:pPr>
      <w:r>
        <w:t>The majority of reported events in 2016 were defined as ‘non-</w:t>
      </w:r>
      <w:proofErr w:type="spellStart"/>
      <w:r>
        <w:t>serious’</w:t>
      </w:r>
      <w:proofErr w:type="spellEnd"/>
      <w:r>
        <w:t xml:space="preserve"> (n=3,073; 90.2%). There is a 24% decline in ‘serious’ events in this reporting period compared to the previous reporting period (Figure 1).</w:t>
      </w:r>
    </w:p>
    <w:p w14:paraId="20ECC9F1" w14:textId="77777777" w:rsidR="00AE0FE0" w:rsidRDefault="00AE0FE0">
      <w:pPr>
        <w:pStyle w:val="NormalWeb"/>
      </w:pPr>
      <w:r>
        <w:t>Two deaths were reported from NSW as temporally associated with receipt of vaccines in 2016.</w:t>
      </w:r>
    </w:p>
    <w:p w14:paraId="370BD38F" w14:textId="77777777" w:rsidR="00AE0FE0" w:rsidRDefault="00AE0FE0">
      <w:pPr>
        <w:pStyle w:val="NormalWeb"/>
      </w:pPr>
      <w:r>
        <w:t xml:space="preserve">A 40 year old male died </w:t>
      </w:r>
      <w:r w:rsidR="002B1423">
        <w:t>2</w:t>
      </w:r>
      <w:r>
        <w:t xml:space="preserve"> weeks after receiving a dose of hepatitis A vaccine and a dose of the typhoid vaccine. These vaccines are not included in the NIP. The cause of death was acute disseminated encephalomyelitis (ADEM).</w:t>
      </w:r>
    </w:p>
    <w:p w14:paraId="5BBFD77C" w14:textId="77777777" w:rsidR="00AE0FE0" w:rsidRDefault="00AE0FE0">
      <w:pPr>
        <w:pStyle w:val="NormalWeb"/>
      </w:pPr>
      <w:r>
        <w:t>A one year old male died a day after receiving the first dose of the MMR vaccine and a dose of the combined Hib-</w:t>
      </w:r>
      <w:proofErr w:type="spellStart"/>
      <w:r>
        <w:t>MenC</w:t>
      </w:r>
      <w:proofErr w:type="spellEnd"/>
      <w:r>
        <w:t xml:space="preserve"> vaccine. The child presented at hospital with prolonged seizures. There was a history of seizures in the family. </w:t>
      </w:r>
      <w:r>
        <w:lastRenderedPageBreak/>
        <w:t xml:space="preserve">The cause of death was noted as status epilepticus. The </w:t>
      </w:r>
      <w:proofErr w:type="gramStart"/>
      <w:r>
        <w:t>post mortem</w:t>
      </w:r>
      <w:proofErr w:type="gramEnd"/>
      <w:r>
        <w:t xml:space="preserve"> findings showed the effects of status epilepticus and cardiopulmonary arrest. After a thorough investigation by the TGA the cause was determined to be coincidental to vaccination. </w:t>
      </w:r>
    </w:p>
    <w:p w14:paraId="69BA9546" w14:textId="77777777" w:rsidR="00AE0FE0" w:rsidRDefault="00AE0FE0">
      <w:pPr>
        <w:pStyle w:val="NormalWeb"/>
      </w:pPr>
      <w:r>
        <w:t xml:space="preserve">In addition to the above </w:t>
      </w:r>
      <w:r w:rsidR="002B1423">
        <w:t>2</w:t>
      </w:r>
      <w:r>
        <w:t xml:space="preserve"> deaths, </w:t>
      </w:r>
      <w:r w:rsidR="002B1423">
        <w:t>2</w:t>
      </w:r>
      <w:r>
        <w:t xml:space="preserve"> </w:t>
      </w:r>
      <w:proofErr w:type="spellStart"/>
      <w:r>
        <w:t>fetal</w:t>
      </w:r>
      <w:proofErr w:type="spellEnd"/>
      <w:r>
        <w:t xml:space="preserve"> deaths in utero were reported in this period:</w:t>
      </w:r>
    </w:p>
    <w:p w14:paraId="35FD877B" w14:textId="77777777" w:rsidR="00AE0FE0" w:rsidRPr="00600995" w:rsidRDefault="00AE0FE0" w:rsidP="00600995">
      <w:pPr>
        <w:pStyle w:val="ListParagraph"/>
        <w:numPr>
          <w:ilvl w:val="0"/>
          <w:numId w:val="12"/>
        </w:numPr>
        <w:spacing w:before="100" w:beforeAutospacing="1" w:after="100" w:afterAutospacing="1" w:line="240" w:lineRule="auto"/>
        <w:rPr>
          <w:rFonts w:eastAsia="Times New Roman"/>
        </w:rPr>
      </w:pPr>
      <w:r w:rsidRPr="00600995">
        <w:rPr>
          <w:rFonts w:eastAsia="Times New Roman"/>
        </w:rPr>
        <w:t xml:space="preserve">A 23 year old female at 35 weeks gestation who presented to the emergency department 5 days post administration of the </w:t>
      </w:r>
      <w:proofErr w:type="spellStart"/>
      <w:r w:rsidRPr="00600995">
        <w:rPr>
          <w:rFonts w:eastAsia="Times New Roman"/>
        </w:rPr>
        <w:t>dTpa</w:t>
      </w:r>
      <w:proofErr w:type="spellEnd"/>
      <w:r w:rsidRPr="00600995">
        <w:rPr>
          <w:rFonts w:eastAsia="Times New Roman"/>
        </w:rPr>
        <w:t xml:space="preserve"> vaccine. The patient presented with decreased </w:t>
      </w:r>
      <w:proofErr w:type="spellStart"/>
      <w:r w:rsidRPr="00600995">
        <w:rPr>
          <w:rFonts w:eastAsia="Times New Roman"/>
        </w:rPr>
        <w:t>fetal</w:t>
      </w:r>
      <w:proofErr w:type="spellEnd"/>
      <w:r w:rsidRPr="00600995">
        <w:rPr>
          <w:rFonts w:eastAsia="Times New Roman"/>
        </w:rPr>
        <w:t xml:space="preserve"> movement and subsequent </w:t>
      </w:r>
      <w:proofErr w:type="spellStart"/>
      <w:r w:rsidRPr="00600995">
        <w:rPr>
          <w:rFonts w:eastAsia="Times New Roman"/>
        </w:rPr>
        <w:t>fetal</w:t>
      </w:r>
      <w:proofErr w:type="spellEnd"/>
      <w:r w:rsidRPr="00600995">
        <w:rPr>
          <w:rFonts w:eastAsia="Times New Roman"/>
        </w:rPr>
        <w:t xml:space="preserve"> death in utero. Third trimester ultrasound demonstrated small for gestational age </w:t>
      </w:r>
      <w:proofErr w:type="spellStart"/>
      <w:r w:rsidRPr="00600995">
        <w:rPr>
          <w:rFonts w:eastAsia="Times New Roman"/>
        </w:rPr>
        <w:t>fetus</w:t>
      </w:r>
      <w:proofErr w:type="spellEnd"/>
      <w:r w:rsidRPr="00600995">
        <w:rPr>
          <w:rFonts w:eastAsia="Times New Roman"/>
        </w:rPr>
        <w:t xml:space="preserve"> with declining asymmetric growth, which indicates an underlying problem was affecting the </w:t>
      </w:r>
      <w:proofErr w:type="spellStart"/>
      <w:r w:rsidRPr="00600995">
        <w:rPr>
          <w:rFonts w:eastAsia="Times New Roman"/>
        </w:rPr>
        <w:t>fetus</w:t>
      </w:r>
      <w:proofErr w:type="spellEnd"/>
      <w:r w:rsidRPr="00600995">
        <w:rPr>
          <w:rFonts w:eastAsia="Times New Roman"/>
        </w:rPr>
        <w:t xml:space="preserve"> prior to the vaccination.</w:t>
      </w:r>
    </w:p>
    <w:p w14:paraId="5A43467C" w14:textId="77777777" w:rsidR="00AE0FE0" w:rsidRPr="00600995" w:rsidRDefault="00AE0FE0" w:rsidP="00600995">
      <w:pPr>
        <w:pStyle w:val="ListParagraph"/>
        <w:numPr>
          <w:ilvl w:val="0"/>
          <w:numId w:val="12"/>
        </w:numPr>
        <w:spacing w:before="100" w:beforeAutospacing="1" w:after="100" w:afterAutospacing="1" w:line="240" w:lineRule="auto"/>
        <w:rPr>
          <w:rFonts w:eastAsia="Times New Roman"/>
        </w:rPr>
      </w:pPr>
      <w:r w:rsidRPr="00600995">
        <w:rPr>
          <w:rFonts w:eastAsia="Times New Roman"/>
        </w:rPr>
        <w:t xml:space="preserve">A 32 year old female at 36 weeks gestation was given the </w:t>
      </w:r>
      <w:proofErr w:type="spellStart"/>
      <w:r w:rsidRPr="00600995">
        <w:rPr>
          <w:rFonts w:eastAsia="Times New Roman"/>
        </w:rPr>
        <w:t>dTpa</w:t>
      </w:r>
      <w:proofErr w:type="spellEnd"/>
      <w:r w:rsidRPr="00600995">
        <w:rPr>
          <w:rFonts w:eastAsia="Times New Roman"/>
        </w:rPr>
        <w:t xml:space="preserve"> vaccine at the antenatal clinic a day before she presented at hospital with lack of </w:t>
      </w:r>
      <w:proofErr w:type="spellStart"/>
      <w:r w:rsidRPr="00600995">
        <w:rPr>
          <w:rFonts w:eastAsia="Times New Roman"/>
        </w:rPr>
        <w:t>fetal</w:t>
      </w:r>
      <w:proofErr w:type="spellEnd"/>
      <w:r w:rsidRPr="00600995">
        <w:rPr>
          <w:rFonts w:eastAsia="Times New Roman"/>
        </w:rPr>
        <w:t xml:space="preserve"> movements. </w:t>
      </w:r>
      <w:proofErr w:type="spellStart"/>
      <w:r w:rsidRPr="00600995">
        <w:rPr>
          <w:rFonts w:eastAsia="Times New Roman"/>
        </w:rPr>
        <w:t>Fetal</w:t>
      </w:r>
      <w:proofErr w:type="spellEnd"/>
      <w:r w:rsidRPr="00600995">
        <w:rPr>
          <w:rFonts w:eastAsia="Times New Roman"/>
        </w:rPr>
        <w:t xml:space="preserve"> death was confirmed at hospital.</w:t>
      </w:r>
    </w:p>
    <w:p w14:paraId="61F3E3DA" w14:textId="77777777" w:rsidR="00AE0FE0" w:rsidRDefault="00AE0FE0">
      <w:pPr>
        <w:pStyle w:val="NormalWeb"/>
      </w:pPr>
      <w:r>
        <w:t xml:space="preserve">Stillbirth affects around 1 in 200 pregnancies that reach at least 20 weeks gestation in NSW. </w:t>
      </w:r>
      <w:r>
        <w:rPr>
          <w:vertAlign w:val="superscript"/>
        </w:rPr>
        <w:t>36</w:t>
      </w:r>
      <w:r>
        <w:t xml:space="preserve"> It is likely that these late </w:t>
      </w:r>
      <w:proofErr w:type="spellStart"/>
      <w:r>
        <w:t>fetal</w:t>
      </w:r>
      <w:proofErr w:type="spellEnd"/>
      <w:r>
        <w:t xml:space="preserve"> deaths were coincidental to vaccination; however, there was not sufficient information available to conduct a causality assessment.</w:t>
      </w:r>
    </w:p>
    <w:p w14:paraId="6479161C" w14:textId="77777777" w:rsidR="00AE0FE0" w:rsidRDefault="00AE0FE0">
      <w:pPr>
        <w:pStyle w:val="NormalWeb"/>
      </w:pPr>
      <w:r>
        <w:t xml:space="preserve">In summary, all deaths following immunisation reported to the TGA were investigated by the TGA and based on the information received from reporters, no clear causal relationship with vaccination was found. In some </w:t>
      </w:r>
      <w:proofErr w:type="gramStart"/>
      <w:r>
        <w:t>cases</w:t>
      </w:r>
      <w:proofErr w:type="gramEnd"/>
      <w:r>
        <w:t xml:space="preserve"> this was because no further information was provided by the reporter to allow an assessment of causality. The TGA encourages all reporters to provide sufficient information to allow the TGA to assess any causal relationship between the administration of a vaccine and the adverse event reported.</w:t>
      </w:r>
    </w:p>
    <w:p w14:paraId="145209F0" w14:textId="77777777" w:rsidR="00AE0FE0" w:rsidRPr="003A6918" w:rsidRDefault="00AE0FE0" w:rsidP="003A6918">
      <w:pPr>
        <w:pStyle w:val="Heading1"/>
      </w:pPr>
      <w:r w:rsidRPr="003A6918">
        <w:t>Discussion</w:t>
      </w:r>
    </w:p>
    <w:p w14:paraId="2A5406E5" w14:textId="77777777" w:rsidR="00AE0FE0" w:rsidRDefault="00AE0FE0">
      <w:pPr>
        <w:pStyle w:val="NormalWeb"/>
      </w:pPr>
      <w:r>
        <w:t xml:space="preserve">This report uses a similar methodology of analysis used in the previous </w:t>
      </w:r>
      <w:r w:rsidR="003B401D">
        <w:t>3</w:t>
      </w:r>
      <w:r>
        <w:t xml:space="preserve"> annual reports. </w:t>
      </w:r>
      <w:r>
        <w:rPr>
          <w:vertAlign w:val="superscript"/>
        </w:rPr>
        <w:t>2,15,33</w:t>
      </w:r>
      <w:r>
        <w:t xml:space="preserve"> As per the previous report, this method allows for clearer reporting of adverse events using MedDRA® PTs, as used in the DAEN. This change in methodology needs to be </w:t>
      </w:r>
      <w:proofErr w:type="gramStart"/>
      <w:r>
        <w:t>taken into account</w:t>
      </w:r>
      <w:proofErr w:type="gramEnd"/>
      <w:r>
        <w:t xml:space="preserve"> when comparing with data on specific reaction terms and categories from annual reports prior to 2013.</w:t>
      </w:r>
    </w:p>
    <w:p w14:paraId="74993656" w14:textId="77777777" w:rsidR="00AE0FE0" w:rsidRDefault="00AE0FE0">
      <w:pPr>
        <w:pStyle w:val="NormalWeb"/>
      </w:pPr>
      <w:r>
        <w:t xml:space="preserve">In 2016, there appeared to be a 14% increase in the AEFI reporting rate compared with the previous year. This increase in reported adverse events in 2016, compared to the previous year, was mainly attributable to introduction of the booster dose of the </w:t>
      </w:r>
      <w:proofErr w:type="spellStart"/>
      <w:r>
        <w:t>DTPa</w:t>
      </w:r>
      <w:proofErr w:type="spellEnd"/>
      <w:r>
        <w:t xml:space="preserve"> at 18 months of age in April 2016 and the zoster vaccine for those aged 70- 79 years in November 2016. There is usually an increase in reporting of adverse events when a program is newly rolled out. Previous data have shown early increase in AEFI reporting occur each time a new vaccine is introduced, as immunisation providers are more likely to report milder, less serious AEFIs for vaccines they are not as familiar with. A reduction and stabilisation of reporting rates over time occurs thereafter. </w:t>
      </w:r>
      <w:r>
        <w:rPr>
          <w:vertAlign w:val="superscript"/>
        </w:rPr>
        <w:t>2,4,5,7,10,12-15,33,37</w:t>
      </w:r>
      <w:r>
        <w:t xml:space="preserve"> During this first year of implementation of the </w:t>
      </w:r>
      <w:proofErr w:type="spellStart"/>
      <w:r>
        <w:t>DTPa</w:t>
      </w:r>
      <w:proofErr w:type="spellEnd"/>
      <w:r>
        <w:t xml:space="preserve"> at 18 months national program, there were 310 AEFI reports though majority (95%) of the reactions were mild reactions and not serious. Also, for those adults who had received the zoster vaccine, there were 165 AEFI reports though majority (96%) of the reactions were mild reactions and not serious.</w:t>
      </w:r>
    </w:p>
    <w:p w14:paraId="34C67575" w14:textId="77777777" w:rsidR="00AE0FE0" w:rsidRDefault="00AE0FE0">
      <w:pPr>
        <w:pStyle w:val="NormalWeb"/>
      </w:pPr>
      <w:r>
        <w:t xml:space="preserve">Also in 2016, the second year of implementation of the season influenza vaccine program for all Aboriginal and Torres Strait Islander children aged 6 months to 5 years, an adverse event following seasonal influenza vaccine was reported in </w:t>
      </w:r>
      <w:r w:rsidR="003B401D">
        <w:t>3</w:t>
      </w:r>
      <w:r>
        <w:t xml:space="preserve"> Aboriginal and Torres Strait Islander child aged 6 months to 5 years and was reported as not</w:t>
      </w:r>
      <w:r w:rsidR="00DB4F3F">
        <w:t> </w:t>
      </w:r>
      <w:r>
        <w:t>serious.</w:t>
      </w:r>
    </w:p>
    <w:p w14:paraId="3C94D8DA" w14:textId="77777777" w:rsidR="00AE0FE0" w:rsidRDefault="00AE0FE0">
      <w:pPr>
        <w:pStyle w:val="NormalWeb"/>
      </w:pPr>
      <w:r>
        <w:lastRenderedPageBreak/>
        <w:t xml:space="preserve">These findings are similar to national vaccine safety data from </w:t>
      </w:r>
      <w:proofErr w:type="spellStart"/>
      <w:r>
        <w:t>AusVaxSafety</w:t>
      </w:r>
      <w:proofErr w:type="spellEnd"/>
      <w:r>
        <w:t xml:space="preserve">, that currently monitors the safety of pertussis, zoster and influenza vaccines via participants recruited in 156 sentinel surveillance sites nationwide where there </w:t>
      </w:r>
      <w:proofErr w:type="gramStart"/>
      <w:r>
        <w:t>was</w:t>
      </w:r>
      <w:proofErr w:type="gramEnd"/>
      <w:r>
        <w:t xml:space="preserve"> no safety signals observed for these vaccines during this reporting period.</w:t>
      </w:r>
      <w:r>
        <w:rPr>
          <w:vertAlign w:val="superscript"/>
        </w:rPr>
        <w:t>38</w:t>
      </w:r>
      <w:r>
        <w:t xml:space="preserve"> </w:t>
      </w:r>
    </w:p>
    <w:p w14:paraId="35500ABF" w14:textId="77777777" w:rsidR="00AE0FE0" w:rsidRDefault="00AE0FE0">
      <w:pPr>
        <w:pStyle w:val="NormalWeb"/>
      </w:pPr>
      <w:r>
        <w:t xml:space="preserve">Overall, in Australia, injection site reaction, pyrexia, rash, </w:t>
      </w:r>
      <w:proofErr w:type="gramStart"/>
      <w:r>
        <w:t>vomiting</w:t>
      </w:r>
      <w:proofErr w:type="gramEnd"/>
      <w:r>
        <w:t xml:space="preserve"> and headache were the most commonly reported reactions in 2016. AEFI reporting rates for most individual vaccines in 2016 were similar to 2015.</w:t>
      </w:r>
    </w:p>
    <w:p w14:paraId="5AB91C46" w14:textId="77777777" w:rsidR="00AE0FE0" w:rsidRDefault="00AE0FE0">
      <w:pPr>
        <w:pStyle w:val="NormalWeb"/>
      </w:pPr>
      <w:r>
        <w:t xml:space="preserve">The majority of AEFI reports (90%) were described as non-serious events. There were </w:t>
      </w:r>
      <w:r w:rsidR="002B1423">
        <w:t>2</w:t>
      </w:r>
      <w:r>
        <w:t xml:space="preserve"> deaths reported with causal relationship unable to be determined.</w:t>
      </w:r>
    </w:p>
    <w:p w14:paraId="0A7E8FEF" w14:textId="77777777" w:rsidR="00AE0FE0" w:rsidRDefault="00AE0FE0">
      <w:pPr>
        <w:pStyle w:val="Heading1"/>
        <w:rPr>
          <w:rFonts w:eastAsia="Times New Roman"/>
        </w:rPr>
      </w:pPr>
      <w:r>
        <w:rPr>
          <w:rFonts w:eastAsia="Times New Roman"/>
        </w:rPr>
        <w:t>Conclusion</w:t>
      </w:r>
    </w:p>
    <w:p w14:paraId="346489E2" w14:textId="77777777" w:rsidR="00AE0FE0" w:rsidRDefault="00AE0FE0">
      <w:pPr>
        <w:pStyle w:val="NormalWeb"/>
      </w:pPr>
      <w:r>
        <w:t xml:space="preserve">The reported AEFIs increased in 2016 compared with 2015 though the majority of AEFIs reported to the TGA were mild transient events. The data reported here are consistent with an overall high level of safety for vaccines included in the NIP schedule. </w:t>
      </w:r>
    </w:p>
    <w:p w14:paraId="100A7693" w14:textId="77777777" w:rsidR="00AE0FE0" w:rsidRPr="003A6918" w:rsidRDefault="00AE0FE0" w:rsidP="003A6918">
      <w:pPr>
        <w:pStyle w:val="Heading1"/>
      </w:pPr>
      <w:r w:rsidRPr="003A6918">
        <w:rPr>
          <w:rStyle w:val="Strong"/>
          <w:b/>
          <w:bCs/>
        </w:rPr>
        <w:t>Acknowledgments</w:t>
      </w:r>
      <w:r w:rsidRPr="003A6918">
        <w:t xml:space="preserve"> </w:t>
      </w:r>
    </w:p>
    <w:p w14:paraId="7C73A636" w14:textId="77777777" w:rsidR="00AE0FE0" w:rsidRDefault="00AE0FE0">
      <w:pPr>
        <w:pStyle w:val="NormalWeb"/>
      </w:pPr>
      <w:r>
        <w:t>We thank Alexandra Hendry, NCIRS, for providing vaccine dose data from the Australian Immunisation Register.</w:t>
      </w:r>
    </w:p>
    <w:p w14:paraId="7BBC6A63" w14:textId="77777777" w:rsidR="00AE0FE0" w:rsidRDefault="00AE0FE0">
      <w:pPr>
        <w:pStyle w:val="NormalWeb"/>
      </w:pPr>
      <w:r>
        <w:t>The National Centre for Immunisation Research and Surveillance of Vaccine Preventable Diseases is supported by the Australian Government Department of Health, the New South Wales Department of Health and The Children’s Hospital at Westmead, Australia.</w:t>
      </w:r>
    </w:p>
    <w:p w14:paraId="064A5313" w14:textId="77777777" w:rsidR="00AE0FE0" w:rsidRPr="003A6918" w:rsidRDefault="00AE0FE0" w:rsidP="003A6918">
      <w:pPr>
        <w:pStyle w:val="Heading1"/>
      </w:pPr>
      <w:r w:rsidRPr="003A6918">
        <w:t>Author details</w:t>
      </w:r>
    </w:p>
    <w:p w14:paraId="6C61C429" w14:textId="77777777" w:rsidR="00AE0FE0" w:rsidRDefault="00AE0FE0">
      <w:pPr>
        <w:pStyle w:val="NormalWeb"/>
      </w:pPr>
      <w:r>
        <w:t xml:space="preserve">Aditi Dey, </w:t>
      </w:r>
      <w:r>
        <w:rPr>
          <w:vertAlign w:val="superscript"/>
        </w:rPr>
        <w:t>1*</w:t>
      </w:r>
      <w:r>
        <w:t xml:space="preserve"> Han Wang, </w:t>
      </w:r>
      <w:r>
        <w:rPr>
          <w:vertAlign w:val="superscript"/>
        </w:rPr>
        <w:t>1</w:t>
      </w:r>
      <w:r>
        <w:t xml:space="preserve"> Helen Quinn, </w:t>
      </w:r>
      <w:r>
        <w:rPr>
          <w:vertAlign w:val="superscript"/>
        </w:rPr>
        <w:t>1</w:t>
      </w:r>
      <w:r>
        <w:t xml:space="preserve"> Jane Cook, </w:t>
      </w:r>
      <w:r>
        <w:rPr>
          <w:vertAlign w:val="superscript"/>
        </w:rPr>
        <w:t>2</w:t>
      </w:r>
      <w:r>
        <w:t xml:space="preserve"> Kristine Macartney </w:t>
      </w:r>
      <w:r>
        <w:rPr>
          <w:vertAlign w:val="superscript"/>
        </w:rPr>
        <w:t>1</w:t>
      </w:r>
      <w:r>
        <w:t xml:space="preserve"> </w:t>
      </w:r>
    </w:p>
    <w:p w14:paraId="7DAF44F0" w14:textId="77777777" w:rsidR="00AE0FE0" w:rsidRDefault="00AE0FE0" w:rsidP="00AE0FE0">
      <w:pPr>
        <w:numPr>
          <w:ilvl w:val="0"/>
          <w:numId w:val="7"/>
        </w:numPr>
        <w:spacing w:before="100" w:beforeAutospacing="1" w:after="100" w:afterAutospacing="1" w:line="240" w:lineRule="auto"/>
        <w:rPr>
          <w:rFonts w:eastAsia="Times New Roman"/>
        </w:rPr>
      </w:pPr>
      <w:r>
        <w:rPr>
          <w:rFonts w:eastAsia="Times New Roman"/>
        </w:rPr>
        <w:t>National Centre for Immunisation Research and Surveillance of Vaccine Preventable Diseases, University of Sydney and The Children’s Hospital at Westmead, Sydney, Australia</w:t>
      </w:r>
    </w:p>
    <w:p w14:paraId="47F4A8B1" w14:textId="77777777" w:rsidR="00AE0FE0" w:rsidRDefault="00AE0FE0" w:rsidP="00AE0FE0">
      <w:pPr>
        <w:numPr>
          <w:ilvl w:val="0"/>
          <w:numId w:val="7"/>
        </w:numPr>
        <w:spacing w:before="100" w:beforeAutospacing="1" w:after="100" w:afterAutospacing="1" w:line="240" w:lineRule="auto"/>
        <w:rPr>
          <w:rFonts w:eastAsia="Times New Roman"/>
        </w:rPr>
      </w:pPr>
      <w:r>
        <w:rPr>
          <w:rFonts w:eastAsia="Times New Roman"/>
        </w:rPr>
        <w:t>Pharmacovigilance and Special Access Branch, Therapeutic Goods Administration, Canberra, Australia</w:t>
      </w:r>
    </w:p>
    <w:p w14:paraId="0FF871BC" w14:textId="77777777" w:rsidR="00AE0FE0" w:rsidRDefault="00AE0FE0">
      <w:pPr>
        <w:pStyle w:val="NormalWeb"/>
      </w:pPr>
      <w:r>
        <w:rPr>
          <w:vertAlign w:val="superscript"/>
        </w:rPr>
        <w:t>*</w:t>
      </w:r>
      <w:r>
        <w:t xml:space="preserve"> Corresponding author: Dr Aditi Dey - National Centre for Immunisation Research and Surveillance Locked Bag 4001 Westmead NSW 2145 Phone: (02) 9845 1416 Fax: (02) 9845 1418 Email: aditi.dey@health.nsw.gov.au</w:t>
      </w:r>
    </w:p>
    <w:p w14:paraId="492FEE32" w14:textId="77777777" w:rsidR="00AE0FE0" w:rsidRPr="003A6918" w:rsidRDefault="00AE0FE0" w:rsidP="003A6918">
      <w:pPr>
        <w:pStyle w:val="Heading1"/>
      </w:pPr>
      <w:r w:rsidRPr="003A6918">
        <w:t>References</w:t>
      </w:r>
    </w:p>
    <w:p w14:paraId="4ED1D725"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Council for International Organizations of Medical Sciences (CIOMS) c/o World Health Organization. Definition and Application of Terms for Vaccine Pharmacovigilance: Report of CIOMS/WHO Working Group on Vaccine Pharmacovigilance. 2012.</w:t>
      </w:r>
    </w:p>
    <w:p w14:paraId="63377E41"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Dey A, Wang H, Quinn H, Hill R, Macartney K. Surveillance of adverse events following immunisation in Australia annual report, 2014. </w:t>
      </w:r>
      <w:r w:rsidRPr="00211F47">
        <w:rPr>
          <w:rStyle w:val="Emphasis"/>
          <w:rFonts w:eastAsia="Times New Roman"/>
          <w:b w:val="0"/>
        </w:rPr>
        <w:t>Communicable Diseases Intelligence</w:t>
      </w:r>
      <w:r>
        <w:rPr>
          <w:rFonts w:eastAsia="Times New Roman"/>
        </w:rPr>
        <w:t xml:space="preserve"> 2016;40:E377–E390.</w:t>
      </w:r>
    </w:p>
    <w:p w14:paraId="62F37F51"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Lawrence G, Boyd I, McIntyre P, Isaacs D. Surveillance of adverse events following immunisation: Australia 2002 to 2003. </w:t>
      </w:r>
      <w:r w:rsidRPr="00211F47">
        <w:rPr>
          <w:rStyle w:val="Emphasis"/>
          <w:rFonts w:eastAsia="Times New Roman"/>
          <w:b w:val="0"/>
        </w:rPr>
        <w:t>Commun Dis Intell</w:t>
      </w:r>
      <w:r>
        <w:rPr>
          <w:rFonts w:eastAsia="Times New Roman"/>
        </w:rPr>
        <w:t xml:space="preserve"> 2004;28:324-338.</w:t>
      </w:r>
    </w:p>
    <w:p w14:paraId="3268425C"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Lawrence G, Boyd I, McIntyre P, Isaacs D. Annual report: surveillance of adverse events following immunisation in Australia, 2005. </w:t>
      </w:r>
      <w:r w:rsidRPr="00211F47">
        <w:rPr>
          <w:rStyle w:val="Emphasis"/>
          <w:rFonts w:eastAsia="Times New Roman"/>
          <w:b w:val="0"/>
        </w:rPr>
        <w:t>Commun Dis Intell</w:t>
      </w:r>
      <w:r>
        <w:rPr>
          <w:rFonts w:eastAsia="Times New Roman"/>
        </w:rPr>
        <w:t xml:space="preserve"> 2006;30:319-333.</w:t>
      </w:r>
    </w:p>
    <w:p w14:paraId="64C68788"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lastRenderedPageBreak/>
        <w:t xml:space="preserve">Lawrence G, Gold MS, Hill R, Deeks S, </w:t>
      </w:r>
      <w:proofErr w:type="spellStart"/>
      <w:r>
        <w:rPr>
          <w:rFonts w:eastAsia="Times New Roman"/>
        </w:rPr>
        <w:t>Glasswell</w:t>
      </w:r>
      <w:proofErr w:type="spellEnd"/>
      <w:r>
        <w:rPr>
          <w:rFonts w:eastAsia="Times New Roman"/>
        </w:rPr>
        <w:t xml:space="preserve"> A, McIntyre PB. Annual report: surveillance of adverse events following immunisation in Australia, 2007. </w:t>
      </w:r>
      <w:r w:rsidRPr="00211F47">
        <w:rPr>
          <w:rStyle w:val="Emphasis"/>
          <w:rFonts w:eastAsia="Times New Roman"/>
          <w:b w:val="0"/>
        </w:rPr>
        <w:t>Commun Dis Intell</w:t>
      </w:r>
      <w:r>
        <w:rPr>
          <w:rFonts w:eastAsia="Times New Roman"/>
        </w:rPr>
        <w:t xml:space="preserve"> 2008;32:371-387.</w:t>
      </w:r>
    </w:p>
    <w:p w14:paraId="2F4A4A84"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Lawrence G, Menzies R, Burgess M, McIntyre P, Wood N, Boyd I, et al. Surveillance of adverse events following immunisation: Australia, 2000–2002. </w:t>
      </w:r>
      <w:r w:rsidRPr="00211F47">
        <w:rPr>
          <w:rStyle w:val="Emphasis"/>
          <w:rFonts w:eastAsia="Times New Roman"/>
          <w:b w:val="0"/>
        </w:rPr>
        <w:t>Commun Dis Intell</w:t>
      </w:r>
      <w:r>
        <w:rPr>
          <w:rFonts w:eastAsia="Times New Roman"/>
        </w:rPr>
        <w:t xml:space="preserve"> 2003;27:307-323.</w:t>
      </w:r>
    </w:p>
    <w:p w14:paraId="50198930"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Lawrence GL, </w:t>
      </w:r>
      <w:proofErr w:type="spellStart"/>
      <w:r>
        <w:rPr>
          <w:rFonts w:eastAsia="Times New Roman"/>
        </w:rPr>
        <w:t>Aratchige</w:t>
      </w:r>
      <w:proofErr w:type="spellEnd"/>
      <w:r>
        <w:rPr>
          <w:rFonts w:eastAsia="Times New Roman"/>
        </w:rPr>
        <w:t xml:space="preserve"> PE, Boyd I, McIntyre PB, Gold MS. Annual report on surveillance of adverse events following immunisation in Australia, 2006. </w:t>
      </w:r>
      <w:r w:rsidRPr="00211F47">
        <w:rPr>
          <w:rStyle w:val="Emphasis"/>
          <w:rFonts w:eastAsia="Times New Roman"/>
          <w:b w:val="0"/>
        </w:rPr>
        <w:t>Commun Dis Intell</w:t>
      </w:r>
      <w:r>
        <w:rPr>
          <w:rFonts w:eastAsia="Times New Roman"/>
        </w:rPr>
        <w:t xml:space="preserve"> 2007;31:269-282.</w:t>
      </w:r>
    </w:p>
    <w:p w14:paraId="7EB0CB1A"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Lawrence GL, Boyd I, McIntyre PB, Isaacs D. Annual report: surveillance of adverse events following immunisation in Australia, 2004 </w:t>
      </w:r>
      <w:r w:rsidRPr="00211F47">
        <w:rPr>
          <w:rStyle w:val="Emphasis"/>
          <w:rFonts w:eastAsia="Times New Roman"/>
          <w:b w:val="0"/>
        </w:rPr>
        <w:t>Commun Dis Intell</w:t>
      </w:r>
      <w:r>
        <w:rPr>
          <w:rFonts w:eastAsia="Times New Roman"/>
        </w:rPr>
        <w:t xml:space="preserve"> 2005;29:248-262.</w:t>
      </w:r>
    </w:p>
    <w:p w14:paraId="5F6CAE63"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Cook J, Dey A, Macartney K, Menzies R. Supplementary report: surveillance of adverse events following immunisation among children aged less than seven years in Australia, 1 January to 30 June 2012. </w:t>
      </w:r>
      <w:r w:rsidRPr="00211F47">
        <w:rPr>
          <w:rStyle w:val="Emphasis"/>
          <w:rFonts w:eastAsia="Times New Roman"/>
          <w:b w:val="0"/>
        </w:rPr>
        <w:t>Commun Dis Intell</w:t>
      </w:r>
      <w:r>
        <w:rPr>
          <w:rFonts w:eastAsia="Times New Roman"/>
        </w:rPr>
        <w:t xml:space="preserve"> 2013;37:E130-134.</w:t>
      </w:r>
    </w:p>
    <w:p w14:paraId="676AF53D"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Cook J, Dey A, Macartney K, Menzies RI. Annual report: surveillance of adverse events following immunisation in Australia, 2011. </w:t>
      </w:r>
      <w:r w:rsidRPr="00211F47">
        <w:rPr>
          <w:rStyle w:val="Emphasis"/>
          <w:rFonts w:eastAsia="Times New Roman"/>
          <w:b w:val="0"/>
        </w:rPr>
        <w:t>Commun Dis Intell</w:t>
      </w:r>
      <w:r>
        <w:rPr>
          <w:rFonts w:eastAsia="Times New Roman"/>
        </w:rPr>
        <w:t xml:space="preserve"> 2012;36:E315-332.</w:t>
      </w:r>
    </w:p>
    <w:p w14:paraId="0D4F06D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Cook J, McIntyre P, Macartney K, Menzies R. Supplementary report: surveillance of adverse events following immunisation among children aged less than seven years in Australia, 1 January to 30 June 2011. </w:t>
      </w:r>
      <w:r w:rsidRPr="00211F47">
        <w:rPr>
          <w:rStyle w:val="Emphasis"/>
          <w:rFonts w:eastAsia="Times New Roman"/>
          <w:b w:val="0"/>
        </w:rPr>
        <w:t>Commun Dis Intell</w:t>
      </w:r>
      <w:r>
        <w:rPr>
          <w:rFonts w:eastAsia="Times New Roman"/>
        </w:rPr>
        <w:t xml:space="preserve"> 2012;36:114-119.</w:t>
      </w:r>
    </w:p>
    <w:p w14:paraId="2BC74718"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Cook J, McIntyre PB, Macartney K, Menzies RI. Annual report: surveillance of adverse events following immunisation in Australia, 2010. </w:t>
      </w:r>
      <w:r w:rsidRPr="00211F47">
        <w:rPr>
          <w:rStyle w:val="Emphasis"/>
          <w:rFonts w:eastAsia="Times New Roman"/>
          <w:b w:val="0"/>
        </w:rPr>
        <w:t>Commun Dis Intell</w:t>
      </w:r>
      <w:r>
        <w:rPr>
          <w:rFonts w:eastAsia="Times New Roman"/>
        </w:rPr>
        <w:t xml:space="preserve"> 2011;35:263-280.</w:t>
      </w:r>
    </w:p>
    <w:p w14:paraId="16FF3265"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w:t>
      </w:r>
      <w:proofErr w:type="spellStart"/>
      <w:r>
        <w:rPr>
          <w:rFonts w:eastAsia="Times New Roman"/>
        </w:rPr>
        <w:t>Roomiani</w:t>
      </w:r>
      <w:proofErr w:type="spellEnd"/>
      <w:r>
        <w:rPr>
          <w:rFonts w:eastAsia="Times New Roman"/>
        </w:rPr>
        <w:t xml:space="preserve"> I, Gold MS, Lawrence GL, McIntyre PB, Menzies RI. Annual report: surveillance of adverse events following immunisation in Australia, 2009. </w:t>
      </w:r>
      <w:r w:rsidRPr="00211F47">
        <w:rPr>
          <w:rStyle w:val="Emphasis"/>
          <w:rFonts w:eastAsia="Times New Roman"/>
          <w:b w:val="0"/>
        </w:rPr>
        <w:t>Commun Dis Intell</w:t>
      </w:r>
      <w:r>
        <w:rPr>
          <w:rFonts w:eastAsia="Times New Roman"/>
        </w:rPr>
        <w:t xml:space="preserve"> 2010;34:259-276.</w:t>
      </w:r>
    </w:p>
    <w:p w14:paraId="573D1BE4"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Menzies R, Mahajan D, Gold MS, </w:t>
      </w:r>
      <w:proofErr w:type="spellStart"/>
      <w:r>
        <w:rPr>
          <w:rFonts w:eastAsia="Times New Roman"/>
        </w:rPr>
        <w:t>Roomiani</w:t>
      </w:r>
      <w:proofErr w:type="spellEnd"/>
      <w:r>
        <w:rPr>
          <w:rFonts w:eastAsia="Times New Roman"/>
        </w:rPr>
        <w:t xml:space="preserve"> I, McIntyre P, Lawrence G. Annual report: surveillance of adverse events following immunisation in Australia, 2008. </w:t>
      </w:r>
      <w:r w:rsidRPr="00211F47">
        <w:rPr>
          <w:rStyle w:val="Emphasis"/>
          <w:rFonts w:eastAsia="Times New Roman"/>
          <w:b w:val="0"/>
        </w:rPr>
        <w:t>Commun Dis Intell</w:t>
      </w:r>
      <w:r>
        <w:rPr>
          <w:rFonts w:eastAsia="Times New Roman"/>
        </w:rPr>
        <w:t xml:space="preserve"> 2009;33:365-381.</w:t>
      </w:r>
    </w:p>
    <w:p w14:paraId="5E63D371"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Dey A, Cook J, Harvey B, Menzies R, Macartney K. Surveillance of adverse events following immunisation in Australia annual report, 2013. </w:t>
      </w:r>
      <w:r w:rsidRPr="00211F47">
        <w:rPr>
          <w:rStyle w:val="Emphasis"/>
          <w:rFonts w:eastAsia="Times New Roman"/>
          <w:b w:val="0"/>
        </w:rPr>
        <w:t>Commun Dis Intell</w:t>
      </w:r>
      <w:r>
        <w:rPr>
          <w:rFonts w:eastAsia="Times New Roman"/>
        </w:rPr>
        <w:t xml:space="preserve"> 2015;39:E369–E386.</w:t>
      </w:r>
    </w:p>
    <w:p w14:paraId="36B3792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National Health and Medical Research Council. The Australian Immunisation Handbook. 8th </w:t>
      </w:r>
      <w:proofErr w:type="spellStart"/>
      <w:r>
        <w:rPr>
          <w:rFonts w:eastAsia="Times New Roman"/>
        </w:rPr>
        <w:t>edn</w:t>
      </w:r>
      <w:proofErr w:type="spellEnd"/>
      <w:r>
        <w:rPr>
          <w:rFonts w:eastAsia="Times New Roman"/>
        </w:rPr>
        <w:t>. Canberra: Australian Government Department of Health and Ageing; 2003.</w:t>
      </w:r>
    </w:p>
    <w:p w14:paraId="1E3CBF77"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National Health and Medical Research Council. The Australian Immunisation Handbook. 9th </w:t>
      </w:r>
      <w:proofErr w:type="spellStart"/>
      <w:r>
        <w:rPr>
          <w:rFonts w:eastAsia="Times New Roman"/>
        </w:rPr>
        <w:t>edn</w:t>
      </w:r>
      <w:proofErr w:type="spellEnd"/>
      <w:r>
        <w:rPr>
          <w:rFonts w:eastAsia="Times New Roman"/>
        </w:rPr>
        <w:t>. Canberra: Australian Government Department of Health and Ageing; 2008.</w:t>
      </w:r>
    </w:p>
    <w:p w14:paraId="1B8A0556"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Uppsala Monitoring Centre. WHO Collaborating Centre for International Drug Monitoring. Accessed on 9 July 2014. Available from: http://www.who-umc.org/ </w:t>
      </w:r>
    </w:p>
    <w:p w14:paraId="18FB6433"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Zhou W, Pool V, Iskander JK, English-Bullard R, Ball R, Wise RP, et al. Surveillance for safety after immunization: Vaccine Adverse Event Reporting System (VAERS)--United States, 1991-2001. [erratum appears in MMWR </w:t>
      </w:r>
      <w:proofErr w:type="spellStart"/>
      <w:r>
        <w:rPr>
          <w:rFonts w:eastAsia="Times New Roman"/>
        </w:rPr>
        <w:t>Morb</w:t>
      </w:r>
      <w:proofErr w:type="spellEnd"/>
      <w:r>
        <w:rPr>
          <w:rFonts w:eastAsia="Times New Roman"/>
        </w:rPr>
        <w:t xml:space="preserve"> Mortal </w:t>
      </w:r>
      <w:proofErr w:type="spellStart"/>
      <w:r>
        <w:rPr>
          <w:rFonts w:eastAsia="Times New Roman"/>
        </w:rPr>
        <w:t>Wkly</w:t>
      </w:r>
      <w:proofErr w:type="spellEnd"/>
      <w:r>
        <w:rPr>
          <w:rFonts w:eastAsia="Times New Roman"/>
        </w:rPr>
        <w:t xml:space="preserve"> Rep. 2003 Feb 14;52(06):113]. </w:t>
      </w:r>
      <w:r w:rsidRPr="00211F47">
        <w:rPr>
          <w:rStyle w:val="Emphasis"/>
          <w:rFonts w:eastAsia="Times New Roman"/>
          <w:b w:val="0"/>
        </w:rPr>
        <w:t xml:space="preserve">MMWR </w:t>
      </w:r>
      <w:proofErr w:type="spellStart"/>
      <w:r w:rsidRPr="00211F47">
        <w:rPr>
          <w:rStyle w:val="Emphasis"/>
          <w:rFonts w:eastAsia="Times New Roman"/>
          <w:b w:val="0"/>
        </w:rPr>
        <w:t>Surveill</w:t>
      </w:r>
      <w:proofErr w:type="spellEnd"/>
      <w:r w:rsidRPr="00211F47">
        <w:rPr>
          <w:rStyle w:val="Emphasis"/>
          <w:rFonts w:eastAsia="Times New Roman"/>
          <w:b w:val="0"/>
        </w:rPr>
        <w:t xml:space="preserve"> </w:t>
      </w:r>
      <w:proofErr w:type="spellStart"/>
      <w:r w:rsidRPr="00211F47">
        <w:rPr>
          <w:rStyle w:val="Emphasis"/>
          <w:rFonts w:eastAsia="Times New Roman"/>
          <w:b w:val="0"/>
        </w:rPr>
        <w:t>Summ</w:t>
      </w:r>
      <w:proofErr w:type="spellEnd"/>
      <w:r>
        <w:rPr>
          <w:rFonts w:eastAsia="Times New Roman"/>
        </w:rPr>
        <w:t xml:space="preserve"> 2003;52:1-24.</w:t>
      </w:r>
    </w:p>
    <w:p w14:paraId="7F3FB597"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Brown EG. Using MedDRA: implications for risk management. </w:t>
      </w:r>
      <w:r w:rsidRPr="00211F47">
        <w:rPr>
          <w:rStyle w:val="Emphasis"/>
          <w:rFonts w:eastAsia="Times New Roman"/>
          <w:b w:val="0"/>
        </w:rPr>
        <w:t xml:space="preserve">Drug </w:t>
      </w:r>
      <w:proofErr w:type="spellStart"/>
      <w:r w:rsidRPr="00211F47">
        <w:rPr>
          <w:rStyle w:val="Emphasis"/>
          <w:rFonts w:eastAsia="Times New Roman"/>
          <w:b w:val="0"/>
        </w:rPr>
        <w:t>Saf</w:t>
      </w:r>
      <w:proofErr w:type="spellEnd"/>
      <w:r>
        <w:rPr>
          <w:rFonts w:eastAsia="Times New Roman"/>
        </w:rPr>
        <w:t xml:space="preserve"> 2004;27:591-602.</w:t>
      </w:r>
    </w:p>
    <w:p w14:paraId="4A26637B"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Brown EG, Wood L, Wood S. The medical dictionary for regulatory activities (MedDRA). </w:t>
      </w:r>
      <w:r w:rsidRPr="00211F47">
        <w:rPr>
          <w:rStyle w:val="Emphasis"/>
          <w:rFonts w:eastAsia="Times New Roman"/>
          <w:b w:val="0"/>
        </w:rPr>
        <w:t xml:space="preserve">Drug </w:t>
      </w:r>
      <w:proofErr w:type="spellStart"/>
      <w:r w:rsidRPr="00211F47">
        <w:rPr>
          <w:rStyle w:val="Emphasis"/>
          <w:rFonts w:eastAsia="Times New Roman"/>
          <w:b w:val="0"/>
        </w:rPr>
        <w:t>Saf</w:t>
      </w:r>
      <w:proofErr w:type="spellEnd"/>
      <w:r>
        <w:rPr>
          <w:rFonts w:eastAsia="Times New Roman"/>
        </w:rPr>
        <w:t xml:space="preserve"> 1999</w:t>
      </w:r>
      <w:r w:rsidR="00993AE4">
        <w:rPr>
          <w:rFonts w:eastAsia="Times New Roman"/>
        </w:rPr>
        <w:t>; 20:109</w:t>
      </w:r>
      <w:r>
        <w:rPr>
          <w:rFonts w:eastAsia="Times New Roman"/>
        </w:rPr>
        <w:t>-117.</w:t>
      </w:r>
    </w:p>
    <w:p w14:paraId="3DC348D0"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Dey A, Hill R, Harvey B, Menzies R, McIntyre P, et al. Methodological framework for reporting of adverse events following immunisation (AEFI) In: PHAA National Immunisation Conference, 17-19 </w:t>
      </w:r>
      <w:proofErr w:type="gramStart"/>
      <w:r>
        <w:rPr>
          <w:rFonts w:eastAsia="Times New Roman"/>
        </w:rPr>
        <w:t>June,</w:t>
      </w:r>
      <w:proofErr w:type="gramEnd"/>
      <w:r>
        <w:rPr>
          <w:rFonts w:eastAsia="Times New Roman"/>
        </w:rPr>
        <w:t xml:space="preserve"> 2014; Melbourne, Australia.</w:t>
      </w:r>
    </w:p>
    <w:p w14:paraId="07CD3952"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Leroy Z, Broder K, </w:t>
      </w:r>
      <w:proofErr w:type="spellStart"/>
      <w:r>
        <w:rPr>
          <w:rFonts w:eastAsia="Times New Roman"/>
        </w:rPr>
        <w:t>Menschik</w:t>
      </w:r>
      <w:proofErr w:type="spellEnd"/>
      <w:r>
        <w:rPr>
          <w:rFonts w:eastAsia="Times New Roman"/>
        </w:rPr>
        <w:t xml:space="preserve"> D, Shimabukuro T, D. M. Febrile seizures after 2010-2011 influenza vaccine in young children, United States: a vaccine safety signal from the vaccine adverse event reporting system. </w:t>
      </w:r>
      <w:r w:rsidRPr="00211F47">
        <w:rPr>
          <w:rStyle w:val="Emphasis"/>
          <w:rFonts w:eastAsia="Times New Roman"/>
          <w:b w:val="0"/>
        </w:rPr>
        <w:t>Vaccine</w:t>
      </w:r>
      <w:r>
        <w:rPr>
          <w:rFonts w:eastAsia="Times New Roman"/>
        </w:rPr>
        <w:t xml:space="preserve"> 2012;30:2020-2023.</w:t>
      </w:r>
    </w:p>
    <w:p w14:paraId="671CA586"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Moro PL, Broder K, </w:t>
      </w:r>
      <w:proofErr w:type="spellStart"/>
      <w:r>
        <w:rPr>
          <w:rFonts w:eastAsia="Times New Roman"/>
        </w:rPr>
        <w:t>Zheteyeva</w:t>
      </w:r>
      <w:proofErr w:type="spellEnd"/>
      <w:r>
        <w:rPr>
          <w:rFonts w:eastAsia="Times New Roman"/>
        </w:rPr>
        <w:t xml:space="preserve"> Y, </w:t>
      </w:r>
      <w:proofErr w:type="spellStart"/>
      <w:r>
        <w:rPr>
          <w:rFonts w:eastAsia="Times New Roman"/>
        </w:rPr>
        <w:t>Revzina</w:t>
      </w:r>
      <w:proofErr w:type="spellEnd"/>
      <w:r>
        <w:rPr>
          <w:rFonts w:eastAsia="Times New Roman"/>
        </w:rPr>
        <w:t xml:space="preserve"> N, Tepper N, Kissin D, et al. Adverse events following administration to pregnant women of influenza A (H1N1) 2009 monovalent vaccine reported to the Vaccine Adverse Event Reporting System. </w:t>
      </w:r>
      <w:r w:rsidRPr="00211F47">
        <w:rPr>
          <w:rStyle w:val="Emphasis"/>
          <w:rFonts w:eastAsia="Times New Roman"/>
          <w:b w:val="0"/>
        </w:rPr>
        <w:t xml:space="preserve">Am J </w:t>
      </w:r>
      <w:proofErr w:type="spellStart"/>
      <w:r w:rsidRPr="00211F47">
        <w:rPr>
          <w:rStyle w:val="Emphasis"/>
          <w:rFonts w:eastAsia="Times New Roman"/>
          <w:b w:val="0"/>
        </w:rPr>
        <w:t>Obstet</w:t>
      </w:r>
      <w:proofErr w:type="spellEnd"/>
      <w:r w:rsidRPr="00211F47">
        <w:rPr>
          <w:rStyle w:val="Emphasis"/>
          <w:rFonts w:eastAsia="Times New Roman"/>
          <w:b w:val="0"/>
        </w:rPr>
        <w:t xml:space="preserve"> </w:t>
      </w:r>
      <w:proofErr w:type="spellStart"/>
      <w:r w:rsidRPr="00211F47">
        <w:rPr>
          <w:rStyle w:val="Emphasis"/>
          <w:rFonts w:eastAsia="Times New Roman"/>
          <w:b w:val="0"/>
        </w:rPr>
        <w:t>Gynecol</w:t>
      </w:r>
      <w:proofErr w:type="spellEnd"/>
      <w:r>
        <w:rPr>
          <w:rFonts w:eastAsia="Times New Roman"/>
        </w:rPr>
        <w:t xml:space="preserve"> 2011;205:e1-9.</w:t>
      </w:r>
    </w:p>
    <w:p w14:paraId="5107025C" w14:textId="77777777" w:rsidR="00AE0FE0" w:rsidRDefault="00AE0FE0" w:rsidP="00AE0FE0">
      <w:pPr>
        <w:numPr>
          <w:ilvl w:val="0"/>
          <w:numId w:val="8"/>
        </w:numPr>
        <w:spacing w:before="100" w:beforeAutospacing="1" w:after="100" w:afterAutospacing="1" w:line="240" w:lineRule="auto"/>
        <w:rPr>
          <w:rFonts w:eastAsia="Times New Roman"/>
        </w:rPr>
      </w:pPr>
      <w:proofErr w:type="spellStart"/>
      <w:r>
        <w:rPr>
          <w:rFonts w:eastAsia="Times New Roman"/>
        </w:rPr>
        <w:t>Zheteyeva</w:t>
      </w:r>
      <w:proofErr w:type="spellEnd"/>
      <w:r>
        <w:rPr>
          <w:rFonts w:eastAsia="Times New Roman"/>
        </w:rPr>
        <w:t xml:space="preserve"> Y, Moro PL, Yue X, K. B. Safety of meningococcal polysaccharide-protein conjugate vaccine in pregnancy: a review of the Vaccine Adverse Event Reporting System. </w:t>
      </w:r>
      <w:r w:rsidRPr="00211F47">
        <w:rPr>
          <w:rStyle w:val="Emphasis"/>
          <w:rFonts w:eastAsia="Times New Roman"/>
          <w:b w:val="0"/>
        </w:rPr>
        <w:t xml:space="preserve">Am J </w:t>
      </w:r>
      <w:proofErr w:type="spellStart"/>
      <w:r w:rsidRPr="00211F47">
        <w:rPr>
          <w:rStyle w:val="Emphasis"/>
          <w:rFonts w:eastAsia="Times New Roman"/>
          <w:b w:val="0"/>
        </w:rPr>
        <w:t>Obstet</w:t>
      </w:r>
      <w:proofErr w:type="spellEnd"/>
      <w:r w:rsidRPr="00211F47">
        <w:rPr>
          <w:rStyle w:val="Emphasis"/>
          <w:rFonts w:eastAsia="Times New Roman"/>
          <w:b w:val="0"/>
        </w:rPr>
        <w:t xml:space="preserve"> </w:t>
      </w:r>
      <w:proofErr w:type="spellStart"/>
      <w:r w:rsidRPr="00211F47">
        <w:rPr>
          <w:rStyle w:val="Emphasis"/>
          <w:rFonts w:eastAsia="Times New Roman"/>
          <w:b w:val="0"/>
        </w:rPr>
        <w:t>Gynecol</w:t>
      </w:r>
      <w:proofErr w:type="spellEnd"/>
      <w:r>
        <w:rPr>
          <w:rFonts w:eastAsia="Times New Roman"/>
        </w:rPr>
        <w:t xml:space="preserve"> 2013;208:e1-6.</w:t>
      </w:r>
    </w:p>
    <w:p w14:paraId="14F266DB"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Therapeutic Goods Administration. National Adverse Events Following Immunisation (AEFI) reporting form. Accessed on 26 March 2013. Available from: http://www.tga.gov.au/safety/problem-medicine-aefi.htm </w:t>
      </w:r>
    </w:p>
    <w:p w14:paraId="32609476"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SAS Institute Inc. The SAS system for Windows [computer program]. Version 9.4. Cary, N.C. 2012.</w:t>
      </w:r>
    </w:p>
    <w:p w14:paraId="3E2C2F7C"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Australian Bureau of Statistics. Australian Demographic Statistics. 2015. http://www.abs.gov.au/AUSSTATS/abs@.nsf/DetailsPage/3101.0Jun%202015?OpenDocument#Time </w:t>
      </w:r>
    </w:p>
    <w:p w14:paraId="40267FDD"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lastRenderedPageBreak/>
        <w:t xml:space="preserve">Australian Government Department of Human Services. Australian Immunisation Register. Accessed on 21 October 2016. Available from: https://www.humanservices.gov.au/customer/services/medicare/australian-immunisation-register </w:t>
      </w:r>
    </w:p>
    <w:p w14:paraId="200416A1"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UPDATE: Expansion of Australia’s Immunisation Registers. Accessed on 21 October 2016. Available from: http://www.immunise.health.gov.au/internet/immunise/publishing.nsf/Content/67D8681A67167949CA257E2E000EE07D/$File/Factsheet-%20Immunisation-Registers-Expansion-23102015.pdf </w:t>
      </w:r>
    </w:p>
    <w:p w14:paraId="57E4F40E"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Varricchio F, Iskander J, DeStefano F, Ball R, </w:t>
      </w:r>
      <w:proofErr w:type="spellStart"/>
      <w:r>
        <w:rPr>
          <w:rFonts w:eastAsia="Times New Roman"/>
        </w:rPr>
        <w:t>Pless</w:t>
      </w:r>
      <w:proofErr w:type="spellEnd"/>
      <w:r>
        <w:rPr>
          <w:rFonts w:eastAsia="Times New Roman"/>
        </w:rPr>
        <w:t xml:space="preserve"> R, Braun M, et al. Understanding vaccine safety information from the Vaccine Adverse Event Reporting System. </w:t>
      </w:r>
      <w:proofErr w:type="spellStart"/>
      <w:r w:rsidRPr="00211F47">
        <w:rPr>
          <w:rStyle w:val="Emphasis"/>
          <w:rFonts w:eastAsia="Times New Roman"/>
          <w:b w:val="0"/>
        </w:rPr>
        <w:t>Pediatr</w:t>
      </w:r>
      <w:proofErr w:type="spellEnd"/>
      <w:r w:rsidRPr="00211F47">
        <w:rPr>
          <w:rStyle w:val="Emphasis"/>
          <w:rFonts w:eastAsia="Times New Roman"/>
          <w:b w:val="0"/>
        </w:rPr>
        <w:t xml:space="preserve"> Infect Dis J</w:t>
      </w:r>
      <w:r>
        <w:rPr>
          <w:rFonts w:eastAsia="Times New Roman"/>
        </w:rPr>
        <w:t xml:space="preserve"> 2004;23:287-294.</w:t>
      </w:r>
    </w:p>
    <w:p w14:paraId="0573A790"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Therapeutic Goods Administration. Database of Adverse Event Notifications. Accessed on 26 March 2013. Available from: http://www.tga.gov.au/safety/daen.htm </w:t>
      </w:r>
    </w:p>
    <w:p w14:paraId="40EFF70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Dey A, Wang H, Quinn H, Cook J, Macartney K. Surveillance of adverse events following immunisation in Australia annual report, 2015. </w:t>
      </w:r>
      <w:r w:rsidRPr="00211F47">
        <w:rPr>
          <w:rStyle w:val="Emphasis"/>
          <w:rFonts w:eastAsia="Times New Roman"/>
          <w:b w:val="0"/>
        </w:rPr>
        <w:t>Communicable Diseases Intelligence In press</w:t>
      </w:r>
      <w:r>
        <w:rPr>
          <w:rFonts w:eastAsia="Times New Roman"/>
        </w:rPr>
        <w:t xml:space="preserve"> 2017.</w:t>
      </w:r>
    </w:p>
    <w:p w14:paraId="50E5D9A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Simon LS. Pharmacovigilance: towards a better understanding of the benefit to risk ratio. </w:t>
      </w:r>
      <w:r w:rsidRPr="00211F47">
        <w:rPr>
          <w:rStyle w:val="Emphasis"/>
          <w:rFonts w:eastAsia="Times New Roman"/>
          <w:b w:val="0"/>
        </w:rPr>
        <w:t>Ann Rheum Dis</w:t>
      </w:r>
      <w:r>
        <w:rPr>
          <w:rFonts w:eastAsia="Times New Roman"/>
        </w:rPr>
        <w:t xml:space="preserve"> 2002;61(Suppl II):ii88-89.</w:t>
      </w:r>
    </w:p>
    <w:p w14:paraId="1CDCE33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Reisinger KS, Block SL, </w:t>
      </w:r>
      <w:proofErr w:type="spellStart"/>
      <w:r>
        <w:rPr>
          <w:rFonts w:eastAsia="Times New Roman"/>
        </w:rPr>
        <w:t>Lazcano</w:t>
      </w:r>
      <w:proofErr w:type="spellEnd"/>
      <w:r>
        <w:rPr>
          <w:rFonts w:eastAsia="Times New Roman"/>
        </w:rPr>
        <w:t xml:space="preserve">-Ponce E, </w:t>
      </w:r>
      <w:proofErr w:type="spellStart"/>
      <w:r>
        <w:rPr>
          <w:rFonts w:eastAsia="Times New Roman"/>
        </w:rPr>
        <w:t>Samakoses</w:t>
      </w:r>
      <w:proofErr w:type="spellEnd"/>
      <w:r>
        <w:rPr>
          <w:rFonts w:eastAsia="Times New Roman"/>
        </w:rPr>
        <w:t xml:space="preserve"> R, </w:t>
      </w:r>
      <w:proofErr w:type="spellStart"/>
      <w:r>
        <w:rPr>
          <w:rFonts w:eastAsia="Times New Roman"/>
        </w:rPr>
        <w:t>Esser</w:t>
      </w:r>
      <w:proofErr w:type="spellEnd"/>
      <w:r>
        <w:rPr>
          <w:rFonts w:eastAsia="Times New Roman"/>
        </w:rPr>
        <w:t xml:space="preserve"> MT, Erick J, et al. Safety and persistent immunogenicity of a quadrivalent human papillomavirus types 6, 11, 16, 18 L1 virus-like particle vaccine in preadolescents and adolescents: a randomized controlled trial. </w:t>
      </w:r>
      <w:proofErr w:type="spellStart"/>
      <w:r w:rsidRPr="00211F47">
        <w:rPr>
          <w:rStyle w:val="Emphasis"/>
          <w:rFonts w:eastAsia="Times New Roman"/>
          <w:b w:val="0"/>
        </w:rPr>
        <w:t>Pediatr</w:t>
      </w:r>
      <w:proofErr w:type="spellEnd"/>
      <w:r w:rsidRPr="00211F47">
        <w:rPr>
          <w:rStyle w:val="Emphasis"/>
          <w:rFonts w:eastAsia="Times New Roman"/>
          <w:b w:val="0"/>
        </w:rPr>
        <w:t xml:space="preserve"> Infect Dis J</w:t>
      </w:r>
      <w:r>
        <w:rPr>
          <w:rFonts w:eastAsia="Times New Roman"/>
        </w:rPr>
        <w:t xml:space="preserve"> 2007;26:201-209.</w:t>
      </w:r>
    </w:p>
    <w:p w14:paraId="6106A51A"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NSW Health. Mothers and </w:t>
      </w:r>
      <w:proofErr w:type="gramStart"/>
      <w:r>
        <w:rPr>
          <w:rFonts w:eastAsia="Times New Roman"/>
        </w:rPr>
        <w:t>babies</w:t>
      </w:r>
      <w:proofErr w:type="gramEnd"/>
      <w:r>
        <w:rPr>
          <w:rFonts w:eastAsia="Times New Roman"/>
        </w:rPr>
        <w:t xml:space="preserve"> reports. Accessed on 20 July 2018. Available from: http://www.health.nsw.gov.au/hsnsw/Pages/mothers-and-babies-reports.aspx</w:t>
      </w:r>
    </w:p>
    <w:p w14:paraId="56F8BFA5"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Mahajan D, Dey A, Cook J, Harvey B, Menzies R, Macartney K. Surveillance of adverse events following immunisation in Australia annual report, 2012. </w:t>
      </w:r>
      <w:r w:rsidRPr="00211F47">
        <w:rPr>
          <w:rStyle w:val="Emphasis"/>
          <w:rFonts w:eastAsia="Times New Roman"/>
          <w:b w:val="0"/>
        </w:rPr>
        <w:t>Commun Dis Intell</w:t>
      </w:r>
      <w:r>
        <w:rPr>
          <w:rFonts w:eastAsia="Times New Roman"/>
        </w:rPr>
        <w:t xml:space="preserve"> 2014;38:E232– E246.</w:t>
      </w:r>
    </w:p>
    <w:p w14:paraId="1FDCF7AF" w14:textId="77777777" w:rsidR="00AE0FE0" w:rsidRDefault="00AE0FE0" w:rsidP="00AE0FE0">
      <w:pPr>
        <w:numPr>
          <w:ilvl w:val="0"/>
          <w:numId w:val="8"/>
        </w:numPr>
        <w:spacing w:before="100" w:beforeAutospacing="1" w:after="100" w:afterAutospacing="1" w:line="240" w:lineRule="auto"/>
        <w:rPr>
          <w:rFonts w:eastAsia="Times New Roman"/>
        </w:rPr>
      </w:pPr>
      <w:r>
        <w:rPr>
          <w:rFonts w:eastAsia="Times New Roman"/>
        </w:rPr>
        <w:t xml:space="preserve">National Centre for Immunisation Research and Surveillance. </w:t>
      </w:r>
      <w:proofErr w:type="spellStart"/>
      <w:r>
        <w:rPr>
          <w:rFonts w:eastAsia="Times New Roman"/>
        </w:rPr>
        <w:t>AusVaxSafety</w:t>
      </w:r>
      <w:proofErr w:type="spellEnd"/>
      <w:r>
        <w:rPr>
          <w:rFonts w:eastAsia="Times New Roman"/>
        </w:rPr>
        <w:t xml:space="preserve">. Accessed on 20 September 2017. Available from: http://www.ncirs.edu.au/vaccine-safety/ausvaxsafety/ </w:t>
      </w:r>
    </w:p>
    <w:tbl>
      <w:tblPr>
        <w:tblStyle w:val="CDI-StandardTable"/>
        <w:tblW w:w="0" w:type="auto"/>
        <w:tblLook w:val="04A0" w:firstRow="1" w:lastRow="0" w:firstColumn="1" w:lastColumn="0" w:noHBand="0" w:noVBand="1"/>
        <w:tblCaption w:val="Table: Abbreviations of vaccine types "/>
        <w:tblDescription w:val="Abbreviations of vaccine types "/>
      </w:tblPr>
      <w:tblGrid>
        <w:gridCol w:w="2461"/>
        <w:gridCol w:w="8289"/>
      </w:tblGrid>
      <w:tr w:rsidR="00AE0FE0" w14:paraId="04B61005" w14:textId="77777777" w:rsidTr="00F747D5">
        <w:trPr>
          <w:cnfStyle w:val="100000000000" w:firstRow="1" w:lastRow="0" w:firstColumn="0" w:lastColumn="0" w:oddVBand="0" w:evenVBand="0" w:oddHBand="0" w:evenHBand="0" w:firstRowFirstColumn="0" w:firstRowLastColumn="0" w:lastRowFirstColumn="0" w:lastRowLastColumn="0"/>
          <w:tblHeader/>
        </w:trPr>
        <w:tc>
          <w:tcPr>
            <w:tcW w:w="0" w:type="auto"/>
            <w:tcMar>
              <w:top w:w="142" w:type="dxa"/>
              <w:left w:w="142" w:type="dxa"/>
              <w:bottom w:w="142" w:type="dxa"/>
              <w:right w:w="142" w:type="dxa"/>
            </w:tcMar>
            <w:hideMark/>
          </w:tcPr>
          <w:p w14:paraId="7B16A6C6" w14:textId="77777777" w:rsidR="00AE0FE0" w:rsidRPr="00802F13" w:rsidRDefault="00AE0FE0">
            <w:pPr>
              <w:pStyle w:val="NormalWeb"/>
              <w:rPr>
                <w:color w:val="FFFFFF" w:themeColor="background1"/>
              </w:rPr>
            </w:pPr>
            <w:r w:rsidRPr="00802F13">
              <w:rPr>
                <w:color w:val="FFFFFF" w:themeColor="background1"/>
              </w:rPr>
              <w:t xml:space="preserve">Abbreviations of vaccine types </w:t>
            </w:r>
          </w:p>
        </w:tc>
        <w:tc>
          <w:tcPr>
            <w:tcW w:w="0" w:type="auto"/>
            <w:tcMar>
              <w:top w:w="142" w:type="dxa"/>
              <w:left w:w="142" w:type="dxa"/>
              <w:bottom w:w="142" w:type="dxa"/>
              <w:right w:w="142" w:type="dxa"/>
            </w:tcMar>
            <w:hideMark/>
          </w:tcPr>
          <w:p w14:paraId="2F08EE98" w14:textId="77777777" w:rsidR="00AE0FE0" w:rsidRDefault="00AE0FE0">
            <w:pPr>
              <w:rPr>
                <w:rFonts w:eastAsia="Times New Roman"/>
                <w:sz w:val="24"/>
                <w:szCs w:val="24"/>
              </w:rPr>
            </w:pPr>
          </w:p>
        </w:tc>
      </w:tr>
      <w:tr w:rsidR="00AE0FE0" w14:paraId="2F16F3D6"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7913847" w14:textId="77777777" w:rsidR="00AE0FE0" w:rsidRDefault="00AE0FE0">
            <w:pPr>
              <w:pStyle w:val="NormalWeb"/>
            </w:pPr>
            <w:r>
              <w:t>BCG</w:t>
            </w:r>
          </w:p>
        </w:tc>
        <w:tc>
          <w:tcPr>
            <w:tcW w:w="0" w:type="auto"/>
            <w:tcMar>
              <w:top w:w="142" w:type="dxa"/>
              <w:left w:w="142" w:type="dxa"/>
              <w:bottom w:w="142" w:type="dxa"/>
              <w:right w:w="142" w:type="dxa"/>
            </w:tcMar>
            <w:hideMark/>
          </w:tcPr>
          <w:p w14:paraId="7928D8ED" w14:textId="77777777" w:rsidR="00AE0FE0" w:rsidRDefault="00AE0FE0">
            <w:pPr>
              <w:pStyle w:val="NormalWeb"/>
            </w:pPr>
            <w:r>
              <w:t>Bacille Calmette-Guérin (i.e. tuberculosis)</w:t>
            </w:r>
          </w:p>
        </w:tc>
      </w:tr>
      <w:tr w:rsidR="00AE0FE0" w14:paraId="2E10BDF9"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E951669" w14:textId="77777777" w:rsidR="00AE0FE0" w:rsidRDefault="00AE0FE0">
            <w:pPr>
              <w:pStyle w:val="NormalWeb"/>
            </w:pPr>
            <w:r>
              <w:t>dT</w:t>
            </w:r>
          </w:p>
        </w:tc>
        <w:tc>
          <w:tcPr>
            <w:tcW w:w="0" w:type="auto"/>
            <w:tcMar>
              <w:top w:w="142" w:type="dxa"/>
              <w:left w:w="142" w:type="dxa"/>
              <w:bottom w:w="142" w:type="dxa"/>
              <w:right w:w="142" w:type="dxa"/>
            </w:tcMar>
            <w:hideMark/>
          </w:tcPr>
          <w:p w14:paraId="5889806D" w14:textId="77777777" w:rsidR="00AE0FE0" w:rsidRDefault="00AE0FE0">
            <w:pPr>
              <w:pStyle w:val="NormalWeb"/>
            </w:pPr>
            <w:r>
              <w:t>diphtheria-tetanus – adolescent and adult formulation</w:t>
            </w:r>
          </w:p>
        </w:tc>
      </w:tr>
      <w:tr w:rsidR="00AE0FE0" w14:paraId="1EB4F020"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354D445"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78603A99" w14:textId="77777777" w:rsidR="00AE0FE0" w:rsidRDefault="00AE0FE0">
            <w:pPr>
              <w:pStyle w:val="NormalWeb"/>
            </w:pPr>
            <w:r>
              <w:t>diphtheria-tetanus-pertussis (acellular) – paediatric formulation</w:t>
            </w:r>
          </w:p>
        </w:tc>
      </w:tr>
      <w:tr w:rsidR="00AE0FE0" w14:paraId="41759BEE"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1E6CCEDF" w14:textId="77777777" w:rsidR="00AE0FE0" w:rsidRDefault="00AE0FE0">
            <w:pPr>
              <w:pStyle w:val="NormalWeb"/>
            </w:pPr>
            <w:proofErr w:type="spellStart"/>
            <w:r>
              <w:t>dTpa</w:t>
            </w:r>
            <w:proofErr w:type="spellEnd"/>
          </w:p>
        </w:tc>
        <w:tc>
          <w:tcPr>
            <w:tcW w:w="0" w:type="auto"/>
            <w:tcMar>
              <w:top w:w="142" w:type="dxa"/>
              <w:left w:w="142" w:type="dxa"/>
              <w:bottom w:w="142" w:type="dxa"/>
              <w:right w:w="142" w:type="dxa"/>
            </w:tcMar>
            <w:hideMark/>
          </w:tcPr>
          <w:p w14:paraId="4F491348" w14:textId="77777777" w:rsidR="00AE0FE0" w:rsidRDefault="00AE0FE0">
            <w:pPr>
              <w:pStyle w:val="NormalWeb"/>
            </w:pPr>
            <w:r>
              <w:t>diphtheria-tetanus-pertussis (acellular) – adolescent and adult formulation</w:t>
            </w:r>
          </w:p>
        </w:tc>
      </w:tr>
      <w:tr w:rsidR="00AE0FE0" w14:paraId="5F9BF867"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57EBCD14" w14:textId="77777777" w:rsidR="00AE0FE0" w:rsidRDefault="00AE0FE0">
            <w:pPr>
              <w:pStyle w:val="NormalWeb"/>
            </w:pPr>
            <w:proofErr w:type="spellStart"/>
            <w:r>
              <w:t>DTPa</w:t>
            </w:r>
            <w:proofErr w:type="spellEnd"/>
            <w:r>
              <w:t>-IPV</w:t>
            </w:r>
          </w:p>
        </w:tc>
        <w:tc>
          <w:tcPr>
            <w:tcW w:w="0" w:type="auto"/>
            <w:tcMar>
              <w:top w:w="142" w:type="dxa"/>
              <w:left w:w="142" w:type="dxa"/>
              <w:bottom w:w="142" w:type="dxa"/>
              <w:right w:w="142" w:type="dxa"/>
            </w:tcMar>
            <w:hideMark/>
          </w:tcPr>
          <w:p w14:paraId="0C276D62" w14:textId="77777777" w:rsidR="00AE0FE0" w:rsidRDefault="00AE0FE0">
            <w:pPr>
              <w:pStyle w:val="NormalWeb"/>
            </w:pPr>
            <w:r>
              <w:t>combined diphtheria-tetanus-pertussis (acellular) and inactivated poliovirus (quadrivalent)</w:t>
            </w:r>
          </w:p>
        </w:tc>
      </w:tr>
      <w:tr w:rsidR="00AE0FE0" w14:paraId="24096E0F"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7D958345" w14:textId="77777777" w:rsidR="00AE0FE0" w:rsidRDefault="00AE0FE0">
            <w:pPr>
              <w:pStyle w:val="NormalWeb"/>
            </w:pPr>
            <w:proofErr w:type="spellStart"/>
            <w:r>
              <w:t>DTPa</w:t>
            </w:r>
            <w:proofErr w:type="spellEnd"/>
            <w:r>
              <w:t>-IPV-</w:t>
            </w:r>
            <w:proofErr w:type="spellStart"/>
            <w:r>
              <w:t>HepB</w:t>
            </w:r>
            <w:proofErr w:type="spellEnd"/>
            <w:r>
              <w:t>-Hib</w:t>
            </w:r>
          </w:p>
        </w:tc>
        <w:tc>
          <w:tcPr>
            <w:tcW w:w="0" w:type="auto"/>
            <w:tcMar>
              <w:top w:w="142" w:type="dxa"/>
              <w:left w:w="142" w:type="dxa"/>
              <w:bottom w:w="142" w:type="dxa"/>
              <w:right w:w="142" w:type="dxa"/>
            </w:tcMar>
            <w:hideMark/>
          </w:tcPr>
          <w:p w14:paraId="6BD9F7EF" w14:textId="77777777" w:rsidR="00AE0FE0" w:rsidRDefault="00AE0FE0">
            <w:pPr>
              <w:pStyle w:val="NormalWeb"/>
            </w:pPr>
            <w:r>
              <w:t>combined diphtheria-tetanus-pertussis (acellular), inactivated poliovirus, hepatitis B and Haemophilus influenzae type b vaccine (hexavalent)</w:t>
            </w:r>
          </w:p>
        </w:tc>
      </w:tr>
      <w:tr w:rsidR="00AE0FE0" w14:paraId="04908886"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8CFEE06" w14:textId="77777777" w:rsidR="00AE0FE0" w:rsidRDefault="00AE0FE0">
            <w:pPr>
              <w:pStyle w:val="NormalWeb"/>
            </w:pPr>
            <w:proofErr w:type="spellStart"/>
            <w:r>
              <w:t>HepB</w:t>
            </w:r>
            <w:proofErr w:type="spellEnd"/>
          </w:p>
        </w:tc>
        <w:tc>
          <w:tcPr>
            <w:tcW w:w="0" w:type="auto"/>
            <w:tcMar>
              <w:top w:w="142" w:type="dxa"/>
              <w:left w:w="142" w:type="dxa"/>
              <w:bottom w:w="142" w:type="dxa"/>
              <w:right w:w="142" w:type="dxa"/>
            </w:tcMar>
            <w:hideMark/>
          </w:tcPr>
          <w:p w14:paraId="7BEB14F9" w14:textId="77777777" w:rsidR="00AE0FE0" w:rsidRDefault="00AE0FE0">
            <w:pPr>
              <w:pStyle w:val="NormalWeb"/>
            </w:pPr>
            <w:r>
              <w:t>hepatitis B</w:t>
            </w:r>
          </w:p>
        </w:tc>
      </w:tr>
      <w:tr w:rsidR="00AE0FE0" w14:paraId="2C6AD3F2"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7D23E18" w14:textId="77777777" w:rsidR="00AE0FE0" w:rsidRDefault="00AE0FE0">
            <w:pPr>
              <w:pStyle w:val="NormalWeb"/>
            </w:pPr>
            <w:r>
              <w:t>Hib</w:t>
            </w:r>
          </w:p>
        </w:tc>
        <w:tc>
          <w:tcPr>
            <w:tcW w:w="0" w:type="auto"/>
            <w:tcMar>
              <w:top w:w="142" w:type="dxa"/>
              <w:left w:w="142" w:type="dxa"/>
              <w:bottom w:w="142" w:type="dxa"/>
              <w:right w:w="142" w:type="dxa"/>
            </w:tcMar>
            <w:hideMark/>
          </w:tcPr>
          <w:p w14:paraId="17A4E827" w14:textId="77777777" w:rsidR="00AE0FE0" w:rsidRDefault="00AE0FE0">
            <w:pPr>
              <w:pStyle w:val="NormalWeb"/>
            </w:pPr>
            <w:r>
              <w:t>Haemophilus influenzae type b</w:t>
            </w:r>
          </w:p>
        </w:tc>
      </w:tr>
      <w:tr w:rsidR="00AE0FE0" w14:paraId="63CC86A2"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1951B219" w14:textId="77777777" w:rsidR="00AE0FE0" w:rsidRDefault="00AE0FE0">
            <w:pPr>
              <w:pStyle w:val="NormalWeb"/>
            </w:pPr>
            <w:r>
              <w:t>Hib-</w:t>
            </w:r>
            <w:proofErr w:type="spellStart"/>
            <w:r>
              <w:t>HepB</w:t>
            </w:r>
            <w:proofErr w:type="spellEnd"/>
          </w:p>
        </w:tc>
        <w:tc>
          <w:tcPr>
            <w:tcW w:w="0" w:type="auto"/>
            <w:tcMar>
              <w:top w:w="142" w:type="dxa"/>
              <w:left w:w="142" w:type="dxa"/>
              <w:bottom w:w="142" w:type="dxa"/>
              <w:right w:w="142" w:type="dxa"/>
            </w:tcMar>
            <w:hideMark/>
          </w:tcPr>
          <w:p w14:paraId="6E2A31FC" w14:textId="77777777" w:rsidR="00AE0FE0" w:rsidRDefault="00AE0FE0">
            <w:pPr>
              <w:pStyle w:val="NormalWeb"/>
            </w:pPr>
            <w:r>
              <w:t>combined Haemophilus influenzae type b and hepatitis B</w:t>
            </w:r>
          </w:p>
        </w:tc>
      </w:tr>
      <w:tr w:rsidR="00AE0FE0" w14:paraId="2B43C3FA"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855D8E2" w14:textId="77777777" w:rsidR="00AE0FE0" w:rsidRDefault="00AE0FE0">
            <w:pPr>
              <w:pStyle w:val="NormalWeb"/>
            </w:pPr>
            <w:r>
              <w:t>Hib-</w:t>
            </w:r>
            <w:proofErr w:type="spellStart"/>
            <w:r>
              <w:t>MenC</w:t>
            </w:r>
            <w:proofErr w:type="spellEnd"/>
          </w:p>
        </w:tc>
        <w:tc>
          <w:tcPr>
            <w:tcW w:w="0" w:type="auto"/>
            <w:tcMar>
              <w:top w:w="142" w:type="dxa"/>
              <w:left w:w="142" w:type="dxa"/>
              <w:bottom w:w="142" w:type="dxa"/>
              <w:right w:w="142" w:type="dxa"/>
            </w:tcMar>
            <w:hideMark/>
          </w:tcPr>
          <w:p w14:paraId="506E1C62" w14:textId="77777777" w:rsidR="00AE0FE0" w:rsidRDefault="00AE0FE0">
            <w:pPr>
              <w:pStyle w:val="NormalWeb"/>
            </w:pPr>
            <w:r>
              <w:t>combined Haemophilus influenzae type b and meningococcal C conjugate vaccine</w:t>
            </w:r>
          </w:p>
        </w:tc>
      </w:tr>
      <w:tr w:rsidR="00AE0FE0" w14:paraId="6C37D624"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1C228A2" w14:textId="77777777" w:rsidR="00AE0FE0" w:rsidRDefault="00AE0FE0">
            <w:pPr>
              <w:pStyle w:val="NormalWeb"/>
            </w:pPr>
            <w:r>
              <w:t>HPV</w:t>
            </w:r>
          </w:p>
        </w:tc>
        <w:tc>
          <w:tcPr>
            <w:tcW w:w="0" w:type="auto"/>
            <w:tcMar>
              <w:top w:w="142" w:type="dxa"/>
              <w:left w:w="142" w:type="dxa"/>
              <w:bottom w:w="142" w:type="dxa"/>
              <w:right w:w="142" w:type="dxa"/>
            </w:tcMar>
            <w:hideMark/>
          </w:tcPr>
          <w:p w14:paraId="709DAE62" w14:textId="77777777" w:rsidR="00AE0FE0" w:rsidRDefault="00AE0FE0">
            <w:pPr>
              <w:pStyle w:val="NormalWeb"/>
            </w:pPr>
            <w:r>
              <w:t>human papillomavirus</w:t>
            </w:r>
          </w:p>
        </w:tc>
      </w:tr>
      <w:tr w:rsidR="00AE0FE0" w14:paraId="5AD9E1E5"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351F1CB0" w14:textId="77777777" w:rsidR="00AE0FE0" w:rsidRDefault="00AE0FE0">
            <w:pPr>
              <w:pStyle w:val="NormalWeb"/>
            </w:pPr>
            <w:proofErr w:type="spellStart"/>
            <w:r>
              <w:t>MenB</w:t>
            </w:r>
            <w:proofErr w:type="spellEnd"/>
          </w:p>
        </w:tc>
        <w:tc>
          <w:tcPr>
            <w:tcW w:w="0" w:type="auto"/>
            <w:tcMar>
              <w:top w:w="142" w:type="dxa"/>
              <w:left w:w="142" w:type="dxa"/>
              <w:bottom w:w="142" w:type="dxa"/>
              <w:right w:w="142" w:type="dxa"/>
            </w:tcMar>
            <w:hideMark/>
          </w:tcPr>
          <w:p w14:paraId="059C5E4A" w14:textId="77777777" w:rsidR="00AE0FE0" w:rsidRDefault="00AE0FE0">
            <w:pPr>
              <w:pStyle w:val="NormalWeb"/>
            </w:pPr>
            <w:r>
              <w:t>meningococcal B vaccine</w:t>
            </w:r>
          </w:p>
        </w:tc>
      </w:tr>
      <w:tr w:rsidR="00AE0FE0" w14:paraId="4F825643"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73BC040D" w14:textId="77777777" w:rsidR="00AE0FE0" w:rsidRDefault="00AE0FE0">
            <w:pPr>
              <w:pStyle w:val="NormalWeb"/>
            </w:pPr>
            <w:proofErr w:type="spellStart"/>
            <w:r>
              <w:lastRenderedPageBreak/>
              <w:t>MenCCV</w:t>
            </w:r>
            <w:proofErr w:type="spellEnd"/>
          </w:p>
        </w:tc>
        <w:tc>
          <w:tcPr>
            <w:tcW w:w="0" w:type="auto"/>
            <w:tcMar>
              <w:top w:w="142" w:type="dxa"/>
              <w:left w:w="142" w:type="dxa"/>
              <w:bottom w:w="142" w:type="dxa"/>
              <w:right w:w="142" w:type="dxa"/>
            </w:tcMar>
            <w:hideMark/>
          </w:tcPr>
          <w:p w14:paraId="0EF45C37" w14:textId="77777777" w:rsidR="00AE0FE0" w:rsidRDefault="00AE0FE0">
            <w:pPr>
              <w:pStyle w:val="NormalWeb"/>
            </w:pPr>
            <w:r>
              <w:t>meningococcal C conjugate vaccine</w:t>
            </w:r>
          </w:p>
        </w:tc>
      </w:tr>
      <w:tr w:rsidR="00AE0FE0" w14:paraId="038D636C"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56342F97" w14:textId="77777777" w:rsidR="00AE0FE0" w:rsidRDefault="00AE0FE0">
            <w:pPr>
              <w:pStyle w:val="NormalWeb"/>
            </w:pPr>
            <w:r>
              <w:t>MMR</w:t>
            </w:r>
          </w:p>
        </w:tc>
        <w:tc>
          <w:tcPr>
            <w:tcW w:w="0" w:type="auto"/>
            <w:tcMar>
              <w:top w:w="142" w:type="dxa"/>
              <w:left w:w="142" w:type="dxa"/>
              <w:bottom w:w="142" w:type="dxa"/>
              <w:right w:w="142" w:type="dxa"/>
            </w:tcMar>
            <w:hideMark/>
          </w:tcPr>
          <w:p w14:paraId="2B12993C" w14:textId="77777777" w:rsidR="00AE0FE0" w:rsidRDefault="00AE0FE0">
            <w:pPr>
              <w:pStyle w:val="NormalWeb"/>
            </w:pPr>
            <w:r>
              <w:t>measles-mumps-rubella</w:t>
            </w:r>
          </w:p>
        </w:tc>
      </w:tr>
      <w:tr w:rsidR="00AE0FE0" w14:paraId="7D7E29D7"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22BEACB" w14:textId="77777777" w:rsidR="00AE0FE0" w:rsidRDefault="00AE0FE0">
            <w:pPr>
              <w:pStyle w:val="NormalWeb"/>
            </w:pPr>
            <w:r>
              <w:t>MMRV</w:t>
            </w:r>
          </w:p>
        </w:tc>
        <w:tc>
          <w:tcPr>
            <w:tcW w:w="0" w:type="auto"/>
            <w:tcMar>
              <w:top w:w="142" w:type="dxa"/>
              <w:left w:w="142" w:type="dxa"/>
              <w:bottom w:w="142" w:type="dxa"/>
              <w:right w:w="142" w:type="dxa"/>
            </w:tcMar>
            <w:hideMark/>
          </w:tcPr>
          <w:p w14:paraId="49DB4F4D" w14:textId="77777777" w:rsidR="00AE0FE0" w:rsidRDefault="00AE0FE0">
            <w:pPr>
              <w:pStyle w:val="NormalWeb"/>
            </w:pPr>
            <w:r>
              <w:t>measles-mumps-rubella-varicella</w:t>
            </w:r>
          </w:p>
        </w:tc>
      </w:tr>
      <w:tr w:rsidR="00AE0FE0" w14:paraId="1E9DC13E"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6C181A62" w14:textId="77777777" w:rsidR="00AE0FE0" w:rsidRDefault="00AE0FE0">
            <w:pPr>
              <w:pStyle w:val="NormalWeb"/>
            </w:pPr>
            <w:r>
              <w:t>pH1N1</w:t>
            </w:r>
          </w:p>
        </w:tc>
        <w:tc>
          <w:tcPr>
            <w:tcW w:w="0" w:type="auto"/>
            <w:tcMar>
              <w:top w:w="142" w:type="dxa"/>
              <w:left w:w="142" w:type="dxa"/>
              <w:bottom w:w="142" w:type="dxa"/>
              <w:right w:w="142" w:type="dxa"/>
            </w:tcMar>
            <w:hideMark/>
          </w:tcPr>
          <w:p w14:paraId="73B91669" w14:textId="77777777" w:rsidR="00AE0FE0" w:rsidRDefault="00AE0FE0">
            <w:pPr>
              <w:pStyle w:val="NormalWeb"/>
            </w:pPr>
            <w:r>
              <w:t>pandemic H1N1 influenza 2009</w:t>
            </w:r>
          </w:p>
        </w:tc>
      </w:tr>
      <w:tr w:rsidR="00AE0FE0" w14:paraId="09E5A3E3"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250B2E2F" w14:textId="77777777" w:rsidR="00AE0FE0" w:rsidRDefault="00AE0FE0">
            <w:pPr>
              <w:pStyle w:val="NormalWeb"/>
            </w:pPr>
            <w:r>
              <w:t>7vPCV</w:t>
            </w:r>
          </w:p>
        </w:tc>
        <w:tc>
          <w:tcPr>
            <w:tcW w:w="0" w:type="auto"/>
            <w:tcMar>
              <w:top w:w="142" w:type="dxa"/>
              <w:left w:w="142" w:type="dxa"/>
              <w:bottom w:w="142" w:type="dxa"/>
              <w:right w:w="142" w:type="dxa"/>
            </w:tcMar>
            <w:hideMark/>
          </w:tcPr>
          <w:p w14:paraId="38F77F91" w14:textId="77777777" w:rsidR="00AE0FE0" w:rsidRDefault="00AE0FE0">
            <w:pPr>
              <w:pStyle w:val="NormalWeb"/>
            </w:pPr>
            <w:r>
              <w:t>7-valent pneumococcal conjugate vaccine</w:t>
            </w:r>
          </w:p>
        </w:tc>
      </w:tr>
      <w:tr w:rsidR="00AE0FE0" w14:paraId="10BADC0F" w14:textId="77777777" w:rsidTr="00F747D5">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Mar>
              <w:top w:w="142" w:type="dxa"/>
              <w:left w:w="142" w:type="dxa"/>
              <w:bottom w:w="142" w:type="dxa"/>
              <w:right w:w="142" w:type="dxa"/>
            </w:tcMar>
            <w:hideMark/>
          </w:tcPr>
          <w:p w14:paraId="49CCF682" w14:textId="77777777" w:rsidR="00AE0FE0" w:rsidRDefault="00AE0FE0">
            <w:pPr>
              <w:pStyle w:val="NormalWeb"/>
            </w:pPr>
            <w:r>
              <w:t>13vPCV</w:t>
            </w:r>
          </w:p>
        </w:tc>
        <w:tc>
          <w:tcPr>
            <w:tcW w:w="0" w:type="auto"/>
            <w:tcMar>
              <w:top w:w="142" w:type="dxa"/>
              <w:left w:w="142" w:type="dxa"/>
              <w:bottom w:w="142" w:type="dxa"/>
              <w:right w:w="142" w:type="dxa"/>
            </w:tcMar>
            <w:hideMark/>
          </w:tcPr>
          <w:p w14:paraId="5719B829" w14:textId="77777777" w:rsidR="00AE0FE0" w:rsidRDefault="00AE0FE0">
            <w:pPr>
              <w:pStyle w:val="NormalWeb"/>
            </w:pPr>
            <w:r>
              <w:t>13-valent pneumococcal conjugate vaccine</w:t>
            </w:r>
          </w:p>
        </w:tc>
      </w:tr>
      <w:tr w:rsidR="00AE0FE0" w14:paraId="58B48BAB" w14:textId="77777777" w:rsidTr="00F747D5">
        <w:tblPrEx>
          <w:tblCellMar>
            <w:top w:w="0" w:type="dxa"/>
            <w:left w:w="108" w:type="dxa"/>
            <w:bottom w:w="0" w:type="dxa"/>
            <w:right w:w="108" w:type="dxa"/>
          </w:tblCellMar>
        </w:tblPrEx>
        <w:tc>
          <w:tcPr>
            <w:tcW w:w="0" w:type="auto"/>
            <w:tcMar>
              <w:top w:w="142" w:type="dxa"/>
              <w:left w:w="142" w:type="dxa"/>
              <w:bottom w:w="142" w:type="dxa"/>
              <w:right w:w="142" w:type="dxa"/>
            </w:tcMar>
            <w:hideMark/>
          </w:tcPr>
          <w:p w14:paraId="6B98D2C9" w14:textId="77777777" w:rsidR="00AE0FE0" w:rsidRDefault="00AE0FE0">
            <w:pPr>
              <w:pStyle w:val="NormalWeb"/>
            </w:pPr>
            <w:r>
              <w:t>23vPPV</w:t>
            </w:r>
          </w:p>
        </w:tc>
        <w:tc>
          <w:tcPr>
            <w:tcW w:w="0" w:type="auto"/>
            <w:tcMar>
              <w:top w:w="142" w:type="dxa"/>
              <w:left w:w="142" w:type="dxa"/>
              <w:bottom w:w="142" w:type="dxa"/>
              <w:right w:w="142" w:type="dxa"/>
            </w:tcMar>
            <w:hideMark/>
          </w:tcPr>
          <w:p w14:paraId="60DB50B8" w14:textId="77777777" w:rsidR="00AE0FE0" w:rsidRDefault="00AE0FE0">
            <w:pPr>
              <w:pStyle w:val="NormalWeb"/>
            </w:pPr>
            <w:r>
              <w:t>23-valent pneumococcal polysaccharide vaccine</w:t>
            </w:r>
          </w:p>
        </w:tc>
      </w:tr>
    </w:tbl>
    <w:p w14:paraId="215EFD62" w14:textId="77777777" w:rsidR="00C30BA9" w:rsidRPr="00A553F8" w:rsidRDefault="00C30BA9" w:rsidP="00444D2B">
      <w:pPr>
        <w:pStyle w:val="CDIfootnotes"/>
        <w:rPr>
          <w:rStyle w:val="Strong"/>
          <w:rFonts w:asciiTheme="majorHAnsi" w:eastAsia="Times New Roman" w:hAnsiTheme="majorHAnsi" w:cstheme="majorBidi"/>
          <w:sz w:val="28"/>
          <w:szCs w:val="28"/>
        </w:rPr>
      </w:pPr>
      <w:r>
        <w:rPr>
          <w:rStyle w:val="Strong"/>
        </w:rPr>
        <w:br w:type="page"/>
      </w:r>
    </w:p>
    <w:p w14:paraId="542B5F68" w14:textId="77777777" w:rsidR="007C56A1" w:rsidRDefault="007C56A1" w:rsidP="00731BC3">
      <w:pPr>
        <w:rPr>
          <w:rStyle w:val="A10"/>
        </w:rPr>
      </w:pPr>
      <w:r>
        <w:rPr>
          <w:rFonts w:cs="Myriad Pro"/>
          <w:noProof/>
          <w:color w:val="211D1E"/>
        </w:rPr>
        <w:lastRenderedPageBreak/>
        <w:drawing>
          <wp:inline distT="0" distB="0" distL="0" distR="0" wp14:anchorId="6E2992DD" wp14:editId="2F957188">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1EF80B93"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EB4D7C">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2CE0C45F"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45DA2C4E"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5DE2843A"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55F78162"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132B5E0D" w14:textId="77777777" w:rsidR="007C56A1" w:rsidRPr="00786329" w:rsidRDefault="007C56A1" w:rsidP="007C56A1">
      <w:pPr>
        <w:pBdr>
          <w:bottom w:val="single" w:sz="6" w:space="1" w:color="auto"/>
        </w:pBdr>
        <w:rPr>
          <w:rStyle w:val="A11"/>
          <w:sz w:val="20"/>
          <w:szCs w:val="20"/>
          <w:u w:val="none"/>
        </w:rPr>
      </w:pPr>
    </w:p>
    <w:p w14:paraId="01C3DD36"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520A14D7"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7CE6D19" w14:textId="77777777" w:rsidR="007C56A1" w:rsidRPr="0006264A" w:rsidRDefault="007C56A1" w:rsidP="007C56A1">
      <w:pPr>
        <w:pBdr>
          <w:bottom w:val="single" w:sz="6" w:space="1" w:color="auto"/>
        </w:pBdr>
        <w:rPr>
          <w:sz w:val="20"/>
          <w:szCs w:val="20"/>
        </w:rPr>
      </w:pPr>
    </w:p>
    <w:p w14:paraId="753C45A0"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2447FA65"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785DC47D"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064516">
      <w:footnotePr>
        <w:numFmt w:val="lowerRoman"/>
      </w:footnotePr>
      <w:pgSz w:w="11906" w:h="16838"/>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3BE6" w14:textId="77777777" w:rsidR="00D3545D" w:rsidRDefault="00D3545D" w:rsidP="00E54DBA">
      <w:r>
        <w:separator/>
      </w:r>
    </w:p>
    <w:p w14:paraId="3A53B681" w14:textId="77777777" w:rsidR="00D3545D" w:rsidRDefault="00D3545D"/>
    <w:p w14:paraId="388D456F" w14:textId="77777777" w:rsidR="00D3545D" w:rsidRDefault="00D3545D" w:rsidP="008714B0"/>
  </w:endnote>
  <w:endnote w:type="continuationSeparator" w:id="0">
    <w:p w14:paraId="04048AD0" w14:textId="77777777" w:rsidR="00D3545D" w:rsidRDefault="00D3545D" w:rsidP="00E54DBA">
      <w:r>
        <w:continuationSeparator/>
      </w:r>
    </w:p>
    <w:p w14:paraId="3D4DF773" w14:textId="77777777" w:rsidR="00D3545D" w:rsidRDefault="00D3545D"/>
    <w:p w14:paraId="731ABEDB" w14:textId="77777777" w:rsidR="00D3545D" w:rsidRDefault="00D3545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6A32" w14:textId="77777777" w:rsidR="00807296" w:rsidRDefault="00807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3921" w14:textId="5139D272" w:rsidR="00D3545D" w:rsidRPr="0042435E" w:rsidRDefault="00D3545D"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8436D">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8436D">
      <w:rPr>
        <w:noProof/>
        <w:sz w:val="18"/>
      </w:rPr>
      <w:t>26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00807296" w:rsidRPr="00807296">
      <w:rPr>
        <w:sz w:val="18"/>
      </w:rPr>
      <w:t>Commun Dis Intell (2018) 2018;42 https://doi.org/10.33321/cdi.2018.42.</w:t>
    </w:r>
    <w:r w:rsidR="00807296">
      <w:rPr>
        <w:sz w:val="18"/>
      </w:rPr>
      <w:t>9</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BA71" w14:textId="69255D8B" w:rsidR="00D3545D" w:rsidRPr="008209A7" w:rsidRDefault="00D3545D" w:rsidP="00551E29">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8436D">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8436D">
      <w:rPr>
        <w:noProof/>
        <w:sz w:val="18"/>
      </w:rPr>
      <w:t>1</w:t>
    </w:r>
    <w:r>
      <w:rPr>
        <w:noProof/>
        <w:sz w:val="18"/>
      </w:rPr>
      <w:fldChar w:fldCharType="end"/>
    </w:r>
    <w:r>
      <w:rPr>
        <w:noProof/>
        <w:sz w:val="18"/>
      </w:rPr>
      <w:t xml:space="preserve"> </w:t>
    </w:r>
    <w:r>
      <w:rPr>
        <w:noProof/>
        <w:sz w:val="18"/>
      </w:rPr>
      <w:ptab w:relativeTo="margin" w:alignment="center" w:leader="none"/>
    </w:r>
    <w:r w:rsidR="00807296" w:rsidRPr="00807296">
      <w:rPr>
        <w:sz w:val="18"/>
      </w:rPr>
      <w:t>Commun Dis Intell (2018) 2018;42 https://doi.org/10.33321/cdi.2018.42.</w:t>
    </w:r>
    <w:r w:rsidR="00807296">
      <w:rPr>
        <w:sz w:val="18"/>
      </w:rPr>
      <w:t>9</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1F0C" w14:textId="77777777" w:rsidR="00D3545D" w:rsidRDefault="00D3545D" w:rsidP="00E54DBA">
      <w:r>
        <w:separator/>
      </w:r>
    </w:p>
  </w:footnote>
  <w:footnote w:type="continuationSeparator" w:id="0">
    <w:p w14:paraId="1A0A61AB" w14:textId="77777777" w:rsidR="00D3545D" w:rsidRDefault="00D3545D" w:rsidP="008714B0">
      <w:r>
        <w:continuationSeparator/>
      </w:r>
    </w:p>
  </w:footnote>
  <w:footnote w:type="continuationNotice" w:id="1">
    <w:p w14:paraId="2535F776" w14:textId="77777777" w:rsidR="00D3545D" w:rsidRDefault="00D3545D">
      <w:pPr>
        <w:spacing w:after="0" w:line="240" w:lineRule="auto"/>
      </w:pPr>
    </w:p>
  </w:footnote>
  <w:footnote w:id="2">
    <w:p w14:paraId="01F16227" w14:textId="77777777" w:rsidR="00D3545D" w:rsidRPr="00932F3E" w:rsidRDefault="00D3545D" w:rsidP="00986551">
      <w:pPr>
        <w:pStyle w:val="FootnoteText"/>
      </w:pPr>
      <w:r>
        <w:rPr>
          <w:rStyle w:val="FootnoteReference"/>
        </w:rPr>
        <w:footnoteRef/>
      </w:r>
      <w:r>
        <w:t xml:space="preserve"> </w:t>
      </w:r>
      <w:r w:rsidRPr="00932F3E">
        <w:t xml:space="preserve">Diphtheria toxoid is available in Australia only in combination with tetanus, with or without other antigens such as pertussis, inactivated poliomyelitis, hepatitis B and Haemophilus influenzae type b. The acronym </w:t>
      </w:r>
      <w:proofErr w:type="spellStart"/>
      <w:r w:rsidRPr="00932F3E">
        <w:t>DTPa</w:t>
      </w:r>
      <w:proofErr w:type="spellEnd"/>
      <w:r w:rsidRPr="00932F3E">
        <w:t xml:space="preserve">, using capital letters, signifies child formulations of diphtheria, </w:t>
      </w:r>
      <w:proofErr w:type="gramStart"/>
      <w:r w:rsidRPr="00932F3E">
        <w:t>tetanus</w:t>
      </w:r>
      <w:proofErr w:type="gramEnd"/>
      <w:r w:rsidRPr="00932F3E">
        <w:t xml:space="preserve"> and acellular pertussis-containing vaccines. The acronym </w:t>
      </w:r>
      <w:proofErr w:type="spellStart"/>
      <w:r w:rsidRPr="00932F3E">
        <w:t>dTpa</w:t>
      </w:r>
      <w:proofErr w:type="spellEnd"/>
      <w:r w:rsidRPr="00932F3E">
        <w:t xml:space="preserve"> is used for formulations that contain substantially lesser amounts of diphtheria toxoid and pertussis antigens than child (</w:t>
      </w:r>
      <w:proofErr w:type="spellStart"/>
      <w:r w:rsidRPr="00932F3E">
        <w:t>DTPa</w:t>
      </w:r>
      <w:proofErr w:type="spellEnd"/>
      <w:r w:rsidRPr="00932F3E">
        <w:t xml:space="preserve">-containing) formulations; </w:t>
      </w:r>
      <w:proofErr w:type="spellStart"/>
      <w:r w:rsidRPr="00932F3E">
        <w:t>dTpa</w:t>
      </w:r>
      <w:proofErr w:type="spellEnd"/>
      <w:r w:rsidRPr="00932F3E">
        <w:t xml:space="preserve"> vaccines are usually used in adolescents and adults. Source: The Aust</w:t>
      </w:r>
      <w:r>
        <w:t>ralian Immunisation Handbook 10</w:t>
      </w:r>
      <w:r w:rsidRPr="00FE607B">
        <w:rPr>
          <w:vertAlign w:val="superscript"/>
        </w:rPr>
        <w:t>Th</w:t>
      </w:r>
      <w:r w:rsidRPr="00932F3E">
        <w:t xml:space="preserve"> Edition (http://www.immunise.health.gov.au/internet/immunise/publishing.nsf/Content/Handbook10-home~handbook10part4~handbook10-4-2)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FFF" w14:textId="77777777" w:rsidR="00807296" w:rsidRDefault="00807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F6EB" w14:textId="77777777" w:rsidR="00D3545D" w:rsidRDefault="00807296" w:rsidP="00252C9A">
    <w:pPr>
      <w:pStyle w:val="Header"/>
      <w:pBdr>
        <w:bottom w:val="single" w:sz="2" w:space="1" w:color="auto"/>
      </w:pBdr>
    </w:pPr>
    <w:sdt>
      <w:sdtPr>
        <w:alias w:val="Category"/>
        <w:tag w:val=""/>
        <w:id w:val="2068383924"/>
        <w:dataBinding w:prefixMappings="xmlns:ns0='http://purl.org/dc/elements/1.1/' xmlns:ns1='http://schemas.openxmlformats.org/package/2006/metadata/core-properties' " w:xpath="/ns1:coreProperties[1]/ns1:category[1]" w:storeItemID="{6C3C8BC8-F283-45AE-878A-BAB7291924A1}"/>
        <w:text/>
      </w:sdtPr>
      <w:sdtEndPr/>
      <w:sdtContent>
        <w:r w:rsidR="00D3545D">
          <w:t>Annual report</w:t>
        </w:r>
      </w:sdtContent>
    </w:sdt>
    <w:r w:rsidR="00D3545D">
      <w:ptab w:relativeTo="margin" w:alignment="right" w:leader="none"/>
    </w:r>
    <w:r w:rsidR="00D3545D"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79CF" w14:textId="77777777" w:rsidR="00807296" w:rsidRDefault="00807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14CC"/>
    <w:multiLevelType w:val="multilevel"/>
    <w:tmpl w:val="0008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459C6"/>
    <w:multiLevelType w:val="multilevel"/>
    <w:tmpl w:val="AB2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A130A"/>
    <w:multiLevelType w:val="hybridMultilevel"/>
    <w:tmpl w:val="44E44E44"/>
    <w:lvl w:ilvl="0" w:tplc="67B03904">
      <w:numFmt w:val="bullet"/>
      <w:lvlText w:val=""/>
      <w:lvlJc w:val="left"/>
      <w:pPr>
        <w:ind w:left="1080" w:hanging="360"/>
      </w:pPr>
      <w:rPr>
        <w:rFonts w:ascii="Symbol" w:eastAsia="Times New Roman"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D41DC3"/>
    <w:multiLevelType w:val="hybridMultilevel"/>
    <w:tmpl w:val="F80EB778"/>
    <w:lvl w:ilvl="0" w:tplc="67B03904">
      <w:numFmt w:val="bullet"/>
      <w:lvlText w:val=""/>
      <w:lvlJc w:val="left"/>
      <w:pPr>
        <w:ind w:left="1080" w:hanging="360"/>
      </w:pPr>
      <w:rPr>
        <w:rFonts w:ascii="Symbol" w:eastAsia="Times New Roman"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C1011B9"/>
    <w:multiLevelType w:val="hybridMultilevel"/>
    <w:tmpl w:val="964A3134"/>
    <w:lvl w:ilvl="0" w:tplc="67B0390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BC2500"/>
    <w:multiLevelType w:val="hybridMultilevel"/>
    <w:tmpl w:val="744AB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A4170"/>
    <w:multiLevelType w:val="multilevel"/>
    <w:tmpl w:val="2BD4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5308339">
    <w:abstractNumId w:val="2"/>
  </w:num>
  <w:num w:numId="2" w16cid:durableId="1076635855">
    <w:abstractNumId w:val="5"/>
  </w:num>
  <w:num w:numId="3" w16cid:durableId="1225482145">
    <w:abstractNumId w:val="6"/>
  </w:num>
  <w:num w:numId="4" w16cid:durableId="580262643">
    <w:abstractNumId w:val="1"/>
  </w:num>
  <w:num w:numId="5" w16cid:durableId="1712683586">
    <w:abstractNumId w:val="10"/>
  </w:num>
  <w:num w:numId="6" w16cid:durableId="844127811">
    <w:abstractNumId w:val="3"/>
  </w:num>
  <w:num w:numId="7" w16cid:durableId="1003704730">
    <w:abstractNumId w:val="0"/>
  </w:num>
  <w:num w:numId="8" w16cid:durableId="1650162467">
    <w:abstractNumId w:val="11"/>
  </w:num>
  <w:num w:numId="9" w16cid:durableId="818839042">
    <w:abstractNumId w:val="9"/>
  </w:num>
  <w:num w:numId="10" w16cid:durableId="1158956763">
    <w:abstractNumId w:val="8"/>
  </w:num>
  <w:num w:numId="11" w16cid:durableId="1287467856">
    <w:abstractNumId w:val="7"/>
  </w:num>
  <w:num w:numId="12" w16cid:durableId="139226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8433"/>
  </w:hdrShapeDefaults>
  <w:footnotePr>
    <w:numFmt w:val="lowerRoman"/>
    <w:footnote w:id="-1"/>
    <w:footnote w:id="0"/>
    <w:footnote w:id="1"/>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BB2393"/>
    <w:rsid w:val="00000B5B"/>
    <w:rsid w:val="00001611"/>
    <w:rsid w:val="00003A4E"/>
    <w:rsid w:val="000064E1"/>
    <w:rsid w:val="000104A8"/>
    <w:rsid w:val="0001246E"/>
    <w:rsid w:val="000124B1"/>
    <w:rsid w:val="00013F14"/>
    <w:rsid w:val="00015241"/>
    <w:rsid w:val="00016FE6"/>
    <w:rsid w:val="00025960"/>
    <w:rsid w:val="00031064"/>
    <w:rsid w:val="00032531"/>
    <w:rsid w:val="000471BF"/>
    <w:rsid w:val="00052600"/>
    <w:rsid w:val="00053FFD"/>
    <w:rsid w:val="0005643C"/>
    <w:rsid w:val="0006264A"/>
    <w:rsid w:val="00064516"/>
    <w:rsid w:val="00071612"/>
    <w:rsid w:val="00073D77"/>
    <w:rsid w:val="00081655"/>
    <w:rsid w:val="000864E0"/>
    <w:rsid w:val="000969B3"/>
    <w:rsid w:val="000B5E37"/>
    <w:rsid w:val="000D4B4D"/>
    <w:rsid w:val="000D6BEF"/>
    <w:rsid w:val="0011370B"/>
    <w:rsid w:val="00113D58"/>
    <w:rsid w:val="0015175C"/>
    <w:rsid w:val="00155582"/>
    <w:rsid w:val="00161590"/>
    <w:rsid w:val="00161C32"/>
    <w:rsid w:val="0016600D"/>
    <w:rsid w:val="00171C52"/>
    <w:rsid w:val="00171CC0"/>
    <w:rsid w:val="00175494"/>
    <w:rsid w:val="00175629"/>
    <w:rsid w:val="001830EC"/>
    <w:rsid w:val="00183534"/>
    <w:rsid w:val="001908D1"/>
    <w:rsid w:val="00192F36"/>
    <w:rsid w:val="00196897"/>
    <w:rsid w:val="001A26A3"/>
    <w:rsid w:val="001A4A96"/>
    <w:rsid w:val="001A5D05"/>
    <w:rsid w:val="001A796C"/>
    <w:rsid w:val="001B2614"/>
    <w:rsid w:val="001B37B8"/>
    <w:rsid w:val="001B4F09"/>
    <w:rsid w:val="001B552F"/>
    <w:rsid w:val="001C0893"/>
    <w:rsid w:val="001C1303"/>
    <w:rsid w:val="001C70B2"/>
    <w:rsid w:val="001D6888"/>
    <w:rsid w:val="001D7514"/>
    <w:rsid w:val="001E4DA1"/>
    <w:rsid w:val="001E4FD1"/>
    <w:rsid w:val="00211F47"/>
    <w:rsid w:val="002276DC"/>
    <w:rsid w:val="00227E00"/>
    <w:rsid w:val="002307CB"/>
    <w:rsid w:val="00231046"/>
    <w:rsid w:val="00242659"/>
    <w:rsid w:val="002428F7"/>
    <w:rsid w:val="0024315F"/>
    <w:rsid w:val="00252C9A"/>
    <w:rsid w:val="00256309"/>
    <w:rsid w:val="00257484"/>
    <w:rsid w:val="00260636"/>
    <w:rsid w:val="002705D9"/>
    <w:rsid w:val="002772BF"/>
    <w:rsid w:val="00280594"/>
    <w:rsid w:val="00281EE3"/>
    <w:rsid w:val="00284E4A"/>
    <w:rsid w:val="002A3799"/>
    <w:rsid w:val="002A3BCC"/>
    <w:rsid w:val="002A4516"/>
    <w:rsid w:val="002A569F"/>
    <w:rsid w:val="002A7066"/>
    <w:rsid w:val="002B001E"/>
    <w:rsid w:val="002B09B7"/>
    <w:rsid w:val="002B1423"/>
    <w:rsid w:val="002C21B0"/>
    <w:rsid w:val="002D43A4"/>
    <w:rsid w:val="002E2FB3"/>
    <w:rsid w:val="002F327B"/>
    <w:rsid w:val="002F5090"/>
    <w:rsid w:val="002F70FB"/>
    <w:rsid w:val="00300786"/>
    <w:rsid w:val="00300C47"/>
    <w:rsid w:val="00301626"/>
    <w:rsid w:val="00316CCD"/>
    <w:rsid w:val="00324F7E"/>
    <w:rsid w:val="003323BC"/>
    <w:rsid w:val="00334258"/>
    <w:rsid w:val="003423E1"/>
    <w:rsid w:val="00346D42"/>
    <w:rsid w:val="00346E11"/>
    <w:rsid w:val="003575ED"/>
    <w:rsid w:val="003601C0"/>
    <w:rsid w:val="003635F5"/>
    <w:rsid w:val="00372A88"/>
    <w:rsid w:val="00381A0F"/>
    <w:rsid w:val="00383EA5"/>
    <w:rsid w:val="003A1B3A"/>
    <w:rsid w:val="003A40F5"/>
    <w:rsid w:val="003A6918"/>
    <w:rsid w:val="003B401D"/>
    <w:rsid w:val="003B5B8C"/>
    <w:rsid w:val="003D7980"/>
    <w:rsid w:val="003E74EE"/>
    <w:rsid w:val="003F0552"/>
    <w:rsid w:val="003F3BC2"/>
    <w:rsid w:val="00401ED1"/>
    <w:rsid w:val="004129DC"/>
    <w:rsid w:val="00413EE1"/>
    <w:rsid w:val="00415F27"/>
    <w:rsid w:val="004164BB"/>
    <w:rsid w:val="00421ECE"/>
    <w:rsid w:val="0042435E"/>
    <w:rsid w:val="004315F5"/>
    <w:rsid w:val="00433456"/>
    <w:rsid w:val="00433DFA"/>
    <w:rsid w:val="00435D67"/>
    <w:rsid w:val="00444D2B"/>
    <w:rsid w:val="00446F32"/>
    <w:rsid w:val="00464A58"/>
    <w:rsid w:val="00473D2D"/>
    <w:rsid w:val="00483F5D"/>
    <w:rsid w:val="004A2125"/>
    <w:rsid w:val="004A38F6"/>
    <w:rsid w:val="004B4EB6"/>
    <w:rsid w:val="004C67C6"/>
    <w:rsid w:val="004F4AB9"/>
    <w:rsid w:val="00510EAC"/>
    <w:rsid w:val="00515846"/>
    <w:rsid w:val="00536F48"/>
    <w:rsid w:val="00542A57"/>
    <w:rsid w:val="005460A7"/>
    <w:rsid w:val="00551E29"/>
    <w:rsid w:val="005732C0"/>
    <w:rsid w:val="0057336D"/>
    <w:rsid w:val="0058540B"/>
    <w:rsid w:val="00587C87"/>
    <w:rsid w:val="00590B80"/>
    <w:rsid w:val="005B3134"/>
    <w:rsid w:val="005B4E61"/>
    <w:rsid w:val="005B595A"/>
    <w:rsid w:val="005B66C2"/>
    <w:rsid w:val="005D2465"/>
    <w:rsid w:val="005E4229"/>
    <w:rsid w:val="005E4FF5"/>
    <w:rsid w:val="005E540E"/>
    <w:rsid w:val="005E55FB"/>
    <w:rsid w:val="005F16BB"/>
    <w:rsid w:val="00600995"/>
    <w:rsid w:val="00607115"/>
    <w:rsid w:val="00613E82"/>
    <w:rsid w:val="00620768"/>
    <w:rsid w:val="0062594B"/>
    <w:rsid w:val="00631406"/>
    <w:rsid w:val="006324FF"/>
    <w:rsid w:val="006351D6"/>
    <w:rsid w:val="00636E0D"/>
    <w:rsid w:val="0064142F"/>
    <w:rsid w:val="00643CB4"/>
    <w:rsid w:val="006444C7"/>
    <w:rsid w:val="00660255"/>
    <w:rsid w:val="00676DD1"/>
    <w:rsid w:val="00694369"/>
    <w:rsid w:val="006971F3"/>
    <w:rsid w:val="00697B8F"/>
    <w:rsid w:val="006B4F48"/>
    <w:rsid w:val="006C00A9"/>
    <w:rsid w:val="006C74A3"/>
    <w:rsid w:val="006D1381"/>
    <w:rsid w:val="006D240E"/>
    <w:rsid w:val="006D31BC"/>
    <w:rsid w:val="006D4CED"/>
    <w:rsid w:val="006E1527"/>
    <w:rsid w:val="006E646E"/>
    <w:rsid w:val="006E7943"/>
    <w:rsid w:val="006F24EA"/>
    <w:rsid w:val="00704CA9"/>
    <w:rsid w:val="0071048D"/>
    <w:rsid w:val="00710F86"/>
    <w:rsid w:val="007111A8"/>
    <w:rsid w:val="00731BC3"/>
    <w:rsid w:val="00741192"/>
    <w:rsid w:val="00743A33"/>
    <w:rsid w:val="00746080"/>
    <w:rsid w:val="00750079"/>
    <w:rsid w:val="0075144A"/>
    <w:rsid w:val="00751C2F"/>
    <w:rsid w:val="00753EF8"/>
    <w:rsid w:val="0078436D"/>
    <w:rsid w:val="00784D9C"/>
    <w:rsid w:val="00786329"/>
    <w:rsid w:val="00792C7D"/>
    <w:rsid w:val="00793CB9"/>
    <w:rsid w:val="00794A4D"/>
    <w:rsid w:val="007A5234"/>
    <w:rsid w:val="007B0077"/>
    <w:rsid w:val="007B28D0"/>
    <w:rsid w:val="007B5763"/>
    <w:rsid w:val="007B7854"/>
    <w:rsid w:val="007C12ED"/>
    <w:rsid w:val="007C37E0"/>
    <w:rsid w:val="007C56A1"/>
    <w:rsid w:val="007C6454"/>
    <w:rsid w:val="007D573E"/>
    <w:rsid w:val="007E01E0"/>
    <w:rsid w:val="007F0B93"/>
    <w:rsid w:val="007F7D5B"/>
    <w:rsid w:val="00802F13"/>
    <w:rsid w:val="0080621A"/>
    <w:rsid w:val="00807296"/>
    <w:rsid w:val="00811708"/>
    <w:rsid w:val="00816B90"/>
    <w:rsid w:val="00817799"/>
    <w:rsid w:val="008205B6"/>
    <w:rsid w:val="008209A7"/>
    <w:rsid w:val="00822F5F"/>
    <w:rsid w:val="00824FD3"/>
    <w:rsid w:val="00826589"/>
    <w:rsid w:val="008322A5"/>
    <w:rsid w:val="00834BCC"/>
    <w:rsid w:val="00850D54"/>
    <w:rsid w:val="008576CD"/>
    <w:rsid w:val="008714B0"/>
    <w:rsid w:val="00880726"/>
    <w:rsid w:val="00883B96"/>
    <w:rsid w:val="008A3544"/>
    <w:rsid w:val="008B48B8"/>
    <w:rsid w:val="008B58F8"/>
    <w:rsid w:val="008C0712"/>
    <w:rsid w:val="008C0A4E"/>
    <w:rsid w:val="008C16CB"/>
    <w:rsid w:val="008C4520"/>
    <w:rsid w:val="008C5F09"/>
    <w:rsid w:val="008D3D95"/>
    <w:rsid w:val="008D470F"/>
    <w:rsid w:val="008E1F8F"/>
    <w:rsid w:val="008E4768"/>
    <w:rsid w:val="008E761E"/>
    <w:rsid w:val="008F1C01"/>
    <w:rsid w:val="008F77B3"/>
    <w:rsid w:val="0090068D"/>
    <w:rsid w:val="009008F5"/>
    <w:rsid w:val="00904CC1"/>
    <w:rsid w:val="009066AF"/>
    <w:rsid w:val="00912050"/>
    <w:rsid w:val="00912E48"/>
    <w:rsid w:val="0092746F"/>
    <w:rsid w:val="00932F3E"/>
    <w:rsid w:val="00935DC9"/>
    <w:rsid w:val="009446C0"/>
    <w:rsid w:val="009447FA"/>
    <w:rsid w:val="00946715"/>
    <w:rsid w:val="009525C9"/>
    <w:rsid w:val="0096082E"/>
    <w:rsid w:val="00967D73"/>
    <w:rsid w:val="0098119A"/>
    <w:rsid w:val="00984813"/>
    <w:rsid w:val="00984AAF"/>
    <w:rsid w:val="00986551"/>
    <w:rsid w:val="00991B09"/>
    <w:rsid w:val="00993AE4"/>
    <w:rsid w:val="00993CB2"/>
    <w:rsid w:val="009A5166"/>
    <w:rsid w:val="009A76F8"/>
    <w:rsid w:val="009B2B83"/>
    <w:rsid w:val="009C49F8"/>
    <w:rsid w:val="009D77CC"/>
    <w:rsid w:val="009E2423"/>
    <w:rsid w:val="009E5476"/>
    <w:rsid w:val="009E55D7"/>
    <w:rsid w:val="009F181C"/>
    <w:rsid w:val="009F4150"/>
    <w:rsid w:val="009F5665"/>
    <w:rsid w:val="009F5DAD"/>
    <w:rsid w:val="00A03FCC"/>
    <w:rsid w:val="00A074C7"/>
    <w:rsid w:val="00A10458"/>
    <w:rsid w:val="00A25546"/>
    <w:rsid w:val="00A25B2A"/>
    <w:rsid w:val="00A273C3"/>
    <w:rsid w:val="00A36C65"/>
    <w:rsid w:val="00A41BBE"/>
    <w:rsid w:val="00A46A0A"/>
    <w:rsid w:val="00A553F8"/>
    <w:rsid w:val="00A57D41"/>
    <w:rsid w:val="00A6708F"/>
    <w:rsid w:val="00A705E5"/>
    <w:rsid w:val="00A71BF6"/>
    <w:rsid w:val="00A7583A"/>
    <w:rsid w:val="00A817C8"/>
    <w:rsid w:val="00A8671A"/>
    <w:rsid w:val="00A86F9A"/>
    <w:rsid w:val="00AA35E6"/>
    <w:rsid w:val="00AA50B6"/>
    <w:rsid w:val="00AB3472"/>
    <w:rsid w:val="00AC0A87"/>
    <w:rsid w:val="00AD0762"/>
    <w:rsid w:val="00AE0FE0"/>
    <w:rsid w:val="00AE4452"/>
    <w:rsid w:val="00AE7C38"/>
    <w:rsid w:val="00AF362C"/>
    <w:rsid w:val="00B01F99"/>
    <w:rsid w:val="00B02B37"/>
    <w:rsid w:val="00B05276"/>
    <w:rsid w:val="00B132DB"/>
    <w:rsid w:val="00B31427"/>
    <w:rsid w:val="00B33861"/>
    <w:rsid w:val="00B40DE2"/>
    <w:rsid w:val="00B470AD"/>
    <w:rsid w:val="00B50210"/>
    <w:rsid w:val="00B53955"/>
    <w:rsid w:val="00B6086A"/>
    <w:rsid w:val="00B62B61"/>
    <w:rsid w:val="00B6408A"/>
    <w:rsid w:val="00B714B8"/>
    <w:rsid w:val="00B82C2C"/>
    <w:rsid w:val="00B86477"/>
    <w:rsid w:val="00B8720B"/>
    <w:rsid w:val="00B876EF"/>
    <w:rsid w:val="00B91E80"/>
    <w:rsid w:val="00B9260B"/>
    <w:rsid w:val="00BA4697"/>
    <w:rsid w:val="00BB2393"/>
    <w:rsid w:val="00BB2630"/>
    <w:rsid w:val="00BB5378"/>
    <w:rsid w:val="00BC0BD3"/>
    <w:rsid w:val="00BD0107"/>
    <w:rsid w:val="00BE0C33"/>
    <w:rsid w:val="00BE262C"/>
    <w:rsid w:val="00BE6C3D"/>
    <w:rsid w:val="00BE7D7F"/>
    <w:rsid w:val="00C07606"/>
    <w:rsid w:val="00C12542"/>
    <w:rsid w:val="00C160AF"/>
    <w:rsid w:val="00C30BA9"/>
    <w:rsid w:val="00C3541E"/>
    <w:rsid w:val="00C36A8F"/>
    <w:rsid w:val="00C42FFA"/>
    <w:rsid w:val="00C46E74"/>
    <w:rsid w:val="00C507D8"/>
    <w:rsid w:val="00C600BD"/>
    <w:rsid w:val="00C62EAC"/>
    <w:rsid w:val="00C63F9F"/>
    <w:rsid w:val="00C7723C"/>
    <w:rsid w:val="00CA1AF4"/>
    <w:rsid w:val="00CA47D1"/>
    <w:rsid w:val="00CA6068"/>
    <w:rsid w:val="00CA627A"/>
    <w:rsid w:val="00CB0324"/>
    <w:rsid w:val="00CB15E1"/>
    <w:rsid w:val="00CB2C99"/>
    <w:rsid w:val="00CB3D46"/>
    <w:rsid w:val="00CD1A87"/>
    <w:rsid w:val="00CD35F3"/>
    <w:rsid w:val="00CD5C93"/>
    <w:rsid w:val="00CE4801"/>
    <w:rsid w:val="00CF320C"/>
    <w:rsid w:val="00CF3A4B"/>
    <w:rsid w:val="00D05837"/>
    <w:rsid w:val="00D12D8A"/>
    <w:rsid w:val="00D13E0C"/>
    <w:rsid w:val="00D25896"/>
    <w:rsid w:val="00D3545D"/>
    <w:rsid w:val="00D373A1"/>
    <w:rsid w:val="00D37C0F"/>
    <w:rsid w:val="00D45661"/>
    <w:rsid w:val="00D45943"/>
    <w:rsid w:val="00D47D22"/>
    <w:rsid w:val="00D51865"/>
    <w:rsid w:val="00D51D0C"/>
    <w:rsid w:val="00D6513D"/>
    <w:rsid w:val="00D74140"/>
    <w:rsid w:val="00D875EE"/>
    <w:rsid w:val="00D93CF0"/>
    <w:rsid w:val="00DA6E56"/>
    <w:rsid w:val="00DB4F3F"/>
    <w:rsid w:val="00DC6705"/>
    <w:rsid w:val="00DE38B4"/>
    <w:rsid w:val="00DE5D02"/>
    <w:rsid w:val="00DE6C5A"/>
    <w:rsid w:val="00DF0421"/>
    <w:rsid w:val="00E005A9"/>
    <w:rsid w:val="00E1166E"/>
    <w:rsid w:val="00E12397"/>
    <w:rsid w:val="00E206DB"/>
    <w:rsid w:val="00E24DC0"/>
    <w:rsid w:val="00E2519C"/>
    <w:rsid w:val="00E25F2A"/>
    <w:rsid w:val="00E41455"/>
    <w:rsid w:val="00E42AD2"/>
    <w:rsid w:val="00E443A4"/>
    <w:rsid w:val="00E50856"/>
    <w:rsid w:val="00E53DD3"/>
    <w:rsid w:val="00E54DBA"/>
    <w:rsid w:val="00E63D7C"/>
    <w:rsid w:val="00E640D5"/>
    <w:rsid w:val="00E65A3E"/>
    <w:rsid w:val="00E67691"/>
    <w:rsid w:val="00E7452D"/>
    <w:rsid w:val="00E83315"/>
    <w:rsid w:val="00E92237"/>
    <w:rsid w:val="00E951EF"/>
    <w:rsid w:val="00E9585E"/>
    <w:rsid w:val="00EA3D54"/>
    <w:rsid w:val="00EA56D9"/>
    <w:rsid w:val="00EA5CE3"/>
    <w:rsid w:val="00EB0A2C"/>
    <w:rsid w:val="00EB4D7C"/>
    <w:rsid w:val="00EB51C1"/>
    <w:rsid w:val="00EB5AE1"/>
    <w:rsid w:val="00EB5E0B"/>
    <w:rsid w:val="00EC012E"/>
    <w:rsid w:val="00EC2171"/>
    <w:rsid w:val="00ED2168"/>
    <w:rsid w:val="00ED442D"/>
    <w:rsid w:val="00ED70C2"/>
    <w:rsid w:val="00EE0B98"/>
    <w:rsid w:val="00EE0FF0"/>
    <w:rsid w:val="00EE18FF"/>
    <w:rsid w:val="00EE489F"/>
    <w:rsid w:val="00EF1327"/>
    <w:rsid w:val="00F0647F"/>
    <w:rsid w:val="00F10CE3"/>
    <w:rsid w:val="00F14F3B"/>
    <w:rsid w:val="00F16362"/>
    <w:rsid w:val="00F36B6D"/>
    <w:rsid w:val="00F43FA3"/>
    <w:rsid w:val="00F533A4"/>
    <w:rsid w:val="00F70046"/>
    <w:rsid w:val="00F70696"/>
    <w:rsid w:val="00F747D5"/>
    <w:rsid w:val="00F748C2"/>
    <w:rsid w:val="00F76C5C"/>
    <w:rsid w:val="00F81EF3"/>
    <w:rsid w:val="00F84496"/>
    <w:rsid w:val="00F85DCB"/>
    <w:rsid w:val="00F86F4E"/>
    <w:rsid w:val="00F86F9C"/>
    <w:rsid w:val="00FC002E"/>
    <w:rsid w:val="00FC0BEC"/>
    <w:rsid w:val="00FC4C23"/>
    <w:rsid w:val="00FC5731"/>
    <w:rsid w:val="00FC642E"/>
    <w:rsid w:val="00FE2AE4"/>
    <w:rsid w:val="00FE607B"/>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B4FB3C"/>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paragraph" w:styleId="EndnoteText">
    <w:name w:val="endnote text"/>
    <w:basedOn w:val="Normal"/>
    <w:link w:val="EndnoteTextChar"/>
    <w:uiPriority w:val="99"/>
    <w:semiHidden/>
    <w:unhideWhenUsed/>
    <w:rsid w:val="00013F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F14"/>
    <w:rPr>
      <w:sz w:val="20"/>
      <w:szCs w:val="20"/>
    </w:rPr>
  </w:style>
  <w:style w:type="character" w:styleId="EndnoteReference">
    <w:name w:val="endnote reference"/>
    <w:basedOn w:val="DefaultParagraphFont"/>
    <w:uiPriority w:val="99"/>
    <w:semiHidden/>
    <w:unhideWhenUsed/>
    <w:rsid w:val="00013F14"/>
    <w:rPr>
      <w:vertAlign w:val="superscript"/>
    </w:rPr>
  </w:style>
  <w:style w:type="paragraph" w:styleId="FootnoteText">
    <w:name w:val="footnote text"/>
    <w:basedOn w:val="Normal"/>
    <w:link w:val="FootnoteTextChar"/>
    <w:uiPriority w:val="99"/>
    <w:unhideWhenUsed/>
    <w:rsid w:val="00986551"/>
    <w:pPr>
      <w:spacing w:after="0" w:line="240" w:lineRule="auto"/>
    </w:pPr>
    <w:rPr>
      <w:sz w:val="20"/>
      <w:szCs w:val="20"/>
    </w:rPr>
  </w:style>
  <w:style w:type="character" w:customStyle="1" w:styleId="FootnoteTextChar">
    <w:name w:val="Footnote Text Char"/>
    <w:basedOn w:val="DefaultParagraphFont"/>
    <w:link w:val="FootnoteText"/>
    <w:uiPriority w:val="99"/>
    <w:rsid w:val="00986551"/>
    <w:rPr>
      <w:sz w:val="20"/>
      <w:szCs w:val="20"/>
    </w:rPr>
  </w:style>
  <w:style w:type="character" w:styleId="FootnoteReference">
    <w:name w:val="footnote reference"/>
    <w:basedOn w:val="DefaultParagraphFont"/>
    <w:uiPriority w:val="99"/>
    <w:semiHidden/>
    <w:unhideWhenUsed/>
    <w:rsid w:val="00013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2A72E-E608-45FD-A3BF-414A17A3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8351</Words>
  <Characters>47602</Characters>
  <Application>Microsoft Office Word</Application>
  <DocSecurity>0</DocSecurity>
  <Lines>396</Lines>
  <Paragraphs>111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Annual report: surveillance of adverse events following immunisation in Australia, 2016</vt:lpstr>
      <vt:lpstr>Abstract</vt:lpstr>
      <vt:lpstr>Introduction</vt:lpstr>
      <vt:lpstr>Methods</vt:lpstr>
      <vt:lpstr>    AEFI data </vt:lpstr>
      <vt:lpstr>    Study definitions of AEFI outcomes and reactions </vt:lpstr>
      <vt:lpstr>    Data analysis </vt:lpstr>
      <vt:lpstr>    Notes on interpretation </vt:lpstr>
      <vt:lpstr>    Comparison with online Database of Adverse Events Notifications (DAEN) </vt:lpstr>
      <vt:lpstr>Results</vt:lpstr>
      <vt:lpstr>    Reporting trends </vt:lpstr>
      <vt:lpstr>    Age distribution </vt:lpstr>
      <vt:lpstr>    Geographical distribution </vt:lpstr>
      <vt:lpstr>    Vaccines </vt:lpstr>
      <vt:lpstr>    Reactions </vt:lpstr>
      <vt:lpstr>    Severity of outcomes </vt:lpstr>
      <vt:lpstr>Discussion</vt:lpstr>
      <vt:lpstr>Conclusion</vt:lpstr>
      <vt:lpstr>Acknowledgments </vt:lpstr>
      <vt:lpstr>Author details</vt:lpstr>
      <vt:lpstr>References</vt:lpstr>
    </vt:vector>
  </TitlesOfParts>
  <Company>Australian Government, Department of Health</Company>
  <LinksUpToDate>false</LinksUpToDate>
  <CharactersWithSpaces>55842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surveillance of adverse events following immunisation in Australia, 2016</dc:title>
  <dc:subject>This report summarises Australian passive surveillance data for adverse events following immunisation (AEFI) reported to the Therapeutic Goods Administration (TGA) for 2016. It also describes reporting trends over the 17-year period 1 January 2000 to 31 December 2016.</dc:subject>
  <dc:creator>Aditi Dey, Han Wang,Helen Quinn, Jane Cook, Kristine Macartney</dc:creator>
  <cp:revision>2</cp:revision>
  <cp:lastPrinted>2018-10-16T05:04:00Z</cp:lastPrinted>
  <dcterms:created xsi:type="dcterms:W3CDTF">2024-08-27T02:06:00Z</dcterms:created>
  <dcterms:modified xsi:type="dcterms:W3CDTF">2024-08-27T02:06:00Z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