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CE58" w14:textId="77777777" w:rsidR="00B16F28" w:rsidRDefault="00B16F28" w:rsidP="004858BA">
      <w:pPr>
        <w:pStyle w:val="Title"/>
        <w:rPr>
          <w:rFonts w:eastAsia="Times New Roman"/>
        </w:rPr>
      </w:pPr>
      <w:r>
        <w:rPr>
          <w:rFonts w:eastAsia="Times New Roman"/>
        </w:rPr>
        <w:t>Surveillance system enhancements for Q fever in</w:t>
      </w:r>
      <w:r w:rsidR="00412DE2">
        <w:rPr>
          <w:rFonts w:eastAsia="Times New Roman"/>
        </w:rPr>
        <w:t> </w:t>
      </w:r>
      <w:r>
        <w:rPr>
          <w:rFonts w:eastAsia="Times New Roman"/>
        </w:rPr>
        <w:t>NSW,</w:t>
      </w:r>
      <w:r w:rsidR="00412DE2">
        <w:rPr>
          <w:rFonts w:eastAsia="Times New Roman"/>
        </w:rPr>
        <w:t> </w:t>
      </w:r>
      <w:r>
        <w:rPr>
          <w:rFonts w:eastAsia="Times New Roman"/>
        </w:rPr>
        <w:t>2005-2015</w:t>
      </w:r>
    </w:p>
    <w:p w14:paraId="4382EA73" w14:textId="77777777" w:rsidR="00B16F28" w:rsidRDefault="00B16F28" w:rsidP="004858BA">
      <w:r>
        <w:t>Henry C. M. Clutterbuck, Keith Eastwood, Peter D. Massey, Kirsty Hope and Siobhan M. Mor</w:t>
      </w:r>
    </w:p>
    <w:p w14:paraId="10690783" w14:textId="77777777" w:rsidR="00910F96" w:rsidRPr="009F6D3A" w:rsidRDefault="00B76AFF" w:rsidP="00B76AFF">
      <w:pPr>
        <w:pStyle w:val="Heading1"/>
        <w:contextualSpacing w:val="0"/>
      </w:pPr>
      <w:r>
        <w:rPr>
          <w:noProof/>
        </w:rPr>
        <mc:AlternateContent>
          <mc:Choice Requires="wps">
            <w:drawing>
              <wp:anchor distT="0" distB="180340" distL="114300" distR="114300" simplePos="0" relativeHeight="251658240" behindDoc="0" locked="0" layoutInCell="1" allowOverlap="1" wp14:anchorId="6E670EB5" wp14:editId="561A3A15">
                <wp:simplePos x="0" y="0"/>
                <wp:positionH relativeFrom="column">
                  <wp:posOffset>3810</wp:posOffset>
                </wp:positionH>
                <wp:positionV relativeFrom="paragraph">
                  <wp:posOffset>575945</wp:posOffset>
                </wp:positionV>
                <wp:extent cx="6623050" cy="5191760"/>
                <wp:effectExtent l="0" t="0" r="25400" b="279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191760"/>
                        </a:xfrm>
                        <a:prstGeom prst="rect">
                          <a:avLst/>
                        </a:prstGeom>
                        <a:solidFill>
                          <a:srgbClr val="FFFFFF"/>
                        </a:solidFill>
                        <a:ln w="3175">
                          <a:solidFill>
                            <a:srgbClr val="000000"/>
                          </a:solidFill>
                          <a:miter lim="800000"/>
                          <a:headEnd/>
                          <a:tailEnd/>
                        </a:ln>
                      </wps:spPr>
                      <wps:txbx>
                        <w:txbxContent>
                          <w:p w14:paraId="5D3421C3" w14:textId="77777777" w:rsidR="00910F96" w:rsidRPr="00910F96" w:rsidRDefault="00910F96" w:rsidP="00910F96">
                            <w:pPr>
                              <w:pStyle w:val="Heading2"/>
                            </w:pPr>
                            <w:r w:rsidRPr="00910F96">
                              <w:t>Introduction</w:t>
                            </w:r>
                          </w:p>
                          <w:p w14:paraId="34002137" w14:textId="77777777" w:rsidR="00910F96" w:rsidRDefault="00910F96" w:rsidP="00910F96">
                            <w:r w:rsidRPr="004858BA">
                              <w:t>Q fever remains an important notifiable, zoonotic disease in Australia. Previous epidemiological reviews have noted increased importance of non-abattoir contact with livestock and native/feral animals. Changes to surveillance in New South Wales (NSW) have provided enhanced surveillance data with which to examine exposure pathways</w:t>
                            </w:r>
                            <w:r>
                              <w:t>.</w:t>
                            </w:r>
                          </w:p>
                          <w:p w14:paraId="0406F9A0" w14:textId="77777777" w:rsidR="00910F96" w:rsidRPr="00910F96" w:rsidRDefault="00910F96" w:rsidP="00910F96">
                            <w:pPr>
                              <w:pStyle w:val="Heading2"/>
                            </w:pPr>
                            <w:r w:rsidRPr="00910F96">
                              <w:t>Methods</w:t>
                            </w:r>
                          </w:p>
                          <w:p w14:paraId="1AA31CE9" w14:textId="77777777" w:rsidR="00910F96" w:rsidRDefault="00910F96" w:rsidP="00910F96">
                            <w:r>
                              <w:t>Descriptive analysis of NSW Q fever notification data for the period 2005-2015, with detailed analysis of exposures for the period 2011-2015 (after introduction of improvements to surveillance).</w:t>
                            </w:r>
                          </w:p>
                          <w:p w14:paraId="7E98C971" w14:textId="77777777" w:rsidR="00910F96" w:rsidRPr="00910F96" w:rsidRDefault="00910F96" w:rsidP="00910F96">
                            <w:pPr>
                              <w:pStyle w:val="Heading2"/>
                            </w:pPr>
                            <w:r w:rsidRPr="00910F96">
                              <w:t>Results</w:t>
                            </w:r>
                          </w:p>
                          <w:p w14:paraId="4674FA19" w14:textId="77777777" w:rsidR="00910F96" w:rsidRDefault="00910F96" w:rsidP="00910F96">
                            <w:r w:rsidRPr="004858BA">
                              <w:t>Between 2005 and 2015, 1,653 confirmed cases of Q fever were notified in NSW residents who acquired the disease in this state. For the period 2011-2015, a high-risk occupation was reported in 345/660 (52.3%) of notifications with a known occupation. Of 641 cases with a known animal exposure, 345 (53.8%) had direct contact with livestock, while 62 (9.7%) had indirect contact with livestock (e.g. proximity to livestock, livestock holding areas or trucks). Direct or indirect contact with native/feral animals was reported in 111/641 (17.3%) cases. Mowing and close proximity to kangaroos/wallabies were commonly reported indirect exposure pathways, particularly in urban areas</w:t>
                            </w:r>
                            <w:r>
                              <w:t>.</w:t>
                            </w:r>
                          </w:p>
                          <w:p w14:paraId="10AB6947" w14:textId="77777777" w:rsidR="00910F96" w:rsidRPr="00910F96" w:rsidRDefault="00910F96" w:rsidP="00910F96">
                            <w:pPr>
                              <w:pStyle w:val="Heading2"/>
                            </w:pPr>
                            <w:r w:rsidRPr="00910F96">
                              <w:t>Conclusion</w:t>
                            </w:r>
                          </w:p>
                          <w:p w14:paraId="1AF27441" w14:textId="77777777" w:rsidR="00910F96" w:rsidRDefault="00910F96" w:rsidP="00910F96">
                            <w:r>
                              <w:t>Enhancements to the state based surveillance database in NSW introduced in 2010 have resulted in improved collection of surveillance data for Q fever. Further refinement of Q fever surveillance can be achieved through continuing to improve data quality, standardising data collection and better elucidating exposure pathways of cases.</w:t>
                            </w:r>
                          </w:p>
                          <w:p w14:paraId="6262A293" w14:textId="77777777" w:rsidR="00910F96" w:rsidRDefault="00910F96" w:rsidP="00910F96">
                            <w:r>
                              <w:t xml:space="preserve">Keywords: Q fever; </w:t>
                            </w:r>
                            <w:r w:rsidRPr="004858BA">
                              <w:rPr>
                                <w:rStyle w:val="Emphasis"/>
                                <w:b w:val="0"/>
                              </w:rPr>
                              <w:t xml:space="preserve">Coxiella </w:t>
                            </w:r>
                            <w:proofErr w:type="spellStart"/>
                            <w:r w:rsidRPr="004858BA">
                              <w:rPr>
                                <w:rStyle w:val="Emphasis"/>
                                <w:b w:val="0"/>
                              </w:rPr>
                              <w:t>burnetii</w:t>
                            </w:r>
                            <w:proofErr w:type="spellEnd"/>
                            <w:r>
                              <w:t xml:space="preserve">; exposure; surveillance; Q fever </w:t>
                            </w:r>
                            <w:proofErr w:type="spellStart"/>
                            <w:r>
                              <w:t>vaccin</w:t>
                            </w:r>
                            <w:proofErr w:type="spellEnd"/>
                          </w:p>
                        </w:txbxContent>
                      </wps:txbx>
                      <wps:bodyPr rot="0" vert="horz" wrap="square" lIns="180000" tIns="45720" rIns="18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70EB5" id="_x0000_t202" coordsize="21600,21600" o:spt="202" path="m,l,21600r21600,l21600,xe">
                <v:stroke joinstyle="miter"/>
                <v:path gradientshapeok="t" o:connecttype="rect"/>
              </v:shapetype>
              <v:shape id="Text Box 2" o:spid="_x0000_s1026" type="#_x0000_t202" style="position:absolute;margin-left:.3pt;margin-top:45.35pt;width:521.5pt;height:408.8pt;z-index:251658240;visibility:visible;mso-wrap-style:square;mso-width-percent:0;mso-height-percent:0;mso-wrap-distance-left:9pt;mso-wrap-distance-top:0;mso-wrap-distance-right:9pt;mso-wrap-distance-bottom:14.2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" strokeweight=".25pt">
                <v:textbox inset="5mm,,5mm">
                  <w:txbxContent>
                    <w:p w14:paraId="5D3421C3" w14:textId="77777777" w:rsidR="00910F96" w:rsidRPr="00910F96" w:rsidRDefault="00910F96" w:rsidP="00910F96">
                      <w:pPr>
                        <w:pStyle w:val="Heading2"/>
                      </w:pPr>
                      <w:r w:rsidRPr="00910F96">
                        <w:t>Introduction</w:t>
                      </w:r>
                    </w:p>
                    <w:p w14:paraId="34002137" w14:textId="77777777" w:rsidR="00910F96" w:rsidRDefault="00910F96" w:rsidP="00910F96">
                      <w:r w:rsidRPr="004858BA">
                        <w:t>Q fever remains an important notifiable, zoonotic disease in Australia. Previous epidemiological reviews have noted increased importance of non-abattoir contact with livestock and native/feral animals. Changes to surveillance in New South Wales (NSW) have provided enhanced surveillance data with which to examine exposure pathways</w:t>
                      </w:r>
                      <w:r>
                        <w:t>.</w:t>
                      </w:r>
                    </w:p>
                    <w:p w14:paraId="0406F9A0" w14:textId="77777777" w:rsidR="00910F96" w:rsidRPr="00910F96" w:rsidRDefault="00910F96" w:rsidP="00910F96">
                      <w:pPr>
                        <w:pStyle w:val="Heading2"/>
                      </w:pPr>
                      <w:r w:rsidRPr="00910F96">
                        <w:t>Methods</w:t>
                      </w:r>
                    </w:p>
                    <w:p w14:paraId="1AA31CE9" w14:textId="77777777" w:rsidR="00910F96" w:rsidRDefault="00910F96" w:rsidP="00910F96">
                      <w:r>
                        <w:t>Descriptive analysis of NSW Q fever notification data for the period 2005-2015, with detailed analysis of exposures for the period 2011-2015 (after introduction of improvements to surveillance).</w:t>
                      </w:r>
                    </w:p>
                    <w:p w14:paraId="7E98C971" w14:textId="77777777" w:rsidR="00910F96" w:rsidRPr="00910F96" w:rsidRDefault="00910F96" w:rsidP="00910F96">
                      <w:pPr>
                        <w:pStyle w:val="Heading2"/>
                      </w:pPr>
                      <w:r w:rsidRPr="00910F96">
                        <w:t>Results</w:t>
                      </w:r>
                    </w:p>
                    <w:p w14:paraId="4674FA19" w14:textId="77777777" w:rsidR="00910F96" w:rsidRDefault="00910F96" w:rsidP="00910F96">
                      <w:r w:rsidRPr="004858BA">
                        <w:t>Between 2005 and 2015, 1,653 confirmed cases of Q fever were notified in NSW residents who acquired the disease in this state. For the period 2011-2015, a high-risk occupation was reported in 345/660 (52.3%) of notifications with a known occupation. Of 641 cases with a known animal exposure, 345 (53.8%) had direct contact with livestock, while 62 (9.7%) had indirect contact with livestock (e.g. proximity to livestock, livestock holding areas or trucks). Direct or indirect contact with native/feral animals was reported in 111/641 (17.3%) cases. Mowing and close proximity to kangaroos/wallabies were commonly reported indirect exposure pathways, particularly in urban areas</w:t>
                      </w:r>
                      <w:r>
                        <w:t>.</w:t>
                      </w:r>
                    </w:p>
                    <w:p w14:paraId="10AB6947" w14:textId="77777777" w:rsidR="00910F96" w:rsidRPr="00910F96" w:rsidRDefault="00910F96" w:rsidP="00910F96">
                      <w:pPr>
                        <w:pStyle w:val="Heading2"/>
                      </w:pPr>
                      <w:r w:rsidRPr="00910F96">
                        <w:t>Conclusion</w:t>
                      </w:r>
                    </w:p>
                    <w:p w14:paraId="1AF27441" w14:textId="77777777" w:rsidR="00910F96" w:rsidRDefault="00910F96" w:rsidP="00910F96">
                      <w:r>
                        <w:t>Enhancements to the state based surveillance database in NSW introduced in 2010 have resulted in improved collection of surveillance data for Q fever. Further refinement of Q fever surveillance can be achieved through continuing to improve data quality, standardising data collection and better elucidating exposure pathways of cases.</w:t>
                      </w:r>
                    </w:p>
                    <w:p w14:paraId="6262A293" w14:textId="77777777" w:rsidR="00910F96" w:rsidRDefault="00910F96" w:rsidP="00910F96">
                      <w:r>
                        <w:t xml:space="preserve">Keywords: Q fever; </w:t>
                      </w:r>
                      <w:r w:rsidRPr="004858BA">
                        <w:rPr>
                          <w:rStyle w:val="Emphasis"/>
                          <w:b w:val="0"/>
                        </w:rPr>
                        <w:t xml:space="preserve">Coxiella </w:t>
                      </w:r>
                      <w:proofErr w:type="spellStart"/>
                      <w:r w:rsidRPr="004858BA">
                        <w:rPr>
                          <w:rStyle w:val="Emphasis"/>
                          <w:b w:val="0"/>
                        </w:rPr>
                        <w:t>burnetii</w:t>
                      </w:r>
                      <w:proofErr w:type="spellEnd"/>
                      <w:r>
                        <w:t xml:space="preserve">; exposure; surveillance; Q fever </w:t>
                      </w:r>
                      <w:proofErr w:type="spellStart"/>
                      <w:r>
                        <w:t>vaccin</w:t>
                      </w:r>
                      <w:proofErr w:type="spellEnd"/>
                    </w:p>
                  </w:txbxContent>
                </v:textbox>
                <w10:wrap type="square"/>
              </v:shape>
            </w:pict>
          </mc:Fallback>
        </mc:AlternateContent>
      </w:r>
      <w:r w:rsidR="00B16F28" w:rsidRPr="004858BA">
        <w:t>Abstract</w:t>
      </w:r>
    </w:p>
    <w:p w14:paraId="2851D5E1" w14:textId="77777777" w:rsidR="00B16F28" w:rsidRDefault="00B16F28" w:rsidP="009F6D3A">
      <w:pPr>
        <w:pStyle w:val="Heading1"/>
        <w:spacing w:after="480"/>
        <w:rPr>
          <w:rFonts w:eastAsia="Times New Roman"/>
        </w:rPr>
      </w:pPr>
      <w:r>
        <w:rPr>
          <w:rFonts w:eastAsia="Times New Roman"/>
        </w:rPr>
        <w:t>Summary</w:t>
      </w:r>
    </w:p>
    <w:p w14:paraId="6686CF6F" w14:textId="77777777" w:rsidR="00B16F28" w:rsidRDefault="00B16F28">
      <w:pPr>
        <w:pStyle w:val="NormalWeb"/>
      </w:pPr>
      <w:r>
        <w:t>Q fever remains an important notifiable condition in NSW, especially in rural/regional areas but is also being reported in urban settings. Enhanced surveillance initiatives require collection of data that correlate to risk and information related to prevention strategies.</w:t>
      </w:r>
    </w:p>
    <w:p w14:paraId="5CD0C617" w14:textId="77777777" w:rsidR="00B16F28" w:rsidRPr="00C66386" w:rsidRDefault="00B16F28" w:rsidP="00C66386">
      <w:pPr>
        <w:pStyle w:val="Heading1"/>
      </w:pPr>
      <w:r w:rsidRPr="00C66386">
        <w:rPr>
          <w:rStyle w:val="Strong"/>
          <w:b/>
          <w:bCs/>
        </w:rPr>
        <w:t>Introduction</w:t>
      </w:r>
      <w:r w:rsidRPr="00C66386">
        <w:t xml:space="preserve"> </w:t>
      </w:r>
    </w:p>
    <w:p w14:paraId="504C485B" w14:textId="77777777" w:rsidR="00B16F28" w:rsidRDefault="00B16F28" w:rsidP="00C66386">
      <w:r>
        <w:t xml:space="preserve">Q fever is a zoonotic disease caused by the Gram-negative, intracellular bacterium, </w:t>
      </w:r>
      <w:r w:rsidRPr="00C66386">
        <w:rPr>
          <w:rStyle w:val="Emphasis"/>
          <w:b w:val="0"/>
        </w:rPr>
        <w:t>Coxiella burnetii</w:t>
      </w:r>
      <w:r>
        <w:t>.</w:t>
      </w:r>
      <w:r>
        <w:rPr>
          <w:vertAlign w:val="superscript"/>
        </w:rPr>
        <w:t>1</w:t>
      </w:r>
      <w:r>
        <w:t xml:space="preserve"> It has a low infectious dose requiring as few as one bacterium to cause infection.</w:t>
      </w:r>
      <w:r>
        <w:rPr>
          <w:vertAlign w:val="superscript"/>
        </w:rPr>
        <w:t>2</w:t>
      </w:r>
      <w:r>
        <w:t xml:space="preserve"> Approximately 40% of those infected will show </w:t>
      </w:r>
      <w:r>
        <w:lastRenderedPageBreak/>
        <w:t>clinical symptoms but presentation can vary from a mild influenza-like disease to severe illness requiring hospitalisation.</w:t>
      </w:r>
      <w:r>
        <w:rPr>
          <w:vertAlign w:val="superscript"/>
        </w:rPr>
        <w:t>3</w:t>
      </w:r>
      <w:r>
        <w:t xml:space="preserve"> The main route of transmission for </w:t>
      </w:r>
      <w:r w:rsidRPr="00C66386">
        <w:rPr>
          <w:rStyle w:val="Emphasis"/>
          <w:b w:val="0"/>
        </w:rPr>
        <w:t xml:space="preserve">C. </w:t>
      </w:r>
      <w:proofErr w:type="spellStart"/>
      <w:r w:rsidRPr="00C66386">
        <w:rPr>
          <w:rStyle w:val="Emphasis"/>
          <w:b w:val="0"/>
        </w:rPr>
        <w:t>burnetii</w:t>
      </w:r>
      <w:proofErr w:type="spellEnd"/>
      <w:r>
        <w:t xml:space="preserve"> to humans is inhalation of contaminated aerosols or dust from infected animals, their tissues or products.</w:t>
      </w:r>
      <w:r>
        <w:rPr>
          <w:vertAlign w:val="superscript"/>
        </w:rPr>
        <w:t>3</w:t>
      </w:r>
      <w:r>
        <w:t xml:space="preserve"> Aerosols can spread over wide areas under certain conditions.</w:t>
      </w:r>
      <w:r>
        <w:rPr>
          <w:vertAlign w:val="superscript"/>
        </w:rPr>
        <w:t>4</w:t>
      </w:r>
      <w:r>
        <w:t xml:space="preserve"> Domestic ruminants, such as cattle, sheep and goats, are considered to be the main source for human infections;</w:t>
      </w:r>
      <w:r>
        <w:rPr>
          <w:vertAlign w:val="superscript"/>
        </w:rPr>
        <w:t>5</w:t>
      </w:r>
      <w:r>
        <w:t xml:space="preserve"> however, </w:t>
      </w:r>
      <w:r w:rsidRPr="00C66386">
        <w:rPr>
          <w:rStyle w:val="Emphasis"/>
          <w:b w:val="0"/>
        </w:rPr>
        <w:t xml:space="preserve">C. </w:t>
      </w:r>
      <w:proofErr w:type="spellStart"/>
      <w:r w:rsidRPr="00C66386">
        <w:rPr>
          <w:rStyle w:val="Emphasis"/>
          <w:b w:val="0"/>
        </w:rPr>
        <w:t>burnetii</w:t>
      </w:r>
      <w:proofErr w:type="spellEnd"/>
      <w:r>
        <w:t xml:space="preserve"> has been identified in a diverse range of vertebrates including pigs, cats (domestic and feral), dogs, rabbits, foxes, rodents, deer birds and native Australian animals including kangaroos and wallabies.</w:t>
      </w:r>
      <w:r>
        <w:rPr>
          <w:vertAlign w:val="superscript"/>
        </w:rPr>
        <w:t>6,7</w:t>
      </w:r>
      <w:r>
        <w:t xml:space="preserve"> </w:t>
      </w:r>
    </w:p>
    <w:p w14:paraId="1980A965" w14:textId="77777777" w:rsidR="00B16F28" w:rsidRDefault="00B16F28" w:rsidP="00C66386">
      <w:r>
        <w:t>In Australia, vaccination of people at risk of Q fever is the principal disease prevention strategy available. Abattoir and other meat industry workers were the main focus of the National Q Fever Management Program conducted in this country between 2001 and 2004. Whilst the program was running</w:t>
      </w:r>
      <w:r w:rsidR="00B51079">
        <w:t>,</w:t>
      </w:r>
      <w:r>
        <w:t xml:space="preserve"> the overall trend of reported Q fever cases decreased nationally.</w:t>
      </w:r>
      <w:r>
        <w:rPr>
          <w:vertAlign w:val="superscript"/>
        </w:rPr>
        <w:t>8</w:t>
      </w:r>
      <w:r>
        <w:t xml:space="preserve"> However, since 2009 the number of human notifications in Australia has been increasing for reasons which remain unclear.</w:t>
      </w:r>
      <w:r>
        <w:rPr>
          <w:vertAlign w:val="superscript"/>
        </w:rPr>
        <w:t>9</w:t>
      </w:r>
      <w:r>
        <w:t xml:space="preserve"> Most cases originate in Queensland and New South Wales (NSW).</w:t>
      </w:r>
      <w:r>
        <w:rPr>
          <w:vertAlign w:val="superscript"/>
        </w:rPr>
        <w:t>10</w:t>
      </w:r>
      <w:r>
        <w:t xml:space="preserve"> </w:t>
      </w:r>
    </w:p>
    <w:p w14:paraId="77EF5577" w14:textId="77777777" w:rsidR="00B16F28" w:rsidRDefault="00B16F28" w:rsidP="00C66386">
      <w:r>
        <w:t xml:space="preserve">Q fever is a notifiable condition in all Australian states and territories. In NSW, Q fever surveillance data are collected by public health units (PHU) through telephone interview of the treating doctor and case. Currently there is not a standard surveillance form for this purpose. As the actual time and place of exposure is not usually known, the most obvious exposure is recorded by the PHU as being the presumed source of infection. Previous epidemiological reviews of NSW surveillance data captured prior to 2010, have noted increased importance of non-abattoir contact with livestock, </w:t>
      </w:r>
      <w:proofErr w:type="gramStart"/>
      <w:r>
        <w:t>wildlife</w:t>
      </w:r>
      <w:proofErr w:type="gramEnd"/>
      <w:r>
        <w:t xml:space="preserve"> or feral animals.</w:t>
      </w:r>
      <w:r>
        <w:rPr>
          <w:vertAlign w:val="superscript"/>
        </w:rPr>
        <w:t>11</w:t>
      </w:r>
      <w:r w:rsidR="00C66386">
        <w:rPr>
          <w:vertAlign w:val="superscript"/>
        </w:rPr>
        <w:t>, 12</w:t>
      </w:r>
      <w:r>
        <w:t xml:space="preserve"> However, this work was limited by incomplete collection of surveillance data such as occupation and vaccination.</w:t>
      </w:r>
    </w:p>
    <w:p w14:paraId="33AEA4E7" w14:textId="77777777" w:rsidR="00B16F28" w:rsidRDefault="00B16F28" w:rsidP="00C66386">
      <w:r>
        <w:t xml:space="preserve">Following revisions to the </w:t>
      </w:r>
      <w:r w:rsidRPr="00C66386">
        <w:rPr>
          <w:rStyle w:val="Emphasis"/>
          <w:b w:val="0"/>
        </w:rPr>
        <w:t>NSW Public Health Act in 2010</w:t>
      </w:r>
      <w:r>
        <w:t>, an enhanced surveillance data system (Notifiable Conditions Information Management System, NCIMS) was introduced. These changes enabled detailed exposure data to be recorded and routine data quality checks to be incorporated. These factors together led to a greater concentration on the surveillance of exposure factors for many diseases, including Q fever. In this paper, we interrogated NCIMS data with a view to informing a regional and national approach to Q fever surveillance that is built on collection of an expanded minimum data set.</w:t>
      </w:r>
    </w:p>
    <w:p w14:paraId="4DF8F055" w14:textId="77777777" w:rsidR="00B16F28" w:rsidRPr="00C66386" w:rsidRDefault="00B16F28" w:rsidP="00C66386">
      <w:pPr>
        <w:pStyle w:val="Heading1"/>
      </w:pPr>
      <w:r w:rsidRPr="00C66386">
        <w:rPr>
          <w:rStyle w:val="Strong"/>
          <w:b/>
          <w:bCs/>
        </w:rPr>
        <w:t>Methods</w:t>
      </w:r>
      <w:r w:rsidRPr="00C66386">
        <w:t xml:space="preserve"> </w:t>
      </w:r>
    </w:p>
    <w:p w14:paraId="6228D27B" w14:textId="77777777" w:rsidR="00B16F28" w:rsidRDefault="00B16F28" w:rsidP="00C66386">
      <w:r>
        <w:t>For this study, case records were extracted from NCIMS for all confirmed cases with onsets 1 January 2005 – 31</w:t>
      </w:r>
      <w:r w:rsidR="00B51079">
        <w:t> </w:t>
      </w:r>
      <w:r>
        <w:t xml:space="preserve">December 2015 and anonymised. Confirmed cases were defined as those that met the national case definition, which encompasses: (1) laboratory definitive evidence (detection of </w:t>
      </w:r>
      <w:r w:rsidRPr="00C66386">
        <w:rPr>
          <w:rStyle w:val="Emphasis"/>
          <w:b w:val="0"/>
        </w:rPr>
        <w:t xml:space="preserve">C. </w:t>
      </w:r>
      <w:proofErr w:type="spellStart"/>
      <w:r w:rsidRPr="00C66386">
        <w:rPr>
          <w:rStyle w:val="Emphasis"/>
          <w:b w:val="0"/>
        </w:rPr>
        <w:t>burnetii</w:t>
      </w:r>
      <w:proofErr w:type="spellEnd"/>
      <w:r>
        <w:t xml:space="preserve"> by nucleic acid testing, OR seroconversion or significant increase in antibody level to Phase II antigen in paired sera tested in parallel in the absence of recent Q fever vaccination, OR detection of </w:t>
      </w:r>
      <w:r w:rsidRPr="00C66386">
        <w:rPr>
          <w:rStyle w:val="Emphasis"/>
          <w:b w:val="0"/>
        </w:rPr>
        <w:t xml:space="preserve">C. </w:t>
      </w:r>
      <w:proofErr w:type="spellStart"/>
      <w:r w:rsidRPr="00C66386">
        <w:rPr>
          <w:rStyle w:val="Emphasis"/>
          <w:b w:val="0"/>
        </w:rPr>
        <w:t>burnetii</w:t>
      </w:r>
      <w:proofErr w:type="spellEnd"/>
      <w:r>
        <w:t xml:space="preserve"> by culture); OR (2) laboratory suggestive evidence (detection of specific IgM in the absence of recent Q fever vaccination) AND clinical evidence (a clinically compatible disease).</w:t>
      </w:r>
      <w:r>
        <w:rPr>
          <w:vertAlign w:val="superscript"/>
        </w:rPr>
        <w:t>13</w:t>
      </w:r>
      <w:r>
        <w:t xml:space="preserve"> Cases that did not meet this case definition and those who were exposed outside of NSW were excluded from the study. </w:t>
      </w:r>
    </w:p>
    <w:p w14:paraId="531F9E36" w14:textId="77777777" w:rsidR="00B16F28" w:rsidRDefault="00B16F28" w:rsidP="00C66386">
      <w:r>
        <w:t>Data extracted from NCIMS included: age, gender, Aboriginal and Torres Strait Islander status, hospitalisation, symptoms, vaccination status, occupation, high risk occupation, local government area (LGA) of residence, putative exposures (e.g. type of animal and nature of contact) and free text notes that include additional surveillance information, such as hospitalisation and other exposures, noted by the patient’s clinician.</w:t>
      </w:r>
    </w:p>
    <w:p w14:paraId="7F055C2C" w14:textId="77777777" w:rsidR="00B16F28" w:rsidRDefault="00B16F28" w:rsidP="00C66386">
      <w:r>
        <w:t xml:space="preserve">Data were extracted and cleaned using Microsoft® Excel 2011 (Microsoft, Washington, USA). The free text notes for each case were manually examined and used to inform or enhance data entered into other fields. Data captured in the “occupation” field, “high risk occupation” field and the free text notes were aggregated to form one combined “occupation” field. This was then re-categorised using a standardised definition into “high risk” or “other” </w:t>
      </w:r>
      <w:r>
        <w:lastRenderedPageBreak/>
        <w:t>occupations. High risk occupation was one which involved direct contact with farmed livestock (cattle, sheep, goats, farmed deer) or their products (see Supplementary Table 1). We further interrogated the nature of the exposures in cases where contact with animals was noted. Data captured in “animal exposure setting”, “animal contact” and the free text notes were combined into one “nature of animal contact” field. The animal type (livestock, native/feral animal, companion animal, other) and nature of the contact (direct or indirect) was then identified based on a standardised definition developed by this study (see Supplementary Table 1). Where more than one putative exposure was noted, these were recorded as “multiple” in the new “nature of animal contact” field.</w:t>
      </w:r>
    </w:p>
    <w:p w14:paraId="0BAE0D08" w14:textId="77777777" w:rsidR="00B16F28" w:rsidRPr="00C66386" w:rsidRDefault="00B16F28" w:rsidP="00C66386">
      <w:pPr>
        <w:pStyle w:val="CDIFigures"/>
      </w:pPr>
      <w:r w:rsidRPr="00C66386">
        <w:t xml:space="preserve">Table 1: Q fever notifications in New South Wales residents, by local government area classification, 2005-2015. </w:t>
      </w:r>
    </w:p>
    <w:tbl>
      <w:tblPr>
        <w:tblStyle w:val="CDI-StandardTable"/>
        <w:tblW w:w="0" w:type="auto"/>
        <w:tblLook w:val="04A0" w:firstRow="1" w:lastRow="0" w:firstColumn="1" w:lastColumn="0" w:noHBand="0" w:noVBand="1"/>
        <w:tblCaption w:val="Table 1: Q fever notifications in New South Wales residents, by local government area classification, 2005-2015. "/>
        <w:tblDescription w:val="Table 1 shows the counts, proportions, incidence per 100,000 persons per year and relative risk with 95% confidence intervals and p-values of notifications of Q fever notifications in NSW, 2005-2015 by the Local Government Area Classifications of Urban (Metropolitan Developed, Regional Town/City and Fringe) and Rural (Agricultural and Remote)"/>
      </w:tblPr>
      <w:tblGrid>
        <w:gridCol w:w="2530"/>
        <w:gridCol w:w="2693"/>
        <w:gridCol w:w="2552"/>
        <w:gridCol w:w="1843"/>
        <w:gridCol w:w="1088"/>
      </w:tblGrid>
      <w:tr w:rsidR="00B16F28" w14:paraId="5ECFCA6C" w14:textId="77777777" w:rsidTr="00C66386">
        <w:trPr>
          <w:cnfStyle w:val="100000000000" w:firstRow="1" w:lastRow="0" w:firstColumn="0" w:lastColumn="0" w:oddVBand="0" w:evenVBand="0" w:oddHBand="0" w:evenHBand="0" w:firstRowFirstColumn="0" w:firstRowLastColumn="0" w:lastRowFirstColumn="0" w:lastRowLastColumn="0"/>
          <w:tblHeader/>
        </w:trPr>
        <w:tc>
          <w:tcPr>
            <w:tcW w:w="2530" w:type="dxa"/>
            <w:hideMark/>
          </w:tcPr>
          <w:p w14:paraId="2F36A7ED" w14:textId="77777777" w:rsidR="00B16F28" w:rsidRPr="00C66386" w:rsidRDefault="00B16F28">
            <w:pPr>
              <w:pStyle w:val="NormalWeb"/>
              <w:rPr>
                <w:color w:val="FFFFFF" w:themeColor="background1"/>
              </w:rPr>
            </w:pPr>
            <w:r w:rsidRPr="00C66386">
              <w:rPr>
                <w:color w:val="FFFFFF" w:themeColor="background1"/>
              </w:rPr>
              <w:t>Local Government Area Classification</w:t>
            </w:r>
          </w:p>
        </w:tc>
        <w:tc>
          <w:tcPr>
            <w:tcW w:w="2693" w:type="dxa"/>
            <w:hideMark/>
          </w:tcPr>
          <w:p w14:paraId="5ED4F587" w14:textId="77777777" w:rsidR="00B16F28" w:rsidRPr="00C66386" w:rsidRDefault="00B16F28">
            <w:pPr>
              <w:pStyle w:val="NormalWeb"/>
              <w:rPr>
                <w:color w:val="FFFFFF" w:themeColor="background1"/>
              </w:rPr>
            </w:pPr>
            <w:r w:rsidRPr="00C66386">
              <w:rPr>
                <w:color w:val="FFFFFF" w:themeColor="background1"/>
              </w:rPr>
              <w:t>Number (%) of notifications</w:t>
            </w:r>
          </w:p>
        </w:tc>
        <w:tc>
          <w:tcPr>
            <w:tcW w:w="2552" w:type="dxa"/>
            <w:hideMark/>
          </w:tcPr>
          <w:p w14:paraId="2ADC325B" w14:textId="77777777" w:rsidR="00B16F28" w:rsidRPr="00C66386" w:rsidRDefault="00B16F28">
            <w:pPr>
              <w:pStyle w:val="NormalWeb"/>
              <w:rPr>
                <w:color w:val="FFFFFF" w:themeColor="background1"/>
              </w:rPr>
            </w:pPr>
            <w:r w:rsidRPr="00C66386">
              <w:rPr>
                <w:color w:val="FFFFFF" w:themeColor="background1"/>
              </w:rPr>
              <w:t>Notifications per 100,000</w:t>
            </w:r>
          </w:p>
          <w:p w14:paraId="5C849FA1" w14:textId="77777777" w:rsidR="00B16F28" w:rsidRPr="00C66386" w:rsidRDefault="00B16F28">
            <w:pPr>
              <w:pStyle w:val="NormalWeb"/>
              <w:rPr>
                <w:color w:val="FFFFFF" w:themeColor="background1"/>
              </w:rPr>
            </w:pPr>
            <w:r w:rsidRPr="00C66386">
              <w:rPr>
                <w:color w:val="FFFFFF" w:themeColor="background1"/>
              </w:rPr>
              <w:t>persons per year</w:t>
            </w:r>
          </w:p>
        </w:tc>
        <w:tc>
          <w:tcPr>
            <w:tcW w:w="1843" w:type="dxa"/>
            <w:hideMark/>
          </w:tcPr>
          <w:p w14:paraId="66ECC3C5" w14:textId="77777777" w:rsidR="00B16F28" w:rsidRPr="00C66386" w:rsidRDefault="00B16F28">
            <w:pPr>
              <w:pStyle w:val="NormalWeb"/>
              <w:rPr>
                <w:color w:val="FFFFFF" w:themeColor="background1"/>
              </w:rPr>
            </w:pPr>
            <w:r w:rsidRPr="00C66386">
              <w:rPr>
                <w:color w:val="FFFFFF" w:themeColor="background1"/>
              </w:rPr>
              <w:t>Relative Risk (95% CI)</w:t>
            </w:r>
          </w:p>
        </w:tc>
        <w:tc>
          <w:tcPr>
            <w:tcW w:w="1088" w:type="dxa"/>
            <w:hideMark/>
          </w:tcPr>
          <w:p w14:paraId="241F4611" w14:textId="77777777" w:rsidR="00B16F28" w:rsidRPr="00C66386" w:rsidRDefault="00B16F28">
            <w:pPr>
              <w:pStyle w:val="NormalWeb"/>
              <w:rPr>
                <w:color w:val="FFFFFF" w:themeColor="background1"/>
              </w:rPr>
            </w:pPr>
            <w:r w:rsidRPr="00C66386">
              <w:rPr>
                <w:color w:val="FFFFFF" w:themeColor="background1"/>
              </w:rPr>
              <w:t>p-value</w:t>
            </w:r>
          </w:p>
        </w:tc>
      </w:tr>
      <w:tr w:rsidR="00242AB1" w:rsidRPr="00242AB1" w14:paraId="1615E8DE" w14:textId="77777777" w:rsidTr="00242AB1">
        <w:tblPrEx>
          <w:tblCellMar>
            <w:top w:w="0" w:type="dxa"/>
            <w:left w:w="108" w:type="dxa"/>
            <w:bottom w:w="0" w:type="dxa"/>
            <w:right w:w="108" w:type="dxa"/>
          </w:tblCellMar>
        </w:tblPrEx>
        <w:tc>
          <w:tcPr>
            <w:tcW w:w="2530" w:type="dxa"/>
            <w:shd w:val="clear" w:color="auto" w:fill="808080" w:themeFill="background1" w:themeFillShade="80"/>
            <w:hideMark/>
          </w:tcPr>
          <w:p w14:paraId="64957FAD" w14:textId="77777777" w:rsidR="00B16F28" w:rsidRPr="00242AB1" w:rsidRDefault="00B16F28">
            <w:pPr>
              <w:pStyle w:val="NormalWeb"/>
              <w:rPr>
                <w:b/>
                <w:color w:val="FFFFFF" w:themeColor="background1"/>
              </w:rPr>
            </w:pPr>
            <w:r w:rsidRPr="00242AB1">
              <w:rPr>
                <w:b/>
                <w:color w:val="FFFFFF" w:themeColor="background1"/>
              </w:rPr>
              <w:t>Urban</w:t>
            </w:r>
          </w:p>
        </w:tc>
        <w:tc>
          <w:tcPr>
            <w:tcW w:w="2693" w:type="dxa"/>
            <w:shd w:val="clear" w:color="auto" w:fill="808080" w:themeFill="background1" w:themeFillShade="80"/>
            <w:hideMark/>
          </w:tcPr>
          <w:p w14:paraId="56500602"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2552" w:type="dxa"/>
            <w:shd w:val="clear" w:color="auto" w:fill="808080" w:themeFill="background1" w:themeFillShade="80"/>
            <w:hideMark/>
          </w:tcPr>
          <w:p w14:paraId="570365B9"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1843" w:type="dxa"/>
            <w:shd w:val="clear" w:color="auto" w:fill="808080" w:themeFill="background1" w:themeFillShade="80"/>
            <w:hideMark/>
          </w:tcPr>
          <w:p w14:paraId="386252BC"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1088" w:type="dxa"/>
            <w:shd w:val="clear" w:color="auto" w:fill="808080" w:themeFill="background1" w:themeFillShade="80"/>
            <w:hideMark/>
          </w:tcPr>
          <w:p w14:paraId="2F0CB8AF"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r>
      <w:tr w:rsidR="00B16F28" w14:paraId="6D1D53FF" w14:textId="77777777" w:rsidTr="00C6638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hideMark/>
          </w:tcPr>
          <w:p w14:paraId="61935793" w14:textId="77777777" w:rsidR="00B16F28" w:rsidRDefault="00B16F28">
            <w:pPr>
              <w:pStyle w:val="NormalWeb"/>
            </w:pPr>
            <w:r>
              <w:t>Metropolitan Developed</w:t>
            </w:r>
          </w:p>
        </w:tc>
        <w:tc>
          <w:tcPr>
            <w:tcW w:w="2693" w:type="dxa"/>
            <w:hideMark/>
          </w:tcPr>
          <w:p w14:paraId="6C9394D1" w14:textId="77777777" w:rsidR="00B16F28" w:rsidRDefault="00B16F28">
            <w:pPr>
              <w:pStyle w:val="NormalWeb"/>
            </w:pPr>
            <w:r>
              <w:t>41 (2.5)</w:t>
            </w:r>
          </w:p>
        </w:tc>
        <w:tc>
          <w:tcPr>
            <w:tcW w:w="2552" w:type="dxa"/>
            <w:hideMark/>
          </w:tcPr>
          <w:p w14:paraId="74C0FDC6" w14:textId="77777777" w:rsidR="00B16F28" w:rsidRDefault="00B16F28">
            <w:pPr>
              <w:pStyle w:val="NormalWeb"/>
            </w:pPr>
            <w:r>
              <w:t>0.12</w:t>
            </w:r>
          </w:p>
        </w:tc>
        <w:tc>
          <w:tcPr>
            <w:tcW w:w="1843" w:type="dxa"/>
            <w:hideMark/>
          </w:tcPr>
          <w:p w14:paraId="2AD48BD8" w14:textId="77777777" w:rsidR="00B16F28" w:rsidRDefault="00B16F28">
            <w:pPr>
              <w:pStyle w:val="NormalWeb"/>
            </w:pPr>
            <w:r>
              <w:t>Ref</w:t>
            </w:r>
          </w:p>
        </w:tc>
        <w:tc>
          <w:tcPr>
            <w:tcW w:w="1088" w:type="dxa"/>
            <w:hideMark/>
          </w:tcPr>
          <w:p w14:paraId="37059B23" w14:textId="77777777" w:rsidR="00B16F28" w:rsidRDefault="00B16F28">
            <w:pPr>
              <w:pStyle w:val="NormalWeb"/>
            </w:pPr>
            <w:r>
              <w:t>NA</w:t>
            </w:r>
          </w:p>
        </w:tc>
      </w:tr>
      <w:tr w:rsidR="00B16F28" w14:paraId="3714742B" w14:textId="77777777" w:rsidTr="00C66386">
        <w:tblPrEx>
          <w:tblCellMar>
            <w:top w:w="0" w:type="dxa"/>
            <w:left w:w="108" w:type="dxa"/>
            <w:bottom w:w="0" w:type="dxa"/>
            <w:right w:w="108" w:type="dxa"/>
          </w:tblCellMar>
        </w:tblPrEx>
        <w:tc>
          <w:tcPr>
            <w:tcW w:w="2530" w:type="dxa"/>
            <w:hideMark/>
          </w:tcPr>
          <w:p w14:paraId="192C4604" w14:textId="77777777" w:rsidR="00B16F28" w:rsidRDefault="00B16F28">
            <w:pPr>
              <w:pStyle w:val="NormalWeb"/>
            </w:pPr>
            <w:r>
              <w:t>Regional Town/City</w:t>
            </w:r>
          </w:p>
        </w:tc>
        <w:tc>
          <w:tcPr>
            <w:tcW w:w="2693" w:type="dxa"/>
            <w:hideMark/>
          </w:tcPr>
          <w:p w14:paraId="5286BBFA" w14:textId="77777777" w:rsidR="00B16F28" w:rsidRDefault="00B16F28">
            <w:pPr>
              <w:pStyle w:val="NormalWeb"/>
            </w:pPr>
            <w:r>
              <w:t>806 (48.8)</w:t>
            </w:r>
          </w:p>
        </w:tc>
        <w:tc>
          <w:tcPr>
            <w:tcW w:w="2552" w:type="dxa"/>
            <w:hideMark/>
          </w:tcPr>
          <w:p w14:paraId="15E64C53" w14:textId="77777777" w:rsidR="00B16F28" w:rsidRDefault="00B16F28">
            <w:pPr>
              <w:pStyle w:val="NormalWeb"/>
            </w:pPr>
            <w:r>
              <w:t>3.56</w:t>
            </w:r>
          </w:p>
        </w:tc>
        <w:tc>
          <w:tcPr>
            <w:tcW w:w="1843" w:type="dxa"/>
            <w:hideMark/>
          </w:tcPr>
          <w:p w14:paraId="3F0AD236" w14:textId="77777777" w:rsidR="00B16F28" w:rsidRDefault="00B16F28">
            <w:pPr>
              <w:pStyle w:val="NormalWeb"/>
            </w:pPr>
            <w:r>
              <w:t>29.9 (21.8, 40.9)</w:t>
            </w:r>
          </w:p>
        </w:tc>
        <w:tc>
          <w:tcPr>
            <w:tcW w:w="1088" w:type="dxa"/>
            <w:hideMark/>
          </w:tcPr>
          <w:p w14:paraId="1D2F3517" w14:textId="77777777" w:rsidR="00B16F28" w:rsidRDefault="00B16F28">
            <w:pPr>
              <w:pStyle w:val="NormalWeb"/>
            </w:pPr>
            <w:r>
              <w:t>&lt;0.001</w:t>
            </w:r>
          </w:p>
        </w:tc>
      </w:tr>
      <w:tr w:rsidR="00B16F28" w14:paraId="5D74BE8A" w14:textId="77777777" w:rsidTr="00C6638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hideMark/>
          </w:tcPr>
          <w:p w14:paraId="26B97408" w14:textId="77777777" w:rsidR="00B16F28" w:rsidRDefault="00B16F28">
            <w:pPr>
              <w:pStyle w:val="NormalWeb"/>
            </w:pPr>
            <w:r>
              <w:t>Fringe</w:t>
            </w:r>
          </w:p>
        </w:tc>
        <w:tc>
          <w:tcPr>
            <w:tcW w:w="2693" w:type="dxa"/>
            <w:hideMark/>
          </w:tcPr>
          <w:p w14:paraId="33A52BA7" w14:textId="77777777" w:rsidR="00B16F28" w:rsidRDefault="00B16F28">
            <w:pPr>
              <w:pStyle w:val="NormalWeb"/>
            </w:pPr>
            <w:r>
              <w:t>49 (3.0)</w:t>
            </w:r>
          </w:p>
        </w:tc>
        <w:tc>
          <w:tcPr>
            <w:tcW w:w="2552" w:type="dxa"/>
            <w:hideMark/>
          </w:tcPr>
          <w:p w14:paraId="628869DA" w14:textId="77777777" w:rsidR="00B16F28" w:rsidRDefault="00B16F28">
            <w:pPr>
              <w:pStyle w:val="NormalWeb"/>
            </w:pPr>
            <w:r>
              <w:t>0.31</w:t>
            </w:r>
          </w:p>
        </w:tc>
        <w:tc>
          <w:tcPr>
            <w:tcW w:w="1843" w:type="dxa"/>
            <w:hideMark/>
          </w:tcPr>
          <w:p w14:paraId="2651B547" w14:textId="77777777" w:rsidR="00B16F28" w:rsidRDefault="00B16F28">
            <w:pPr>
              <w:pStyle w:val="NormalWeb"/>
            </w:pPr>
            <w:r>
              <w:t>2.6 (1.7, 4.0)</w:t>
            </w:r>
          </w:p>
        </w:tc>
        <w:tc>
          <w:tcPr>
            <w:tcW w:w="1088" w:type="dxa"/>
            <w:hideMark/>
          </w:tcPr>
          <w:p w14:paraId="27A4198B" w14:textId="77777777" w:rsidR="00B16F28" w:rsidRDefault="00B16F28">
            <w:pPr>
              <w:pStyle w:val="NormalWeb"/>
            </w:pPr>
            <w:r>
              <w:t>&lt;0.001</w:t>
            </w:r>
          </w:p>
        </w:tc>
      </w:tr>
      <w:tr w:rsidR="00242AB1" w:rsidRPr="00242AB1" w14:paraId="696DF1C2" w14:textId="77777777" w:rsidTr="00242AB1">
        <w:tblPrEx>
          <w:tblCellMar>
            <w:top w:w="0" w:type="dxa"/>
            <w:left w:w="108" w:type="dxa"/>
            <w:bottom w:w="0" w:type="dxa"/>
            <w:right w:w="108" w:type="dxa"/>
          </w:tblCellMar>
        </w:tblPrEx>
        <w:tc>
          <w:tcPr>
            <w:tcW w:w="2530" w:type="dxa"/>
            <w:shd w:val="clear" w:color="auto" w:fill="808080" w:themeFill="background1" w:themeFillShade="80"/>
            <w:hideMark/>
          </w:tcPr>
          <w:p w14:paraId="62BE9430" w14:textId="77777777" w:rsidR="00B16F28" w:rsidRPr="00242AB1" w:rsidRDefault="00B16F28">
            <w:pPr>
              <w:pStyle w:val="NormalWeb"/>
              <w:rPr>
                <w:b/>
                <w:color w:val="FFFFFF" w:themeColor="background1"/>
              </w:rPr>
            </w:pPr>
            <w:r w:rsidRPr="00242AB1">
              <w:rPr>
                <w:b/>
                <w:color w:val="FFFFFF" w:themeColor="background1"/>
              </w:rPr>
              <w:t>Rural</w:t>
            </w:r>
          </w:p>
        </w:tc>
        <w:tc>
          <w:tcPr>
            <w:tcW w:w="2693" w:type="dxa"/>
            <w:shd w:val="clear" w:color="auto" w:fill="808080" w:themeFill="background1" w:themeFillShade="80"/>
            <w:hideMark/>
          </w:tcPr>
          <w:p w14:paraId="4447F065"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2552" w:type="dxa"/>
            <w:shd w:val="clear" w:color="auto" w:fill="808080" w:themeFill="background1" w:themeFillShade="80"/>
            <w:hideMark/>
          </w:tcPr>
          <w:p w14:paraId="16DE2F4E"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1843" w:type="dxa"/>
            <w:shd w:val="clear" w:color="auto" w:fill="808080" w:themeFill="background1" w:themeFillShade="80"/>
            <w:hideMark/>
          </w:tcPr>
          <w:p w14:paraId="64C98A4B"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c>
          <w:tcPr>
            <w:tcW w:w="1088" w:type="dxa"/>
            <w:shd w:val="clear" w:color="auto" w:fill="808080" w:themeFill="background1" w:themeFillShade="80"/>
            <w:hideMark/>
          </w:tcPr>
          <w:p w14:paraId="22CB399D" w14:textId="77777777" w:rsidR="00B16F28" w:rsidRPr="00242AB1" w:rsidRDefault="00B16F28">
            <w:pPr>
              <w:rPr>
                <w:rFonts w:eastAsia="Times New Roman"/>
                <w:b/>
                <w:color w:val="FFFFFF" w:themeColor="background1"/>
                <w:sz w:val="24"/>
                <w:szCs w:val="24"/>
              </w:rPr>
            </w:pPr>
            <w:r w:rsidRPr="00242AB1">
              <w:rPr>
                <w:rFonts w:eastAsia="Times New Roman"/>
                <w:b/>
                <w:color w:val="FFFFFF" w:themeColor="background1"/>
              </w:rPr>
              <w:t> </w:t>
            </w:r>
          </w:p>
        </w:tc>
      </w:tr>
      <w:tr w:rsidR="00B16F28" w14:paraId="66343474" w14:textId="77777777" w:rsidTr="00C6638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hideMark/>
          </w:tcPr>
          <w:p w14:paraId="39E08262" w14:textId="77777777" w:rsidR="00B16F28" w:rsidRDefault="00B16F28">
            <w:pPr>
              <w:pStyle w:val="NormalWeb"/>
            </w:pPr>
            <w:r>
              <w:t>Agricultural</w:t>
            </w:r>
          </w:p>
        </w:tc>
        <w:tc>
          <w:tcPr>
            <w:tcW w:w="2693" w:type="dxa"/>
            <w:hideMark/>
          </w:tcPr>
          <w:p w14:paraId="74F6BA72" w14:textId="77777777" w:rsidR="00B16F28" w:rsidRDefault="00B16F28">
            <w:pPr>
              <w:pStyle w:val="NormalWeb"/>
            </w:pPr>
            <w:r>
              <w:t>738 (44.6)</w:t>
            </w:r>
          </w:p>
        </w:tc>
        <w:tc>
          <w:tcPr>
            <w:tcW w:w="2552" w:type="dxa"/>
            <w:hideMark/>
          </w:tcPr>
          <w:p w14:paraId="385BA73E" w14:textId="77777777" w:rsidR="00B16F28" w:rsidRDefault="00B16F28">
            <w:pPr>
              <w:pStyle w:val="NormalWeb"/>
            </w:pPr>
            <w:r>
              <w:t>13.0</w:t>
            </w:r>
          </w:p>
        </w:tc>
        <w:tc>
          <w:tcPr>
            <w:tcW w:w="1843" w:type="dxa"/>
            <w:hideMark/>
          </w:tcPr>
          <w:p w14:paraId="2F2BCADE" w14:textId="77777777" w:rsidR="00B16F28" w:rsidRDefault="00B16F28">
            <w:pPr>
              <w:pStyle w:val="NormalWeb"/>
            </w:pPr>
            <w:r>
              <w:t>108.8 (79.5, 149.0)</w:t>
            </w:r>
          </w:p>
        </w:tc>
        <w:tc>
          <w:tcPr>
            <w:tcW w:w="1088" w:type="dxa"/>
            <w:hideMark/>
          </w:tcPr>
          <w:p w14:paraId="3E127C38" w14:textId="77777777" w:rsidR="00B16F28" w:rsidRDefault="00B16F28">
            <w:pPr>
              <w:pStyle w:val="NormalWeb"/>
            </w:pPr>
            <w:r>
              <w:t>&lt;0.001</w:t>
            </w:r>
          </w:p>
        </w:tc>
      </w:tr>
      <w:tr w:rsidR="00B16F28" w14:paraId="376A1A3F" w14:textId="77777777" w:rsidTr="00C66386">
        <w:tblPrEx>
          <w:tblCellMar>
            <w:top w:w="0" w:type="dxa"/>
            <w:left w:w="108" w:type="dxa"/>
            <w:bottom w:w="0" w:type="dxa"/>
            <w:right w:w="108" w:type="dxa"/>
          </w:tblCellMar>
        </w:tblPrEx>
        <w:tc>
          <w:tcPr>
            <w:tcW w:w="2530" w:type="dxa"/>
            <w:hideMark/>
          </w:tcPr>
          <w:p w14:paraId="7BCD243F" w14:textId="77777777" w:rsidR="00B16F28" w:rsidRDefault="00B16F28">
            <w:pPr>
              <w:pStyle w:val="NormalWeb"/>
            </w:pPr>
            <w:r>
              <w:t>Remote</w:t>
            </w:r>
          </w:p>
        </w:tc>
        <w:tc>
          <w:tcPr>
            <w:tcW w:w="2693" w:type="dxa"/>
            <w:hideMark/>
          </w:tcPr>
          <w:p w14:paraId="07F48A7D" w14:textId="77777777" w:rsidR="00B16F28" w:rsidRDefault="00B16F28">
            <w:pPr>
              <w:pStyle w:val="NormalWeb"/>
            </w:pPr>
            <w:r>
              <w:t>19 (1.2)</w:t>
            </w:r>
          </w:p>
        </w:tc>
        <w:tc>
          <w:tcPr>
            <w:tcW w:w="2552" w:type="dxa"/>
            <w:hideMark/>
          </w:tcPr>
          <w:p w14:paraId="4B718BCA" w14:textId="77777777" w:rsidR="00B16F28" w:rsidRDefault="00B16F28">
            <w:pPr>
              <w:pStyle w:val="NormalWeb"/>
            </w:pPr>
            <w:r>
              <w:t>21.3</w:t>
            </w:r>
          </w:p>
        </w:tc>
        <w:tc>
          <w:tcPr>
            <w:tcW w:w="1843" w:type="dxa"/>
            <w:hideMark/>
          </w:tcPr>
          <w:p w14:paraId="5E0CAEEE" w14:textId="77777777" w:rsidR="00B16F28" w:rsidRDefault="00B16F28">
            <w:pPr>
              <w:pStyle w:val="NormalWeb"/>
            </w:pPr>
            <w:r>
              <w:t>178.5 (103.6, 307.6)</w:t>
            </w:r>
          </w:p>
        </w:tc>
        <w:tc>
          <w:tcPr>
            <w:tcW w:w="1088" w:type="dxa"/>
            <w:hideMark/>
          </w:tcPr>
          <w:p w14:paraId="279FC58B" w14:textId="77777777" w:rsidR="00B16F28" w:rsidRDefault="00B16F28">
            <w:pPr>
              <w:pStyle w:val="NormalWeb"/>
            </w:pPr>
            <w:r>
              <w:t>&lt;0.001</w:t>
            </w:r>
          </w:p>
        </w:tc>
      </w:tr>
      <w:tr w:rsidR="00B16F28" w14:paraId="501695A2" w14:textId="77777777" w:rsidTr="00C6638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FDE9D9" w:themeFill="accent6" w:themeFillTint="33"/>
            <w:hideMark/>
          </w:tcPr>
          <w:p w14:paraId="7C7DB7ED" w14:textId="77777777" w:rsidR="00B16F28" w:rsidRDefault="00B16F28">
            <w:pPr>
              <w:pStyle w:val="NormalWeb"/>
            </w:pPr>
            <w:r>
              <w:t>Total</w:t>
            </w:r>
          </w:p>
        </w:tc>
        <w:tc>
          <w:tcPr>
            <w:tcW w:w="2693" w:type="dxa"/>
            <w:shd w:val="clear" w:color="auto" w:fill="FDE9D9" w:themeFill="accent6" w:themeFillTint="33"/>
            <w:hideMark/>
          </w:tcPr>
          <w:p w14:paraId="7E060584" w14:textId="77777777" w:rsidR="00B16F28" w:rsidRDefault="00B16F28">
            <w:pPr>
              <w:pStyle w:val="NormalWeb"/>
            </w:pPr>
            <w:r>
              <w:t>1</w:t>
            </w:r>
            <w:r w:rsidR="00CA7D78">
              <w:t>,</w:t>
            </w:r>
            <w:r>
              <w:t>653</w:t>
            </w:r>
          </w:p>
        </w:tc>
        <w:tc>
          <w:tcPr>
            <w:tcW w:w="2552" w:type="dxa"/>
            <w:shd w:val="clear" w:color="auto" w:fill="FDE9D9" w:themeFill="accent6" w:themeFillTint="33"/>
            <w:hideMark/>
          </w:tcPr>
          <w:p w14:paraId="480E940F" w14:textId="77777777" w:rsidR="00B16F28" w:rsidRDefault="00B16F28">
            <w:pPr>
              <w:pStyle w:val="NormalWeb"/>
            </w:pPr>
            <w:r>
              <w:t>2.11</w:t>
            </w:r>
          </w:p>
        </w:tc>
        <w:tc>
          <w:tcPr>
            <w:tcW w:w="1843" w:type="dxa"/>
            <w:shd w:val="clear" w:color="auto" w:fill="FDE9D9" w:themeFill="accent6" w:themeFillTint="33"/>
            <w:hideMark/>
          </w:tcPr>
          <w:p w14:paraId="7252EE12" w14:textId="77777777" w:rsidR="00B16F28" w:rsidRDefault="00B16F28">
            <w:pPr>
              <w:rPr>
                <w:rFonts w:eastAsia="Times New Roman"/>
                <w:sz w:val="24"/>
                <w:szCs w:val="24"/>
              </w:rPr>
            </w:pPr>
            <w:r>
              <w:rPr>
                <w:rFonts w:eastAsia="Times New Roman"/>
              </w:rPr>
              <w:t> </w:t>
            </w:r>
          </w:p>
        </w:tc>
        <w:tc>
          <w:tcPr>
            <w:tcW w:w="1088" w:type="dxa"/>
            <w:shd w:val="clear" w:color="auto" w:fill="FDE9D9" w:themeFill="accent6" w:themeFillTint="33"/>
            <w:hideMark/>
          </w:tcPr>
          <w:p w14:paraId="72841495" w14:textId="77777777" w:rsidR="00B16F28" w:rsidRDefault="00B16F28">
            <w:pPr>
              <w:rPr>
                <w:rFonts w:eastAsia="Times New Roman"/>
                <w:sz w:val="24"/>
                <w:szCs w:val="24"/>
              </w:rPr>
            </w:pPr>
            <w:r>
              <w:rPr>
                <w:rFonts w:eastAsia="Times New Roman"/>
              </w:rPr>
              <w:t> </w:t>
            </w:r>
          </w:p>
        </w:tc>
      </w:tr>
    </w:tbl>
    <w:p w14:paraId="0D774B49" w14:textId="77777777" w:rsidR="00B16F28" w:rsidRDefault="00B16F28" w:rsidP="00C66386">
      <w:pPr>
        <w:pStyle w:val="CDIfootnotes"/>
      </w:pPr>
      <w:r w:rsidRPr="00C66386">
        <w:rPr>
          <w:rStyle w:val="Emphasis"/>
          <w:b w:val="0"/>
        </w:rPr>
        <w:t>Only those cases that were acquired in NSW were included in the analysis</w:t>
      </w:r>
      <w:r>
        <w:t xml:space="preserve"> ( </w:t>
      </w:r>
      <w:r w:rsidRPr="00C66386">
        <w:rPr>
          <w:rStyle w:val="Emphasis"/>
          <w:b w:val="0"/>
        </w:rPr>
        <w:t>n</w:t>
      </w:r>
      <w:r>
        <w:t xml:space="preserve"> =1,653).</w:t>
      </w:r>
    </w:p>
    <w:p w14:paraId="348FE46C" w14:textId="77777777" w:rsidR="00B16F28" w:rsidRDefault="00B16F28" w:rsidP="00E7147D">
      <w:r>
        <w:t xml:space="preserve">Analysis was performed in Excel 2011 and R version 3.3.2 (R Foundation for Statistical Computing, Vienna, Austria). Data were separated into </w:t>
      </w:r>
      <w:r w:rsidR="00CA7D78">
        <w:t>2</w:t>
      </w:r>
      <w:r>
        <w:t xml:space="preserve"> groups, 1 January 2005 - 31 December 2010 and 1 January 2011 - 31 December 2015. The latter period followed the introduction of improved data collection methods, which allowed more detailed evaluation of putative exposures. Data were summarised using counts and proportions. Notification rates were calculated using Australian Bureau of Statistics data for each year as the denominator.</w:t>
      </w:r>
      <w:r>
        <w:rPr>
          <w:vertAlign w:val="superscript"/>
        </w:rPr>
        <w:t>14</w:t>
      </w:r>
      <w:r>
        <w:t xml:space="preserve"> </w:t>
      </w:r>
    </w:p>
    <w:p w14:paraId="0F3ABFDB" w14:textId="77777777" w:rsidR="00B16F28" w:rsidRDefault="00B16F28" w:rsidP="00E7147D">
      <w:r>
        <w:t>To analyse the spatial distribution, cases were aggregated by LGA. Categorisation and sub-categorisation of LGAs was made according to Comparative Information on NSW Local Government Councils 2010/2011 available from the NSW state government.</w:t>
      </w:r>
      <w:r>
        <w:rPr>
          <w:vertAlign w:val="superscript"/>
        </w:rPr>
        <w:t>15</w:t>
      </w:r>
      <w:r>
        <w:t xml:space="preserve"> Urban LGAs were sub-categorised as: metropolitan developed, regional town/city and fringe; whilst rural LGAs were sub-categorised as: agricultural and remote. Cumulative incidence of Q fever was mapped by LGA using ArcGIS® software (ESRI, California, USA). Relative risk (RR) comparing cumulative incidence in each sub-category to metropolitan developed were calculated using 2x2 tables, with 95% confidence intervals (95% CI) and p-values generated in R. </w:t>
      </w:r>
    </w:p>
    <w:p w14:paraId="5BDEE603" w14:textId="77777777" w:rsidR="00B16F28" w:rsidRDefault="00B16F28" w:rsidP="00E7147D">
      <w:r>
        <w:t xml:space="preserve">Data utilised in this study were collected under the </w:t>
      </w:r>
      <w:r w:rsidRPr="00C66386">
        <w:rPr>
          <w:rStyle w:val="Emphasis"/>
          <w:b w:val="0"/>
        </w:rPr>
        <w:t>NSW Public Health Act 2010</w:t>
      </w:r>
      <w:r>
        <w:t>. Ethics approval for this study was granted by the University of Sydney Human Research Ethics Committee (Project No: 2015/929).</w:t>
      </w:r>
    </w:p>
    <w:p w14:paraId="112AD670" w14:textId="77777777" w:rsidR="00B16F28" w:rsidRPr="00E7147D" w:rsidRDefault="00B16F28" w:rsidP="00E7147D">
      <w:pPr>
        <w:pStyle w:val="Heading1"/>
      </w:pPr>
      <w:r w:rsidRPr="00E7147D">
        <w:rPr>
          <w:rStyle w:val="Strong"/>
          <w:b/>
          <w:bCs/>
        </w:rPr>
        <w:t>Results</w:t>
      </w:r>
      <w:r w:rsidRPr="00E7147D">
        <w:t xml:space="preserve"> </w:t>
      </w:r>
    </w:p>
    <w:p w14:paraId="337135E5" w14:textId="77777777" w:rsidR="00B16F28" w:rsidRDefault="00B16F28" w:rsidP="00E7147D">
      <w:r>
        <w:t>Between 2005 and 2015, 1</w:t>
      </w:r>
      <w:r w:rsidR="00CA7D78">
        <w:t>,</w:t>
      </w:r>
      <w:r>
        <w:t>653 confirmed cases of Q fever were notified in NSW residents who acquired the disease in this state. This corresponds to annual notification rates ranging from 1.41 to 2.81 per 100,000 population across the study period, with a sustained increase seen from 2013 (Figure 1). Males comprised 75.4% of all notifications, and the highest numbers of notifications were in the 45-49, 50-54 and 55-59 year age groups (Figure 2).</w:t>
      </w:r>
    </w:p>
    <w:p w14:paraId="192D564E" w14:textId="77777777" w:rsidR="00E7147D" w:rsidRDefault="00E7147D">
      <w:pPr>
        <w:rPr>
          <w:b/>
        </w:rPr>
      </w:pPr>
      <w:r>
        <w:lastRenderedPageBreak/>
        <w:br w:type="page"/>
      </w:r>
    </w:p>
    <w:p w14:paraId="7B54A614" w14:textId="77777777" w:rsidR="00B16F28" w:rsidRDefault="00B16F28" w:rsidP="00E7147D">
      <w:pPr>
        <w:pStyle w:val="CDIFigures"/>
      </w:pPr>
      <w:r>
        <w:lastRenderedPageBreak/>
        <w:t>Figure 1: Q fever notifications and rates in New South Wales residents, by year, 2005-2015.</w:t>
      </w:r>
    </w:p>
    <w:p w14:paraId="797452DC" w14:textId="77777777" w:rsidR="00B16F28" w:rsidRDefault="00B16F28">
      <w:pPr>
        <w:pStyle w:val="NormalWeb"/>
      </w:pPr>
      <w:r>
        <w:rPr>
          <w:noProof/>
        </w:rPr>
        <w:drawing>
          <wp:inline distT="0" distB="0" distL="0" distR="0" wp14:anchorId="02AC2C4B" wp14:editId="17743494">
            <wp:extent cx="6631387" cy="4621209"/>
            <wp:effectExtent l="0" t="0" r="0" b="8255"/>
            <wp:docPr id="1" name="Picture 1" descr=" Figure 1 is a bar chart of the notifications of confirmed cases of Q fever by year in NSW, 2005-2015 (n=1653) with the incidence per 100,000 persons overlaid. The count of notifications and incidence rose from 143 and 2.00 per 100,000 persons respectively in 2005 to 201 and 2.82 per 100,000 persons in 2007, then fell from 2007 to a low in 2012 of 101 notifications and an incidence of 1.42 per 100,000 persons. Prior to rising again to 204 and 2.85 per 100,000 persons in 2015. A label denotes the introduction of NCIMS in 2010 when enhanced data collection commenced" title="Figure 1: Q fever notifications and rates in New South Wales residents, by year, 200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10-Siobhan M. Mor-Surveillance system enhancements for Q fever in NSW, 2005-2015\MS-Word output\tables-web-resources\image\35799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3187" cy="4622464"/>
                    </a:xfrm>
                    <a:prstGeom prst="rect">
                      <a:avLst/>
                    </a:prstGeom>
                    <a:noFill/>
                    <a:ln>
                      <a:noFill/>
                    </a:ln>
                  </pic:spPr>
                </pic:pic>
              </a:graphicData>
            </a:graphic>
          </wp:inline>
        </w:drawing>
      </w:r>
    </w:p>
    <w:p w14:paraId="7E9BBD07" w14:textId="77777777" w:rsidR="00B16F28" w:rsidRDefault="00B16F28" w:rsidP="00E7147D">
      <w:pPr>
        <w:pStyle w:val="CDIfootnotes"/>
      </w:pPr>
      <w:r w:rsidRPr="00C66386">
        <w:rPr>
          <w:rStyle w:val="Emphasis"/>
          <w:b w:val="0"/>
        </w:rPr>
        <w:t>Only those cases that were acquired in NSW were included in the analysis</w:t>
      </w:r>
      <w:r>
        <w:t xml:space="preserve"> ( </w:t>
      </w:r>
      <w:r w:rsidRPr="00C66386">
        <w:rPr>
          <w:rStyle w:val="Emphasis"/>
          <w:b w:val="0"/>
        </w:rPr>
        <w:t>n</w:t>
      </w:r>
      <w:r>
        <w:t xml:space="preserve"> =1,653).</w:t>
      </w:r>
      <w:r w:rsidR="00E7147D">
        <w:br/>
      </w:r>
      <w:r>
        <w:t>NCIMS – Notifiable Conditions Information Management System</w:t>
      </w:r>
    </w:p>
    <w:p w14:paraId="37AFA02B" w14:textId="77777777" w:rsidR="00E7147D" w:rsidRDefault="00E7147D">
      <w:pPr>
        <w:rPr>
          <w:b/>
        </w:rPr>
      </w:pPr>
      <w:r>
        <w:br w:type="page"/>
      </w:r>
    </w:p>
    <w:p w14:paraId="67A05761" w14:textId="77777777" w:rsidR="00B16F28" w:rsidRDefault="00B16F28" w:rsidP="00E7147D">
      <w:pPr>
        <w:pStyle w:val="CDIFigures"/>
      </w:pPr>
      <w:r>
        <w:lastRenderedPageBreak/>
        <w:t>Figure 2: Q fever notifications in New South Wales residents, by age and gender, 2005-2015.</w:t>
      </w:r>
    </w:p>
    <w:p w14:paraId="0D450234" w14:textId="77777777" w:rsidR="00B16F28" w:rsidRDefault="00B16F28">
      <w:pPr>
        <w:pStyle w:val="NormalWeb"/>
      </w:pPr>
      <w:r>
        <w:rPr>
          <w:noProof/>
        </w:rPr>
        <w:drawing>
          <wp:inline distT="0" distB="0" distL="0" distR="0" wp14:anchorId="222BFA83" wp14:editId="249D8F23">
            <wp:extent cx="6656085" cy="4635104"/>
            <wp:effectExtent l="0" t="0" r="0" b="0"/>
            <wp:docPr id="2" name="Picture 2" descr="Figure 2 is a bar chart showing counts of Q fever notifications by 5-year age groups and gender. Age-group specific notifications were highest in middle aged males, peaking at 169 in males aged 55 to 59 years.  Age-group specific notifications peaked in females aged 40 to 44 years with 118 notifications. " title="Figure 2: Q fever notifications in New South Wales residents, by age and gender, 200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taging\CDESS\ZoFE\CDI\Desktopping\OpenCDI\OpenCDI-2018-volume\10-Siobhan M. Mor-Surveillance system enhancements for Q fever in NSW, 2005-2015\MS-Word output\tables-web-resources\image\358150.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56085" cy="4635104"/>
                    </a:xfrm>
                    <a:prstGeom prst="rect">
                      <a:avLst/>
                    </a:prstGeom>
                    <a:noFill/>
                    <a:ln>
                      <a:noFill/>
                    </a:ln>
                  </pic:spPr>
                </pic:pic>
              </a:graphicData>
            </a:graphic>
          </wp:inline>
        </w:drawing>
      </w:r>
    </w:p>
    <w:p w14:paraId="2B722FD3" w14:textId="77777777" w:rsidR="00B16F28" w:rsidRDefault="00B16F28" w:rsidP="00E7147D">
      <w:pPr>
        <w:pStyle w:val="CDIfootnotes"/>
      </w:pPr>
      <w:r w:rsidRPr="00C66386">
        <w:rPr>
          <w:rStyle w:val="Emphasis"/>
          <w:b w:val="0"/>
        </w:rPr>
        <w:t>Only those cases that were acquired in NSW and which had a known gender were included in the analysis</w:t>
      </w:r>
      <w:r>
        <w:t xml:space="preserve"> ( </w:t>
      </w:r>
      <w:r w:rsidRPr="00C66386">
        <w:rPr>
          <w:rStyle w:val="Emphasis"/>
          <w:b w:val="0"/>
        </w:rPr>
        <w:t>n</w:t>
      </w:r>
      <w:r>
        <w:t xml:space="preserve"> =1,652*).</w:t>
      </w:r>
      <w:r w:rsidR="00E7147D">
        <w:br/>
      </w:r>
      <w:r>
        <w:t>*One case had no gender reported.</w:t>
      </w:r>
    </w:p>
    <w:p w14:paraId="56A18E90" w14:textId="77777777" w:rsidR="00B16F28" w:rsidRDefault="00B16F28" w:rsidP="00A14CE6">
      <w:r>
        <w:t xml:space="preserve">Cumulative Q fever notification rates for the full 11 year study period (2005-2015) </w:t>
      </w:r>
      <w:r w:rsidR="00CA7D78">
        <w:t>have</w:t>
      </w:r>
      <w:r>
        <w:t xml:space="preserve"> been collated in Figure 3 to show geographical trends, with higher rates in the west and north-west of NSW. In rural LGAs, the notification rate was 1.19 per 100,000 population per year which was significantly higher than in urban LGAs (0.20 per 100,000 per year; RR 11.39; 95% CI 9.97, 13.01, p &lt; 0.001). Within urban LGAs there was substantial variation in incidence (Table 1). The actual exposure location was unable to be determined using the current surveillance data.</w:t>
      </w:r>
    </w:p>
    <w:p w14:paraId="0EE70D25" w14:textId="77777777" w:rsidR="00A14CE6" w:rsidRDefault="00A14CE6">
      <w:pPr>
        <w:rPr>
          <w:b/>
        </w:rPr>
      </w:pPr>
      <w:r>
        <w:br w:type="page"/>
      </w:r>
    </w:p>
    <w:p w14:paraId="50F00E52" w14:textId="77777777" w:rsidR="00B16F28" w:rsidRDefault="00B16F28" w:rsidP="00A14CE6">
      <w:pPr>
        <w:pStyle w:val="CDIFigures"/>
      </w:pPr>
      <w:r>
        <w:lastRenderedPageBreak/>
        <w:t>Figure 3: Cumulative incidence of Q fever notifications per 100,000 residents in New South Wales.</w:t>
      </w:r>
    </w:p>
    <w:p w14:paraId="24623D60" w14:textId="77777777" w:rsidR="00B16F28" w:rsidRDefault="00B16F28">
      <w:pPr>
        <w:pStyle w:val="NormalWeb"/>
      </w:pPr>
      <w:r>
        <w:rPr>
          <w:noProof/>
        </w:rPr>
        <w:drawing>
          <wp:inline distT="0" distB="0" distL="0" distR="0" wp14:anchorId="0C362F17" wp14:editId="613FD2C5">
            <wp:extent cx="6631387" cy="5586705"/>
            <wp:effectExtent l="0" t="0" r="0" b="0"/>
            <wp:docPr id="3" name="Picture 3" descr="Figure 3 is a map of the local government areas of NSW showing the cumulative incidence of Q fever per 100,000 persons over 11 years (2005-2015). The cumulative incidence was greatest in the north eastern local government areas. The incidence also increased with increasing distance from Sydney. " title="Figure 3: Cumulative incidence of Q fever notifications per 100,000 residents in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ging\CDESS\ZoFE\CDI\Desktopping\OpenCDI\OpenCDI-2018-volume\10-Siobhan M. Mor-Surveillance system enhancements for Q fever in NSW, 2005-2015\MS-Word output\tables-web-resources\image\f3.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43" t="644" r="-543" b="-644"/>
                    <a:stretch>
                      <a:fillRect/>
                    </a:stretch>
                  </pic:blipFill>
                  <pic:spPr bwMode="auto">
                    <a:xfrm>
                      <a:off x="0" y="0"/>
                      <a:ext cx="6631387" cy="5586705"/>
                    </a:xfrm>
                    <a:prstGeom prst="rect">
                      <a:avLst/>
                    </a:prstGeom>
                    <a:noFill/>
                    <a:ln>
                      <a:noFill/>
                    </a:ln>
                  </pic:spPr>
                </pic:pic>
              </a:graphicData>
            </a:graphic>
          </wp:inline>
        </w:drawing>
      </w:r>
    </w:p>
    <w:p w14:paraId="67D960B1" w14:textId="77777777" w:rsidR="00B16F28" w:rsidRDefault="00B16F28" w:rsidP="00A14CE6">
      <w:pPr>
        <w:pStyle w:val="CDIfootnotes"/>
      </w:pPr>
      <w:r>
        <w:t>Only those cases that were acquired in NSW were included in the analysis (n=1,653).</w:t>
      </w:r>
    </w:p>
    <w:p w14:paraId="195F57D2" w14:textId="77777777" w:rsidR="00B16F28" w:rsidRDefault="00B16F28" w:rsidP="00A14CE6">
      <w:r>
        <w:t>For the period 2011-2015, 722 Q fever cases were reported as being acquired in NSW. Aboriginal and/or Torres Strait Islander Australians accounted for 25 of these notifications (3.5%, the same as the population percentage). Of the 722 reported cases, 336 (46.5%) were hospitalised. Symptoms reported included: fever (n=638; 88.4%); headache (517; 71.6%); malaise (487; 67.5%); chills (537; 74.4%); and lethargy (559; 77.4%). Abnormal liver function tests were reported in 447 cases (61.9%). Q fever vaccination status was reported in 670/722 cases (92.8%), of whom 10 (1.5%) were recorded as being vaccinated.</w:t>
      </w:r>
    </w:p>
    <w:p w14:paraId="79B8CDE1" w14:textId="77777777" w:rsidR="00B16F28" w:rsidRDefault="00B16F28" w:rsidP="00A14CE6">
      <w:r>
        <w:t>Putative sources of exposure are shown in Table 2 and Figure 4. Prior to the introduction of NCIMS (2005-2010) the proportion of cases with an unknown exposure source ranged from 64.9% in 2006 to 32.4% in 2010</w:t>
      </w:r>
      <w:r w:rsidR="00991947">
        <w:t>,</w:t>
      </w:r>
      <w:r>
        <w:t xml:space="preserve"> with an average of 49.1%. After the introduction of NCIMS (2011-2015) the proportion of cases with an unknown exposure source ranged from 17.1% in 2011 to 7.8% in 2015</w:t>
      </w:r>
      <w:r w:rsidR="00991947">
        <w:t>,</w:t>
      </w:r>
      <w:r>
        <w:t xml:space="preserve"> with an average of 11.9% (Figure 4). Between 2011-2015, a high-risk occupation was reported in only 345/660 (52.3%) of notifications with a known occupation (Table 2). Of 641 with a known animal exposure, 345 (53.8%) had direct contact with livestock (Table 2). Examples of transmission following indirect contact with livestock – reported in 62 cases – included being in proximity to livestock, livestock holding areas or trucks (23 cases) and laundering clothing contaminated by livestock waste (8 cases). Direct or indirect </w:t>
      </w:r>
      <w:r>
        <w:lastRenderedPageBreak/>
        <w:t>contact with native/feral animals was reported in 111/641 (17.3%) cases with a known exposure to animals (Table 2). Changes to NCIMS (2011-2015) appeared to enhance capture of data on indirect exposure to native/feral animals, particularly in urban areas (Figure 4). Of the 59 cases that had indirect contact with native/wild animals, mowing areas contaminated by faeces of native animals (26 cases) and close proximity to kangaroos/wallabies or their faeces (21 cases) were the most common exposures noted. Fifteen (2.3%) cases had direct contact with companion animals, while a further 86 cases had multiple putative exposures (e.g. livestock and native animals)</w:t>
      </w:r>
      <w:r w:rsidR="00332900">
        <w:t> </w:t>
      </w:r>
      <w:r>
        <w:t>(Table 2).</w:t>
      </w:r>
    </w:p>
    <w:p w14:paraId="41BF3297" w14:textId="77777777" w:rsidR="00B16F28" w:rsidRDefault="00B16F28" w:rsidP="00A14CE6">
      <w:pPr>
        <w:pStyle w:val="CDIFigures"/>
      </w:pPr>
      <w:r>
        <w:t xml:space="preserve">Table 2: Q fever notifications by occupation, animal exposure and local government area (LGA) classification in New South Wales, 2011-2015 (n=722). </w:t>
      </w:r>
    </w:p>
    <w:tbl>
      <w:tblPr>
        <w:tblStyle w:val="CDI-StandardTable"/>
        <w:tblW w:w="0" w:type="auto"/>
        <w:tblLook w:val="04A0" w:firstRow="1" w:lastRow="0" w:firstColumn="1" w:lastColumn="0" w:noHBand="0" w:noVBand="1"/>
        <w:tblCaption w:val="Table 2: Q fever notifications by occupation, animal exposure and local government area (LGA) classification in New South Wales, 2011-2015 (n=722). "/>
        <w:tblDescription w:val="Table 2 shows the counts of notifications by occupation, animal exposure and local government area (LGA) classification in New South Wales, 2011-2015 (n=722). The nature of animal exposure is also detailed for 641 cases that reportedly had contact with animals. "/>
      </w:tblPr>
      <w:tblGrid>
        <w:gridCol w:w="3066"/>
        <w:gridCol w:w="2124"/>
        <w:gridCol w:w="1733"/>
        <w:gridCol w:w="807"/>
        <w:gridCol w:w="1310"/>
        <w:gridCol w:w="959"/>
        <w:gridCol w:w="707"/>
      </w:tblGrid>
      <w:tr w:rsidR="00804D19" w:rsidRPr="00804D19" w14:paraId="5785D76D" w14:textId="77777777" w:rsidTr="00804D19">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808080" w:themeFill="background1" w:themeFillShade="80"/>
            <w:hideMark/>
          </w:tcPr>
          <w:p w14:paraId="5F049C73"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LGA Classification</w:t>
            </w:r>
          </w:p>
        </w:tc>
        <w:tc>
          <w:tcPr>
            <w:tcW w:w="0" w:type="auto"/>
            <w:gridSpan w:val="3"/>
            <w:shd w:val="clear" w:color="auto" w:fill="808080" w:themeFill="background1" w:themeFillShade="80"/>
            <w:hideMark/>
          </w:tcPr>
          <w:p w14:paraId="4EF2E090"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Urban</w:t>
            </w:r>
          </w:p>
        </w:tc>
        <w:tc>
          <w:tcPr>
            <w:tcW w:w="0" w:type="auto"/>
            <w:gridSpan w:val="2"/>
            <w:shd w:val="clear" w:color="auto" w:fill="808080" w:themeFill="background1" w:themeFillShade="80"/>
            <w:hideMark/>
          </w:tcPr>
          <w:p w14:paraId="569DC6A8"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Rural</w:t>
            </w:r>
          </w:p>
        </w:tc>
        <w:tc>
          <w:tcPr>
            <w:tcW w:w="0" w:type="auto"/>
            <w:vMerge w:val="restart"/>
            <w:shd w:val="clear" w:color="auto" w:fill="808080" w:themeFill="background1" w:themeFillShade="80"/>
            <w:hideMark/>
          </w:tcPr>
          <w:p w14:paraId="7DDB0CC5"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Total</w:t>
            </w:r>
          </w:p>
        </w:tc>
      </w:tr>
      <w:tr w:rsidR="00804D19" w:rsidRPr="00804D19" w14:paraId="5F7B3008" w14:textId="77777777" w:rsidTr="00804D19">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808080" w:themeFill="background1" w:themeFillShade="80"/>
            <w:hideMark/>
          </w:tcPr>
          <w:p w14:paraId="44A66629"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LGA Sub-Classification</w:t>
            </w:r>
          </w:p>
        </w:tc>
        <w:tc>
          <w:tcPr>
            <w:tcW w:w="0" w:type="auto"/>
            <w:shd w:val="clear" w:color="auto" w:fill="808080" w:themeFill="background1" w:themeFillShade="80"/>
            <w:hideMark/>
          </w:tcPr>
          <w:p w14:paraId="3EAA0C82"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Metropolitan Developed</w:t>
            </w:r>
          </w:p>
        </w:tc>
        <w:tc>
          <w:tcPr>
            <w:tcW w:w="0" w:type="auto"/>
            <w:shd w:val="clear" w:color="auto" w:fill="808080" w:themeFill="background1" w:themeFillShade="80"/>
            <w:hideMark/>
          </w:tcPr>
          <w:p w14:paraId="1CAEBA5C"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Regional Town/City</w:t>
            </w:r>
          </w:p>
        </w:tc>
        <w:tc>
          <w:tcPr>
            <w:tcW w:w="0" w:type="auto"/>
            <w:shd w:val="clear" w:color="auto" w:fill="808080" w:themeFill="background1" w:themeFillShade="80"/>
            <w:hideMark/>
          </w:tcPr>
          <w:p w14:paraId="76301ACF"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Fringe</w:t>
            </w:r>
          </w:p>
        </w:tc>
        <w:tc>
          <w:tcPr>
            <w:tcW w:w="0" w:type="auto"/>
            <w:shd w:val="clear" w:color="auto" w:fill="808080" w:themeFill="background1" w:themeFillShade="80"/>
            <w:hideMark/>
          </w:tcPr>
          <w:p w14:paraId="2E816AAA"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Agricultural</w:t>
            </w:r>
          </w:p>
        </w:tc>
        <w:tc>
          <w:tcPr>
            <w:tcW w:w="0" w:type="auto"/>
            <w:shd w:val="clear" w:color="auto" w:fill="808080" w:themeFill="background1" w:themeFillShade="80"/>
            <w:hideMark/>
          </w:tcPr>
          <w:p w14:paraId="35E5D227" w14:textId="77777777" w:rsidR="00B16F28" w:rsidRPr="00804D19" w:rsidRDefault="00B16F28">
            <w:pPr>
              <w:rPr>
                <w:rFonts w:eastAsia="Times New Roman"/>
                <w:color w:val="FFFFFF" w:themeColor="background1"/>
                <w:sz w:val="24"/>
                <w:szCs w:val="24"/>
              </w:rPr>
            </w:pPr>
            <w:r w:rsidRPr="00804D19">
              <w:rPr>
                <w:rFonts w:eastAsia="Times New Roman"/>
                <w:color w:val="FFFFFF" w:themeColor="background1"/>
              </w:rPr>
              <w:t>Remote</w:t>
            </w:r>
          </w:p>
        </w:tc>
        <w:tc>
          <w:tcPr>
            <w:tcW w:w="0" w:type="auto"/>
            <w:vMerge/>
            <w:shd w:val="clear" w:color="auto" w:fill="808080" w:themeFill="background1" w:themeFillShade="80"/>
            <w:hideMark/>
          </w:tcPr>
          <w:p w14:paraId="4CBBE634" w14:textId="77777777" w:rsidR="00B16F28" w:rsidRPr="00804D19" w:rsidRDefault="00B16F28">
            <w:pPr>
              <w:rPr>
                <w:rFonts w:eastAsia="Times New Roman"/>
                <w:color w:val="FFFFFF" w:themeColor="background1"/>
                <w:sz w:val="24"/>
                <w:szCs w:val="24"/>
              </w:rPr>
            </w:pPr>
          </w:p>
        </w:tc>
      </w:tr>
      <w:tr w:rsidR="00804D19" w14:paraId="24D2F717" w14:textId="77777777" w:rsidTr="00A14CE6">
        <w:tblPrEx>
          <w:tblCellMar>
            <w:top w:w="0" w:type="dxa"/>
            <w:left w:w="108" w:type="dxa"/>
            <w:bottom w:w="0" w:type="dxa"/>
            <w:right w:w="108" w:type="dxa"/>
          </w:tblCellMar>
        </w:tblPrEx>
        <w:tc>
          <w:tcPr>
            <w:tcW w:w="0" w:type="auto"/>
            <w:shd w:val="clear" w:color="auto" w:fill="FDE9D9" w:themeFill="accent6" w:themeFillTint="33"/>
            <w:hideMark/>
          </w:tcPr>
          <w:p w14:paraId="13EE8644" w14:textId="77777777" w:rsidR="00B16F28" w:rsidRDefault="00B16F28">
            <w:pPr>
              <w:rPr>
                <w:rFonts w:eastAsia="Times New Roman"/>
                <w:sz w:val="24"/>
                <w:szCs w:val="24"/>
              </w:rPr>
            </w:pPr>
            <w:r>
              <w:rPr>
                <w:rFonts w:eastAsia="Times New Roman"/>
              </w:rPr>
              <w:t>Total</w:t>
            </w:r>
          </w:p>
        </w:tc>
        <w:tc>
          <w:tcPr>
            <w:tcW w:w="0" w:type="auto"/>
            <w:shd w:val="clear" w:color="auto" w:fill="FDE9D9" w:themeFill="accent6" w:themeFillTint="33"/>
            <w:hideMark/>
          </w:tcPr>
          <w:p w14:paraId="40A18CA2" w14:textId="77777777" w:rsidR="00B16F28" w:rsidRDefault="00B16F28">
            <w:pPr>
              <w:rPr>
                <w:rFonts w:eastAsia="Times New Roman"/>
                <w:sz w:val="24"/>
                <w:szCs w:val="24"/>
              </w:rPr>
            </w:pPr>
            <w:r>
              <w:rPr>
                <w:rFonts w:eastAsia="Times New Roman"/>
              </w:rPr>
              <w:t>18</w:t>
            </w:r>
          </w:p>
        </w:tc>
        <w:tc>
          <w:tcPr>
            <w:tcW w:w="0" w:type="auto"/>
            <w:shd w:val="clear" w:color="auto" w:fill="FDE9D9" w:themeFill="accent6" w:themeFillTint="33"/>
            <w:hideMark/>
          </w:tcPr>
          <w:p w14:paraId="109D09F5" w14:textId="77777777" w:rsidR="00B16F28" w:rsidRDefault="00B16F28">
            <w:pPr>
              <w:rPr>
                <w:rFonts w:eastAsia="Times New Roman"/>
                <w:sz w:val="24"/>
                <w:szCs w:val="24"/>
              </w:rPr>
            </w:pPr>
            <w:r>
              <w:rPr>
                <w:rFonts w:eastAsia="Times New Roman"/>
              </w:rPr>
              <w:t>366</w:t>
            </w:r>
          </w:p>
        </w:tc>
        <w:tc>
          <w:tcPr>
            <w:tcW w:w="0" w:type="auto"/>
            <w:shd w:val="clear" w:color="auto" w:fill="FDE9D9" w:themeFill="accent6" w:themeFillTint="33"/>
            <w:hideMark/>
          </w:tcPr>
          <w:p w14:paraId="7393AD14" w14:textId="77777777" w:rsidR="00B16F28" w:rsidRDefault="00B16F28">
            <w:pPr>
              <w:rPr>
                <w:rFonts w:eastAsia="Times New Roman"/>
                <w:sz w:val="24"/>
                <w:szCs w:val="24"/>
              </w:rPr>
            </w:pPr>
            <w:r>
              <w:rPr>
                <w:rFonts w:eastAsia="Times New Roman"/>
              </w:rPr>
              <w:t>18</w:t>
            </w:r>
          </w:p>
        </w:tc>
        <w:tc>
          <w:tcPr>
            <w:tcW w:w="0" w:type="auto"/>
            <w:shd w:val="clear" w:color="auto" w:fill="FDE9D9" w:themeFill="accent6" w:themeFillTint="33"/>
            <w:hideMark/>
          </w:tcPr>
          <w:p w14:paraId="0363D77F" w14:textId="77777777" w:rsidR="00B16F28" w:rsidRDefault="00B16F28">
            <w:pPr>
              <w:rPr>
                <w:rFonts w:eastAsia="Times New Roman"/>
                <w:sz w:val="24"/>
                <w:szCs w:val="24"/>
              </w:rPr>
            </w:pPr>
            <w:r>
              <w:rPr>
                <w:rFonts w:eastAsia="Times New Roman"/>
              </w:rPr>
              <w:t>315</w:t>
            </w:r>
          </w:p>
        </w:tc>
        <w:tc>
          <w:tcPr>
            <w:tcW w:w="0" w:type="auto"/>
            <w:shd w:val="clear" w:color="auto" w:fill="FDE9D9" w:themeFill="accent6" w:themeFillTint="33"/>
            <w:hideMark/>
          </w:tcPr>
          <w:p w14:paraId="284EE719" w14:textId="77777777" w:rsidR="00B16F28" w:rsidRDefault="00B16F28">
            <w:pPr>
              <w:rPr>
                <w:rFonts w:eastAsia="Times New Roman"/>
                <w:sz w:val="24"/>
                <w:szCs w:val="24"/>
              </w:rPr>
            </w:pPr>
            <w:r>
              <w:rPr>
                <w:rFonts w:eastAsia="Times New Roman"/>
              </w:rPr>
              <w:t>5</w:t>
            </w:r>
          </w:p>
        </w:tc>
        <w:tc>
          <w:tcPr>
            <w:tcW w:w="0" w:type="auto"/>
            <w:shd w:val="clear" w:color="auto" w:fill="FDE9D9" w:themeFill="accent6" w:themeFillTint="33"/>
            <w:hideMark/>
          </w:tcPr>
          <w:p w14:paraId="76047A41" w14:textId="77777777" w:rsidR="00B16F28" w:rsidRDefault="00B16F28">
            <w:pPr>
              <w:rPr>
                <w:rFonts w:eastAsia="Times New Roman"/>
                <w:sz w:val="24"/>
                <w:szCs w:val="24"/>
              </w:rPr>
            </w:pPr>
            <w:r>
              <w:rPr>
                <w:rFonts w:eastAsia="Times New Roman"/>
              </w:rPr>
              <w:t>722</w:t>
            </w:r>
          </w:p>
        </w:tc>
      </w:tr>
      <w:tr w:rsidR="00A14CE6" w:rsidRPr="00A14CE6" w14:paraId="64B6E2A6"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4C5E015A" w14:textId="77777777" w:rsidR="00B16F28" w:rsidRPr="00A14CE6" w:rsidRDefault="00B16F28">
            <w:pPr>
              <w:rPr>
                <w:rFonts w:eastAsia="Times New Roman"/>
                <w:b/>
                <w:color w:val="FFFFFF" w:themeColor="background1"/>
                <w:sz w:val="24"/>
                <w:szCs w:val="24"/>
              </w:rPr>
            </w:pPr>
            <w:r w:rsidRPr="00A14CE6">
              <w:rPr>
                <w:rFonts w:eastAsia="Times New Roman"/>
                <w:b/>
                <w:color w:val="FFFFFF" w:themeColor="background1"/>
              </w:rPr>
              <w:t>Occupation</w:t>
            </w:r>
          </w:p>
        </w:tc>
        <w:tc>
          <w:tcPr>
            <w:tcW w:w="0" w:type="auto"/>
            <w:shd w:val="clear" w:color="auto" w:fill="808080" w:themeFill="background1" w:themeFillShade="80"/>
            <w:hideMark/>
          </w:tcPr>
          <w:p w14:paraId="4D66A4EC" w14:textId="77777777" w:rsidR="00B16F28" w:rsidRPr="00A14CE6" w:rsidRDefault="00B16F28">
            <w:pPr>
              <w:rPr>
                <w:rFonts w:eastAsia="Times New Roman"/>
                <w:b/>
                <w:color w:val="FFFFFF" w:themeColor="background1"/>
                <w:sz w:val="24"/>
                <w:szCs w:val="24"/>
              </w:rPr>
            </w:pPr>
          </w:p>
        </w:tc>
        <w:tc>
          <w:tcPr>
            <w:tcW w:w="0" w:type="auto"/>
            <w:shd w:val="clear" w:color="auto" w:fill="808080" w:themeFill="background1" w:themeFillShade="80"/>
            <w:hideMark/>
          </w:tcPr>
          <w:p w14:paraId="75D1D9A8" w14:textId="77777777" w:rsidR="00B16F28" w:rsidRPr="00A14CE6" w:rsidRDefault="00B16F28">
            <w:pPr>
              <w:rPr>
                <w:rFonts w:eastAsia="Times New Roman"/>
                <w:b/>
                <w:color w:val="FFFFFF" w:themeColor="background1"/>
                <w:sz w:val="24"/>
                <w:szCs w:val="24"/>
              </w:rPr>
            </w:pPr>
          </w:p>
        </w:tc>
        <w:tc>
          <w:tcPr>
            <w:tcW w:w="0" w:type="auto"/>
            <w:shd w:val="clear" w:color="auto" w:fill="808080" w:themeFill="background1" w:themeFillShade="80"/>
            <w:hideMark/>
          </w:tcPr>
          <w:p w14:paraId="0E97FFC4" w14:textId="77777777" w:rsidR="00B16F28" w:rsidRPr="00A14CE6" w:rsidRDefault="00B16F28">
            <w:pPr>
              <w:rPr>
                <w:rFonts w:eastAsia="Times New Roman"/>
                <w:b/>
                <w:color w:val="FFFFFF" w:themeColor="background1"/>
                <w:sz w:val="24"/>
                <w:szCs w:val="24"/>
              </w:rPr>
            </w:pPr>
          </w:p>
        </w:tc>
        <w:tc>
          <w:tcPr>
            <w:tcW w:w="0" w:type="auto"/>
            <w:shd w:val="clear" w:color="auto" w:fill="808080" w:themeFill="background1" w:themeFillShade="80"/>
            <w:hideMark/>
          </w:tcPr>
          <w:p w14:paraId="783BADE2" w14:textId="77777777" w:rsidR="00B16F28" w:rsidRPr="00A14CE6" w:rsidRDefault="00B16F28">
            <w:pPr>
              <w:rPr>
                <w:rFonts w:eastAsia="Times New Roman"/>
                <w:b/>
                <w:color w:val="FFFFFF" w:themeColor="background1"/>
                <w:sz w:val="24"/>
                <w:szCs w:val="24"/>
              </w:rPr>
            </w:pPr>
          </w:p>
        </w:tc>
        <w:tc>
          <w:tcPr>
            <w:tcW w:w="0" w:type="auto"/>
            <w:shd w:val="clear" w:color="auto" w:fill="808080" w:themeFill="background1" w:themeFillShade="80"/>
            <w:hideMark/>
          </w:tcPr>
          <w:p w14:paraId="248AB356" w14:textId="77777777" w:rsidR="00B16F28" w:rsidRPr="00A14CE6" w:rsidRDefault="00B16F28">
            <w:pPr>
              <w:rPr>
                <w:rFonts w:eastAsia="Times New Roman"/>
                <w:b/>
                <w:color w:val="FFFFFF" w:themeColor="background1"/>
                <w:sz w:val="24"/>
                <w:szCs w:val="24"/>
              </w:rPr>
            </w:pPr>
          </w:p>
        </w:tc>
        <w:tc>
          <w:tcPr>
            <w:tcW w:w="0" w:type="auto"/>
            <w:shd w:val="clear" w:color="auto" w:fill="808080" w:themeFill="background1" w:themeFillShade="80"/>
            <w:hideMark/>
          </w:tcPr>
          <w:p w14:paraId="780EA402" w14:textId="77777777" w:rsidR="00B16F28" w:rsidRPr="00A14CE6" w:rsidRDefault="00B16F28">
            <w:pPr>
              <w:rPr>
                <w:rFonts w:eastAsia="Times New Roman"/>
                <w:b/>
                <w:color w:val="FFFFFF" w:themeColor="background1"/>
                <w:sz w:val="24"/>
                <w:szCs w:val="24"/>
              </w:rPr>
            </w:pPr>
          </w:p>
        </w:tc>
      </w:tr>
      <w:tr w:rsidR="00804D19" w14:paraId="4C537331" w14:textId="77777777" w:rsidTr="00A14CE6">
        <w:tblPrEx>
          <w:tblCellMar>
            <w:top w:w="0" w:type="dxa"/>
            <w:left w:w="108" w:type="dxa"/>
            <w:bottom w:w="0" w:type="dxa"/>
            <w:right w:w="108" w:type="dxa"/>
          </w:tblCellMar>
        </w:tblPrEx>
        <w:tc>
          <w:tcPr>
            <w:tcW w:w="0" w:type="auto"/>
            <w:hideMark/>
          </w:tcPr>
          <w:p w14:paraId="5721F94F" w14:textId="77777777" w:rsidR="00B16F28" w:rsidRDefault="00B16F28">
            <w:pPr>
              <w:rPr>
                <w:rFonts w:eastAsia="Times New Roman"/>
                <w:sz w:val="24"/>
                <w:szCs w:val="24"/>
              </w:rPr>
            </w:pPr>
            <w:r>
              <w:rPr>
                <w:rFonts w:eastAsia="Times New Roman"/>
              </w:rPr>
              <w:t>High risk occupation</w:t>
            </w:r>
          </w:p>
        </w:tc>
        <w:tc>
          <w:tcPr>
            <w:tcW w:w="0" w:type="auto"/>
            <w:hideMark/>
          </w:tcPr>
          <w:p w14:paraId="4D6620F8" w14:textId="77777777" w:rsidR="00B16F28" w:rsidRDefault="00B16F28">
            <w:pPr>
              <w:rPr>
                <w:rFonts w:eastAsia="Times New Roman"/>
                <w:sz w:val="24"/>
                <w:szCs w:val="24"/>
              </w:rPr>
            </w:pPr>
            <w:r>
              <w:rPr>
                <w:rFonts w:eastAsia="Times New Roman"/>
              </w:rPr>
              <w:t>5</w:t>
            </w:r>
          </w:p>
        </w:tc>
        <w:tc>
          <w:tcPr>
            <w:tcW w:w="0" w:type="auto"/>
            <w:hideMark/>
          </w:tcPr>
          <w:p w14:paraId="620B98B1" w14:textId="77777777" w:rsidR="00B16F28" w:rsidRDefault="00B16F28">
            <w:pPr>
              <w:rPr>
                <w:rFonts w:eastAsia="Times New Roman"/>
                <w:sz w:val="24"/>
                <w:szCs w:val="24"/>
              </w:rPr>
            </w:pPr>
            <w:r>
              <w:rPr>
                <w:rFonts w:eastAsia="Times New Roman"/>
              </w:rPr>
              <w:t>131</w:t>
            </w:r>
          </w:p>
        </w:tc>
        <w:tc>
          <w:tcPr>
            <w:tcW w:w="0" w:type="auto"/>
            <w:hideMark/>
          </w:tcPr>
          <w:p w14:paraId="71EDACE4" w14:textId="77777777" w:rsidR="00B16F28" w:rsidRDefault="00B16F28">
            <w:pPr>
              <w:rPr>
                <w:rFonts w:eastAsia="Times New Roman"/>
                <w:sz w:val="24"/>
                <w:szCs w:val="24"/>
              </w:rPr>
            </w:pPr>
            <w:r>
              <w:rPr>
                <w:rFonts w:eastAsia="Times New Roman"/>
              </w:rPr>
              <w:t>9</w:t>
            </w:r>
          </w:p>
        </w:tc>
        <w:tc>
          <w:tcPr>
            <w:tcW w:w="0" w:type="auto"/>
            <w:hideMark/>
          </w:tcPr>
          <w:p w14:paraId="460EAAED" w14:textId="77777777" w:rsidR="00B16F28" w:rsidRDefault="00B16F28">
            <w:pPr>
              <w:rPr>
                <w:rFonts w:eastAsia="Times New Roman"/>
                <w:sz w:val="24"/>
                <w:szCs w:val="24"/>
              </w:rPr>
            </w:pPr>
            <w:r>
              <w:rPr>
                <w:rFonts w:eastAsia="Times New Roman"/>
              </w:rPr>
              <w:t>198</w:t>
            </w:r>
          </w:p>
        </w:tc>
        <w:tc>
          <w:tcPr>
            <w:tcW w:w="0" w:type="auto"/>
            <w:hideMark/>
          </w:tcPr>
          <w:p w14:paraId="3BC028EE" w14:textId="77777777" w:rsidR="00B16F28" w:rsidRDefault="00B16F28">
            <w:pPr>
              <w:rPr>
                <w:rFonts w:eastAsia="Times New Roman"/>
                <w:sz w:val="24"/>
                <w:szCs w:val="24"/>
              </w:rPr>
            </w:pPr>
            <w:r>
              <w:rPr>
                <w:rFonts w:eastAsia="Times New Roman"/>
              </w:rPr>
              <w:t>2</w:t>
            </w:r>
          </w:p>
        </w:tc>
        <w:tc>
          <w:tcPr>
            <w:tcW w:w="0" w:type="auto"/>
            <w:hideMark/>
          </w:tcPr>
          <w:p w14:paraId="55EEFC57" w14:textId="77777777" w:rsidR="00B16F28" w:rsidRDefault="00B16F28">
            <w:pPr>
              <w:rPr>
                <w:rFonts w:eastAsia="Times New Roman"/>
                <w:sz w:val="24"/>
                <w:szCs w:val="24"/>
              </w:rPr>
            </w:pPr>
            <w:r>
              <w:rPr>
                <w:rFonts w:eastAsia="Times New Roman"/>
              </w:rPr>
              <w:t>345</w:t>
            </w:r>
          </w:p>
        </w:tc>
      </w:tr>
      <w:tr w:rsidR="00B16F28" w14:paraId="2352ED03"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876F39F" w14:textId="77777777" w:rsidR="00B16F28" w:rsidRDefault="00B16F28">
            <w:pPr>
              <w:rPr>
                <w:rFonts w:eastAsia="Times New Roman"/>
                <w:sz w:val="24"/>
                <w:szCs w:val="24"/>
              </w:rPr>
            </w:pPr>
            <w:r>
              <w:rPr>
                <w:rFonts w:eastAsia="Times New Roman"/>
              </w:rPr>
              <w:t>Other occupation</w:t>
            </w:r>
          </w:p>
        </w:tc>
        <w:tc>
          <w:tcPr>
            <w:tcW w:w="0" w:type="auto"/>
            <w:hideMark/>
          </w:tcPr>
          <w:p w14:paraId="466CE5EA" w14:textId="77777777" w:rsidR="00B16F28" w:rsidRDefault="00B16F28">
            <w:pPr>
              <w:rPr>
                <w:rFonts w:eastAsia="Times New Roman"/>
                <w:sz w:val="24"/>
                <w:szCs w:val="24"/>
              </w:rPr>
            </w:pPr>
            <w:r>
              <w:rPr>
                <w:rFonts w:eastAsia="Times New Roman"/>
              </w:rPr>
              <w:t>11</w:t>
            </w:r>
          </w:p>
        </w:tc>
        <w:tc>
          <w:tcPr>
            <w:tcW w:w="0" w:type="auto"/>
            <w:hideMark/>
          </w:tcPr>
          <w:p w14:paraId="5ABD22F7" w14:textId="77777777" w:rsidR="00B16F28" w:rsidRDefault="00B16F28">
            <w:pPr>
              <w:rPr>
                <w:rFonts w:eastAsia="Times New Roman"/>
                <w:sz w:val="24"/>
                <w:szCs w:val="24"/>
              </w:rPr>
            </w:pPr>
            <w:r>
              <w:rPr>
                <w:rFonts w:eastAsia="Times New Roman"/>
              </w:rPr>
              <w:t>199</w:t>
            </w:r>
          </w:p>
        </w:tc>
        <w:tc>
          <w:tcPr>
            <w:tcW w:w="0" w:type="auto"/>
            <w:hideMark/>
          </w:tcPr>
          <w:p w14:paraId="24F33938" w14:textId="77777777" w:rsidR="00B16F28" w:rsidRDefault="00B16F28">
            <w:pPr>
              <w:rPr>
                <w:rFonts w:eastAsia="Times New Roman"/>
                <w:sz w:val="24"/>
                <w:szCs w:val="24"/>
              </w:rPr>
            </w:pPr>
            <w:r>
              <w:rPr>
                <w:rFonts w:eastAsia="Times New Roman"/>
              </w:rPr>
              <w:t>9</w:t>
            </w:r>
          </w:p>
        </w:tc>
        <w:tc>
          <w:tcPr>
            <w:tcW w:w="0" w:type="auto"/>
            <w:hideMark/>
          </w:tcPr>
          <w:p w14:paraId="21E6EADE" w14:textId="77777777" w:rsidR="00B16F28" w:rsidRDefault="00B16F28">
            <w:pPr>
              <w:rPr>
                <w:rFonts w:eastAsia="Times New Roman"/>
                <w:sz w:val="24"/>
                <w:szCs w:val="24"/>
              </w:rPr>
            </w:pPr>
            <w:r>
              <w:rPr>
                <w:rFonts w:eastAsia="Times New Roman"/>
              </w:rPr>
              <w:t>95</w:t>
            </w:r>
          </w:p>
        </w:tc>
        <w:tc>
          <w:tcPr>
            <w:tcW w:w="0" w:type="auto"/>
            <w:hideMark/>
          </w:tcPr>
          <w:p w14:paraId="32CD121A" w14:textId="77777777" w:rsidR="00B16F28" w:rsidRDefault="00B16F28">
            <w:pPr>
              <w:rPr>
                <w:rFonts w:eastAsia="Times New Roman"/>
                <w:sz w:val="24"/>
                <w:szCs w:val="24"/>
              </w:rPr>
            </w:pPr>
            <w:r>
              <w:rPr>
                <w:rFonts w:eastAsia="Times New Roman"/>
              </w:rPr>
              <w:t>1</w:t>
            </w:r>
          </w:p>
        </w:tc>
        <w:tc>
          <w:tcPr>
            <w:tcW w:w="0" w:type="auto"/>
            <w:hideMark/>
          </w:tcPr>
          <w:p w14:paraId="003C45EB" w14:textId="77777777" w:rsidR="00B16F28" w:rsidRDefault="00B16F28">
            <w:pPr>
              <w:rPr>
                <w:rFonts w:eastAsia="Times New Roman"/>
                <w:sz w:val="24"/>
                <w:szCs w:val="24"/>
              </w:rPr>
            </w:pPr>
            <w:r>
              <w:rPr>
                <w:rFonts w:eastAsia="Times New Roman"/>
              </w:rPr>
              <w:t>315</w:t>
            </w:r>
          </w:p>
        </w:tc>
      </w:tr>
      <w:tr w:rsidR="00804D19" w14:paraId="76E1A194" w14:textId="77777777" w:rsidTr="00A14CE6">
        <w:tblPrEx>
          <w:tblCellMar>
            <w:top w:w="0" w:type="dxa"/>
            <w:left w:w="108" w:type="dxa"/>
            <w:bottom w:w="0" w:type="dxa"/>
            <w:right w:w="108" w:type="dxa"/>
          </w:tblCellMar>
        </w:tblPrEx>
        <w:tc>
          <w:tcPr>
            <w:tcW w:w="0" w:type="auto"/>
            <w:hideMark/>
          </w:tcPr>
          <w:p w14:paraId="3F5B5F1D" w14:textId="77777777" w:rsidR="00B16F28" w:rsidRDefault="00B16F28">
            <w:pPr>
              <w:rPr>
                <w:rFonts w:eastAsia="Times New Roman"/>
                <w:sz w:val="24"/>
                <w:szCs w:val="24"/>
              </w:rPr>
            </w:pPr>
            <w:r>
              <w:rPr>
                <w:rFonts w:eastAsia="Times New Roman"/>
              </w:rPr>
              <w:t xml:space="preserve">Unknown </w:t>
            </w:r>
            <w:r>
              <w:rPr>
                <w:rFonts w:eastAsia="Times New Roman"/>
                <w:vertAlign w:val="superscript"/>
              </w:rPr>
              <w:t>*</w:t>
            </w:r>
          </w:p>
        </w:tc>
        <w:tc>
          <w:tcPr>
            <w:tcW w:w="0" w:type="auto"/>
            <w:hideMark/>
          </w:tcPr>
          <w:p w14:paraId="2F5CA74A" w14:textId="77777777" w:rsidR="00B16F28" w:rsidRDefault="00B16F28">
            <w:pPr>
              <w:rPr>
                <w:rFonts w:eastAsia="Times New Roman"/>
                <w:sz w:val="24"/>
                <w:szCs w:val="24"/>
              </w:rPr>
            </w:pPr>
            <w:r>
              <w:rPr>
                <w:rFonts w:eastAsia="Times New Roman"/>
              </w:rPr>
              <w:t>2</w:t>
            </w:r>
          </w:p>
        </w:tc>
        <w:tc>
          <w:tcPr>
            <w:tcW w:w="0" w:type="auto"/>
            <w:hideMark/>
          </w:tcPr>
          <w:p w14:paraId="108A8DDD" w14:textId="77777777" w:rsidR="00B16F28" w:rsidRDefault="00B16F28">
            <w:pPr>
              <w:rPr>
                <w:rFonts w:eastAsia="Times New Roman"/>
                <w:sz w:val="24"/>
                <w:szCs w:val="24"/>
              </w:rPr>
            </w:pPr>
            <w:r>
              <w:rPr>
                <w:rFonts w:eastAsia="Times New Roman"/>
              </w:rPr>
              <w:t>36</w:t>
            </w:r>
          </w:p>
        </w:tc>
        <w:tc>
          <w:tcPr>
            <w:tcW w:w="0" w:type="auto"/>
            <w:hideMark/>
          </w:tcPr>
          <w:p w14:paraId="2E7111CE" w14:textId="77777777" w:rsidR="00B16F28" w:rsidRDefault="00B16F28">
            <w:pPr>
              <w:rPr>
                <w:rFonts w:eastAsia="Times New Roman"/>
                <w:sz w:val="24"/>
                <w:szCs w:val="24"/>
              </w:rPr>
            </w:pPr>
            <w:r>
              <w:rPr>
                <w:rFonts w:eastAsia="Times New Roman"/>
              </w:rPr>
              <w:t>0</w:t>
            </w:r>
          </w:p>
        </w:tc>
        <w:tc>
          <w:tcPr>
            <w:tcW w:w="0" w:type="auto"/>
            <w:hideMark/>
          </w:tcPr>
          <w:p w14:paraId="42C4E05B" w14:textId="77777777" w:rsidR="00B16F28" w:rsidRDefault="00B16F28">
            <w:pPr>
              <w:rPr>
                <w:rFonts w:eastAsia="Times New Roman"/>
                <w:sz w:val="24"/>
                <w:szCs w:val="24"/>
              </w:rPr>
            </w:pPr>
            <w:r>
              <w:rPr>
                <w:rFonts w:eastAsia="Times New Roman"/>
              </w:rPr>
              <w:t>22</w:t>
            </w:r>
          </w:p>
        </w:tc>
        <w:tc>
          <w:tcPr>
            <w:tcW w:w="0" w:type="auto"/>
            <w:hideMark/>
          </w:tcPr>
          <w:p w14:paraId="15DFD8B4" w14:textId="77777777" w:rsidR="00B16F28" w:rsidRDefault="00B16F28">
            <w:pPr>
              <w:rPr>
                <w:rFonts w:eastAsia="Times New Roman"/>
                <w:sz w:val="24"/>
                <w:szCs w:val="24"/>
              </w:rPr>
            </w:pPr>
            <w:r>
              <w:rPr>
                <w:rFonts w:eastAsia="Times New Roman"/>
              </w:rPr>
              <w:t>2</w:t>
            </w:r>
          </w:p>
        </w:tc>
        <w:tc>
          <w:tcPr>
            <w:tcW w:w="0" w:type="auto"/>
            <w:hideMark/>
          </w:tcPr>
          <w:p w14:paraId="47893C78" w14:textId="77777777" w:rsidR="00B16F28" w:rsidRDefault="00B16F28">
            <w:pPr>
              <w:rPr>
                <w:rFonts w:eastAsia="Times New Roman"/>
                <w:sz w:val="24"/>
                <w:szCs w:val="24"/>
              </w:rPr>
            </w:pPr>
            <w:r>
              <w:rPr>
                <w:rFonts w:eastAsia="Times New Roman"/>
              </w:rPr>
              <w:t>62</w:t>
            </w:r>
          </w:p>
        </w:tc>
      </w:tr>
      <w:tr w:rsidR="00B16F28" w14:paraId="5377BED4"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900B0BD" w14:textId="77777777" w:rsidR="00B16F28" w:rsidRDefault="00B16F28">
            <w:pPr>
              <w:rPr>
                <w:rFonts w:eastAsia="Times New Roman"/>
                <w:sz w:val="24"/>
                <w:szCs w:val="24"/>
              </w:rPr>
            </w:pPr>
            <w:r>
              <w:rPr>
                <w:rFonts w:eastAsia="Times New Roman"/>
              </w:rPr>
              <w:t>Animal exposure</w:t>
            </w:r>
          </w:p>
        </w:tc>
        <w:tc>
          <w:tcPr>
            <w:tcW w:w="0" w:type="auto"/>
            <w:hideMark/>
          </w:tcPr>
          <w:p w14:paraId="3A8913CF" w14:textId="77777777" w:rsidR="00B16F28" w:rsidRDefault="00B16F28">
            <w:pPr>
              <w:rPr>
                <w:rFonts w:eastAsia="Times New Roman"/>
                <w:sz w:val="24"/>
                <w:szCs w:val="24"/>
              </w:rPr>
            </w:pPr>
          </w:p>
        </w:tc>
        <w:tc>
          <w:tcPr>
            <w:tcW w:w="0" w:type="auto"/>
            <w:hideMark/>
          </w:tcPr>
          <w:p w14:paraId="37C9BB2D" w14:textId="77777777" w:rsidR="00B16F28" w:rsidRDefault="00B16F28">
            <w:pPr>
              <w:rPr>
                <w:rFonts w:eastAsia="Times New Roman"/>
                <w:sz w:val="24"/>
                <w:szCs w:val="24"/>
              </w:rPr>
            </w:pPr>
          </w:p>
        </w:tc>
        <w:tc>
          <w:tcPr>
            <w:tcW w:w="0" w:type="auto"/>
            <w:hideMark/>
          </w:tcPr>
          <w:p w14:paraId="511E720E" w14:textId="77777777" w:rsidR="00B16F28" w:rsidRDefault="00B16F28">
            <w:pPr>
              <w:rPr>
                <w:rFonts w:eastAsia="Times New Roman"/>
                <w:sz w:val="24"/>
                <w:szCs w:val="24"/>
              </w:rPr>
            </w:pPr>
          </w:p>
        </w:tc>
        <w:tc>
          <w:tcPr>
            <w:tcW w:w="0" w:type="auto"/>
            <w:hideMark/>
          </w:tcPr>
          <w:p w14:paraId="180A7295" w14:textId="77777777" w:rsidR="00B16F28" w:rsidRDefault="00B16F28">
            <w:pPr>
              <w:rPr>
                <w:rFonts w:eastAsia="Times New Roman"/>
                <w:sz w:val="24"/>
                <w:szCs w:val="24"/>
              </w:rPr>
            </w:pPr>
          </w:p>
        </w:tc>
        <w:tc>
          <w:tcPr>
            <w:tcW w:w="0" w:type="auto"/>
            <w:hideMark/>
          </w:tcPr>
          <w:p w14:paraId="63DA7C64" w14:textId="77777777" w:rsidR="00B16F28" w:rsidRDefault="00B16F28">
            <w:pPr>
              <w:rPr>
                <w:rFonts w:eastAsia="Times New Roman"/>
                <w:sz w:val="24"/>
                <w:szCs w:val="24"/>
              </w:rPr>
            </w:pPr>
          </w:p>
        </w:tc>
        <w:tc>
          <w:tcPr>
            <w:tcW w:w="0" w:type="auto"/>
            <w:hideMark/>
          </w:tcPr>
          <w:p w14:paraId="4FE3065B" w14:textId="77777777" w:rsidR="00B16F28" w:rsidRDefault="00B16F28">
            <w:pPr>
              <w:rPr>
                <w:rFonts w:eastAsia="Times New Roman"/>
                <w:sz w:val="24"/>
                <w:szCs w:val="24"/>
              </w:rPr>
            </w:pPr>
          </w:p>
        </w:tc>
      </w:tr>
      <w:tr w:rsidR="00804D19" w14:paraId="78FC154B" w14:textId="77777777" w:rsidTr="00A14CE6">
        <w:tblPrEx>
          <w:tblCellMar>
            <w:top w:w="0" w:type="dxa"/>
            <w:left w:w="108" w:type="dxa"/>
            <w:bottom w:w="0" w:type="dxa"/>
            <w:right w:w="108" w:type="dxa"/>
          </w:tblCellMar>
        </w:tblPrEx>
        <w:tc>
          <w:tcPr>
            <w:tcW w:w="0" w:type="auto"/>
            <w:hideMark/>
          </w:tcPr>
          <w:p w14:paraId="33E0A8D4" w14:textId="77777777" w:rsidR="00B16F28" w:rsidRDefault="00B16F28">
            <w:pPr>
              <w:rPr>
                <w:rFonts w:eastAsia="Times New Roman"/>
                <w:sz w:val="24"/>
                <w:szCs w:val="24"/>
              </w:rPr>
            </w:pPr>
            <w:r>
              <w:rPr>
                <w:rFonts w:eastAsia="Times New Roman"/>
              </w:rPr>
              <w:t>Yes</w:t>
            </w:r>
          </w:p>
        </w:tc>
        <w:tc>
          <w:tcPr>
            <w:tcW w:w="0" w:type="auto"/>
            <w:hideMark/>
          </w:tcPr>
          <w:p w14:paraId="4CB99060" w14:textId="77777777" w:rsidR="00B16F28" w:rsidRDefault="00B16F28">
            <w:pPr>
              <w:rPr>
                <w:rFonts w:eastAsia="Times New Roman"/>
                <w:sz w:val="24"/>
                <w:szCs w:val="24"/>
              </w:rPr>
            </w:pPr>
            <w:r>
              <w:rPr>
                <w:rFonts w:eastAsia="Times New Roman"/>
              </w:rPr>
              <w:t>18</w:t>
            </w:r>
          </w:p>
        </w:tc>
        <w:tc>
          <w:tcPr>
            <w:tcW w:w="0" w:type="auto"/>
            <w:hideMark/>
          </w:tcPr>
          <w:p w14:paraId="05E49808" w14:textId="77777777" w:rsidR="00B16F28" w:rsidRDefault="00B16F28">
            <w:pPr>
              <w:rPr>
                <w:rFonts w:eastAsia="Times New Roman"/>
                <w:sz w:val="24"/>
                <w:szCs w:val="24"/>
              </w:rPr>
            </w:pPr>
            <w:r>
              <w:rPr>
                <w:rFonts w:eastAsia="Times New Roman"/>
              </w:rPr>
              <w:t>315</w:t>
            </w:r>
          </w:p>
        </w:tc>
        <w:tc>
          <w:tcPr>
            <w:tcW w:w="0" w:type="auto"/>
            <w:hideMark/>
          </w:tcPr>
          <w:p w14:paraId="2DA926A0" w14:textId="77777777" w:rsidR="00B16F28" w:rsidRDefault="00B16F28">
            <w:pPr>
              <w:rPr>
                <w:rFonts w:eastAsia="Times New Roman"/>
                <w:sz w:val="24"/>
                <w:szCs w:val="24"/>
              </w:rPr>
            </w:pPr>
            <w:r>
              <w:rPr>
                <w:rFonts w:eastAsia="Times New Roman"/>
              </w:rPr>
              <w:t>17</w:t>
            </w:r>
          </w:p>
        </w:tc>
        <w:tc>
          <w:tcPr>
            <w:tcW w:w="0" w:type="auto"/>
            <w:hideMark/>
          </w:tcPr>
          <w:p w14:paraId="4D3B990C" w14:textId="77777777" w:rsidR="00B16F28" w:rsidRDefault="00B16F28">
            <w:pPr>
              <w:rPr>
                <w:rFonts w:eastAsia="Times New Roman"/>
                <w:sz w:val="24"/>
                <w:szCs w:val="24"/>
              </w:rPr>
            </w:pPr>
            <w:r>
              <w:rPr>
                <w:rFonts w:eastAsia="Times New Roman"/>
              </w:rPr>
              <w:t>287</w:t>
            </w:r>
          </w:p>
        </w:tc>
        <w:tc>
          <w:tcPr>
            <w:tcW w:w="0" w:type="auto"/>
            <w:hideMark/>
          </w:tcPr>
          <w:p w14:paraId="026B41CC" w14:textId="77777777" w:rsidR="00B16F28" w:rsidRDefault="00B16F28">
            <w:pPr>
              <w:rPr>
                <w:rFonts w:eastAsia="Times New Roman"/>
                <w:sz w:val="24"/>
                <w:szCs w:val="24"/>
              </w:rPr>
            </w:pPr>
            <w:r>
              <w:rPr>
                <w:rFonts w:eastAsia="Times New Roman"/>
              </w:rPr>
              <w:t>4</w:t>
            </w:r>
          </w:p>
        </w:tc>
        <w:tc>
          <w:tcPr>
            <w:tcW w:w="0" w:type="auto"/>
            <w:hideMark/>
          </w:tcPr>
          <w:p w14:paraId="67C7D9D1" w14:textId="77777777" w:rsidR="00B16F28" w:rsidRDefault="00B16F28">
            <w:pPr>
              <w:rPr>
                <w:rFonts w:eastAsia="Times New Roman"/>
                <w:sz w:val="24"/>
                <w:szCs w:val="24"/>
              </w:rPr>
            </w:pPr>
            <w:r>
              <w:rPr>
                <w:rFonts w:eastAsia="Times New Roman"/>
              </w:rPr>
              <w:t>641</w:t>
            </w:r>
          </w:p>
        </w:tc>
      </w:tr>
      <w:tr w:rsidR="00B16F28" w14:paraId="0005F6D4"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9C9E471" w14:textId="77777777" w:rsidR="00B16F28" w:rsidRDefault="00B16F28">
            <w:pPr>
              <w:rPr>
                <w:rFonts w:eastAsia="Times New Roman"/>
                <w:sz w:val="24"/>
                <w:szCs w:val="24"/>
              </w:rPr>
            </w:pPr>
            <w:r>
              <w:rPr>
                <w:rFonts w:eastAsia="Times New Roman"/>
              </w:rPr>
              <w:t>No</w:t>
            </w:r>
          </w:p>
        </w:tc>
        <w:tc>
          <w:tcPr>
            <w:tcW w:w="0" w:type="auto"/>
            <w:hideMark/>
          </w:tcPr>
          <w:p w14:paraId="514DA92D" w14:textId="77777777" w:rsidR="00B16F28" w:rsidRDefault="00B16F28">
            <w:pPr>
              <w:rPr>
                <w:rFonts w:eastAsia="Times New Roman"/>
                <w:sz w:val="24"/>
                <w:szCs w:val="24"/>
              </w:rPr>
            </w:pPr>
            <w:r>
              <w:rPr>
                <w:rFonts w:eastAsia="Times New Roman"/>
              </w:rPr>
              <w:t>0</w:t>
            </w:r>
          </w:p>
        </w:tc>
        <w:tc>
          <w:tcPr>
            <w:tcW w:w="0" w:type="auto"/>
            <w:hideMark/>
          </w:tcPr>
          <w:p w14:paraId="2B60135E" w14:textId="77777777" w:rsidR="00B16F28" w:rsidRDefault="00B16F28">
            <w:pPr>
              <w:rPr>
                <w:rFonts w:eastAsia="Times New Roman"/>
                <w:sz w:val="24"/>
                <w:szCs w:val="24"/>
              </w:rPr>
            </w:pPr>
            <w:r>
              <w:rPr>
                <w:rFonts w:eastAsia="Times New Roman"/>
              </w:rPr>
              <w:t>28</w:t>
            </w:r>
          </w:p>
        </w:tc>
        <w:tc>
          <w:tcPr>
            <w:tcW w:w="0" w:type="auto"/>
            <w:hideMark/>
          </w:tcPr>
          <w:p w14:paraId="1FD3C5D5" w14:textId="77777777" w:rsidR="00B16F28" w:rsidRDefault="00B16F28">
            <w:pPr>
              <w:rPr>
                <w:rFonts w:eastAsia="Times New Roman"/>
                <w:sz w:val="24"/>
                <w:szCs w:val="24"/>
              </w:rPr>
            </w:pPr>
            <w:r>
              <w:rPr>
                <w:rFonts w:eastAsia="Times New Roman"/>
              </w:rPr>
              <w:t>0</w:t>
            </w:r>
          </w:p>
        </w:tc>
        <w:tc>
          <w:tcPr>
            <w:tcW w:w="0" w:type="auto"/>
            <w:hideMark/>
          </w:tcPr>
          <w:p w14:paraId="1A593733" w14:textId="77777777" w:rsidR="00B16F28" w:rsidRDefault="00B16F28">
            <w:pPr>
              <w:rPr>
                <w:rFonts w:eastAsia="Times New Roman"/>
                <w:sz w:val="24"/>
                <w:szCs w:val="24"/>
              </w:rPr>
            </w:pPr>
            <w:r>
              <w:rPr>
                <w:rFonts w:eastAsia="Times New Roman"/>
              </w:rPr>
              <w:t>12</w:t>
            </w:r>
          </w:p>
        </w:tc>
        <w:tc>
          <w:tcPr>
            <w:tcW w:w="0" w:type="auto"/>
            <w:hideMark/>
          </w:tcPr>
          <w:p w14:paraId="6BA7698E" w14:textId="77777777" w:rsidR="00B16F28" w:rsidRDefault="00B16F28">
            <w:pPr>
              <w:rPr>
                <w:rFonts w:eastAsia="Times New Roman"/>
                <w:sz w:val="24"/>
                <w:szCs w:val="24"/>
              </w:rPr>
            </w:pPr>
            <w:r>
              <w:rPr>
                <w:rFonts w:eastAsia="Times New Roman"/>
              </w:rPr>
              <w:t>0</w:t>
            </w:r>
          </w:p>
        </w:tc>
        <w:tc>
          <w:tcPr>
            <w:tcW w:w="0" w:type="auto"/>
            <w:hideMark/>
          </w:tcPr>
          <w:p w14:paraId="1089581C" w14:textId="77777777" w:rsidR="00B16F28" w:rsidRDefault="00B16F28">
            <w:pPr>
              <w:rPr>
                <w:rFonts w:eastAsia="Times New Roman"/>
                <w:sz w:val="24"/>
                <w:szCs w:val="24"/>
              </w:rPr>
            </w:pPr>
            <w:r>
              <w:rPr>
                <w:rFonts w:eastAsia="Times New Roman"/>
              </w:rPr>
              <w:t>40</w:t>
            </w:r>
          </w:p>
        </w:tc>
      </w:tr>
      <w:tr w:rsidR="00804D19" w14:paraId="59492F95" w14:textId="77777777" w:rsidTr="00A14CE6">
        <w:tblPrEx>
          <w:tblCellMar>
            <w:top w:w="0" w:type="dxa"/>
            <w:left w:w="108" w:type="dxa"/>
            <w:bottom w:w="0" w:type="dxa"/>
            <w:right w:w="108" w:type="dxa"/>
          </w:tblCellMar>
        </w:tblPrEx>
        <w:tc>
          <w:tcPr>
            <w:tcW w:w="0" w:type="auto"/>
            <w:hideMark/>
          </w:tcPr>
          <w:p w14:paraId="7FDACF85" w14:textId="77777777" w:rsidR="00B16F28" w:rsidRDefault="00B16F28">
            <w:pPr>
              <w:rPr>
                <w:rFonts w:eastAsia="Times New Roman"/>
                <w:sz w:val="24"/>
                <w:szCs w:val="24"/>
              </w:rPr>
            </w:pPr>
            <w:r>
              <w:rPr>
                <w:rFonts w:eastAsia="Times New Roman"/>
              </w:rPr>
              <w:t xml:space="preserve">Unknown </w:t>
            </w:r>
            <w:r>
              <w:rPr>
                <w:rFonts w:eastAsia="Times New Roman"/>
                <w:vertAlign w:val="superscript"/>
              </w:rPr>
              <w:t>*</w:t>
            </w:r>
          </w:p>
        </w:tc>
        <w:tc>
          <w:tcPr>
            <w:tcW w:w="0" w:type="auto"/>
            <w:hideMark/>
          </w:tcPr>
          <w:p w14:paraId="08581D7A" w14:textId="77777777" w:rsidR="00B16F28" w:rsidRDefault="00B16F28">
            <w:pPr>
              <w:rPr>
                <w:rFonts w:eastAsia="Times New Roman"/>
                <w:sz w:val="24"/>
                <w:szCs w:val="24"/>
              </w:rPr>
            </w:pPr>
            <w:r>
              <w:rPr>
                <w:rFonts w:eastAsia="Times New Roman"/>
              </w:rPr>
              <w:t>0</w:t>
            </w:r>
          </w:p>
        </w:tc>
        <w:tc>
          <w:tcPr>
            <w:tcW w:w="0" w:type="auto"/>
            <w:hideMark/>
          </w:tcPr>
          <w:p w14:paraId="376F91D6" w14:textId="77777777" w:rsidR="00B16F28" w:rsidRDefault="00B16F28">
            <w:pPr>
              <w:rPr>
                <w:rFonts w:eastAsia="Times New Roman"/>
                <w:sz w:val="24"/>
                <w:szCs w:val="24"/>
              </w:rPr>
            </w:pPr>
            <w:r>
              <w:rPr>
                <w:rFonts w:eastAsia="Times New Roman"/>
              </w:rPr>
              <w:t>23</w:t>
            </w:r>
          </w:p>
        </w:tc>
        <w:tc>
          <w:tcPr>
            <w:tcW w:w="0" w:type="auto"/>
            <w:hideMark/>
          </w:tcPr>
          <w:p w14:paraId="4E3A8147" w14:textId="77777777" w:rsidR="00B16F28" w:rsidRDefault="00B16F28">
            <w:pPr>
              <w:rPr>
                <w:rFonts w:eastAsia="Times New Roman"/>
                <w:sz w:val="24"/>
                <w:szCs w:val="24"/>
              </w:rPr>
            </w:pPr>
            <w:r>
              <w:rPr>
                <w:rFonts w:eastAsia="Times New Roman"/>
              </w:rPr>
              <w:t>1</w:t>
            </w:r>
          </w:p>
        </w:tc>
        <w:tc>
          <w:tcPr>
            <w:tcW w:w="0" w:type="auto"/>
            <w:hideMark/>
          </w:tcPr>
          <w:p w14:paraId="357E6606" w14:textId="77777777" w:rsidR="00B16F28" w:rsidRDefault="00B16F28">
            <w:pPr>
              <w:rPr>
                <w:rFonts w:eastAsia="Times New Roman"/>
                <w:sz w:val="24"/>
                <w:szCs w:val="24"/>
              </w:rPr>
            </w:pPr>
            <w:r>
              <w:rPr>
                <w:rFonts w:eastAsia="Times New Roman"/>
              </w:rPr>
              <w:t>16</w:t>
            </w:r>
          </w:p>
        </w:tc>
        <w:tc>
          <w:tcPr>
            <w:tcW w:w="0" w:type="auto"/>
            <w:hideMark/>
          </w:tcPr>
          <w:p w14:paraId="4D1CB6DE" w14:textId="77777777" w:rsidR="00B16F28" w:rsidRDefault="00B16F28">
            <w:pPr>
              <w:rPr>
                <w:rFonts w:eastAsia="Times New Roman"/>
                <w:sz w:val="24"/>
                <w:szCs w:val="24"/>
              </w:rPr>
            </w:pPr>
            <w:r>
              <w:rPr>
                <w:rFonts w:eastAsia="Times New Roman"/>
              </w:rPr>
              <w:t>1</w:t>
            </w:r>
          </w:p>
        </w:tc>
        <w:tc>
          <w:tcPr>
            <w:tcW w:w="0" w:type="auto"/>
            <w:hideMark/>
          </w:tcPr>
          <w:p w14:paraId="61A02F73" w14:textId="77777777" w:rsidR="00B16F28" w:rsidRDefault="00B16F28">
            <w:pPr>
              <w:rPr>
                <w:rFonts w:eastAsia="Times New Roman"/>
                <w:sz w:val="24"/>
                <w:szCs w:val="24"/>
              </w:rPr>
            </w:pPr>
            <w:r>
              <w:rPr>
                <w:rFonts w:eastAsia="Times New Roman"/>
              </w:rPr>
              <w:t>41</w:t>
            </w:r>
          </w:p>
        </w:tc>
      </w:tr>
      <w:tr w:rsidR="00B16F28" w14:paraId="6A001AFD"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7B35B0A" w14:textId="77777777" w:rsidR="00B16F28" w:rsidRDefault="00B16F28">
            <w:pPr>
              <w:rPr>
                <w:rFonts w:eastAsia="Times New Roman"/>
                <w:sz w:val="24"/>
                <w:szCs w:val="24"/>
              </w:rPr>
            </w:pPr>
            <w:r>
              <w:rPr>
                <w:rFonts w:eastAsia="Times New Roman"/>
              </w:rPr>
              <w:t>Nature of animal exposure</w:t>
            </w:r>
          </w:p>
        </w:tc>
        <w:tc>
          <w:tcPr>
            <w:tcW w:w="0" w:type="auto"/>
            <w:hideMark/>
          </w:tcPr>
          <w:p w14:paraId="66B88EC2" w14:textId="77777777" w:rsidR="00B16F28" w:rsidRDefault="00B16F28">
            <w:pPr>
              <w:rPr>
                <w:rFonts w:eastAsia="Times New Roman"/>
                <w:sz w:val="24"/>
                <w:szCs w:val="24"/>
              </w:rPr>
            </w:pPr>
          </w:p>
        </w:tc>
        <w:tc>
          <w:tcPr>
            <w:tcW w:w="0" w:type="auto"/>
            <w:hideMark/>
          </w:tcPr>
          <w:p w14:paraId="5149998B" w14:textId="77777777" w:rsidR="00B16F28" w:rsidRDefault="00B16F28">
            <w:pPr>
              <w:rPr>
                <w:rFonts w:eastAsia="Times New Roman"/>
                <w:sz w:val="24"/>
                <w:szCs w:val="24"/>
              </w:rPr>
            </w:pPr>
          </w:p>
        </w:tc>
        <w:tc>
          <w:tcPr>
            <w:tcW w:w="0" w:type="auto"/>
            <w:hideMark/>
          </w:tcPr>
          <w:p w14:paraId="0F944703" w14:textId="77777777" w:rsidR="00B16F28" w:rsidRDefault="00B16F28">
            <w:pPr>
              <w:rPr>
                <w:rFonts w:eastAsia="Times New Roman"/>
                <w:sz w:val="24"/>
                <w:szCs w:val="24"/>
              </w:rPr>
            </w:pPr>
          </w:p>
        </w:tc>
        <w:tc>
          <w:tcPr>
            <w:tcW w:w="0" w:type="auto"/>
            <w:hideMark/>
          </w:tcPr>
          <w:p w14:paraId="4674E594" w14:textId="77777777" w:rsidR="00B16F28" w:rsidRDefault="00B16F28">
            <w:pPr>
              <w:rPr>
                <w:rFonts w:eastAsia="Times New Roman"/>
                <w:sz w:val="24"/>
                <w:szCs w:val="24"/>
              </w:rPr>
            </w:pPr>
          </w:p>
        </w:tc>
        <w:tc>
          <w:tcPr>
            <w:tcW w:w="0" w:type="auto"/>
            <w:hideMark/>
          </w:tcPr>
          <w:p w14:paraId="0D982E0B" w14:textId="77777777" w:rsidR="00B16F28" w:rsidRDefault="00B16F28">
            <w:pPr>
              <w:rPr>
                <w:rFonts w:eastAsia="Times New Roman"/>
                <w:sz w:val="24"/>
                <w:szCs w:val="24"/>
              </w:rPr>
            </w:pPr>
          </w:p>
        </w:tc>
        <w:tc>
          <w:tcPr>
            <w:tcW w:w="0" w:type="auto"/>
            <w:hideMark/>
          </w:tcPr>
          <w:p w14:paraId="222B1638" w14:textId="77777777" w:rsidR="00B16F28" w:rsidRDefault="00B16F28">
            <w:pPr>
              <w:rPr>
                <w:rFonts w:eastAsia="Times New Roman"/>
                <w:sz w:val="24"/>
                <w:szCs w:val="24"/>
              </w:rPr>
            </w:pPr>
          </w:p>
        </w:tc>
      </w:tr>
      <w:tr w:rsidR="00804D19" w14:paraId="3F8D9D9F" w14:textId="77777777" w:rsidTr="00A14CE6">
        <w:tblPrEx>
          <w:tblCellMar>
            <w:top w:w="0" w:type="dxa"/>
            <w:left w:w="108" w:type="dxa"/>
            <w:bottom w:w="0" w:type="dxa"/>
            <w:right w:w="108" w:type="dxa"/>
          </w:tblCellMar>
        </w:tblPrEx>
        <w:tc>
          <w:tcPr>
            <w:tcW w:w="0" w:type="auto"/>
            <w:hideMark/>
          </w:tcPr>
          <w:p w14:paraId="2118420A" w14:textId="77777777" w:rsidR="00B16F28" w:rsidRDefault="00B16F28">
            <w:pPr>
              <w:rPr>
                <w:rFonts w:eastAsia="Times New Roman"/>
                <w:sz w:val="24"/>
                <w:szCs w:val="24"/>
              </w:rPr>
            </w:pPr>
            <w:r>
              <w:rPr>
                <w:rFonts w:eastAsia="Times New Roman"/>
              </w:rPr>
              <w:t>Livestock - direct</w:t>
            </w:r>
          </w:p>
        </w:tc>
        <w:tc>
          <w:tcPr>
            <w:tcW w:w="0" w:type="auto"/>
            <w:hideMark/>
          </w:tcPr>
          <w:p w14:paraId="3AAA4337" w14:textId="77777777" w:rsidR="00B16F28" w:rsidRDefault="00B16F28">
            <w:pPr>
              <w:rPr>
                <w:rFonts w:eastAsia="Times New Roman"/>
                <w:sz w:val="24"/>
                <w:szCs w:val="24"/>
              </w:rPr>
            </w:pPr>
            <w:r>
              <w:rPr>
                <w:rFonts w:eastAsia="Times New Roman"/>
              </w:rPr>
              <w:t>7</w:t>
            </w:r>
          </w:p>
        </w:tc>
        <w:tc>
          <w:tcPr>
            <w:tcW w:w="0" w:type="auto"/>
            <w:hideMark/>
          </w:tcPr>
          <w:p w14:paraId="30E156B2" w14:textId="77777777" w:rsidR="00B16F28" w:rsidRDefault="00B16F28">
            <w:pPr>
              <w:rPr>
                <w:rFonts w:eastAsia="Times New Roman"/>
                <w:sz w:val="24"/>
                <w:szCs w:val="24"/>
              </w:rPr>
            </w:pPr>
            <w:r>
              <w:rPr>
                <w:rFonts w:eastAsia="Times New Roman"/>
              </w:rPr>
              <w:t>136</w:t>
            </w:r>
          </w:p>
        </w:tc>
        <w:tc>
          <w:tcPr>
            <w:tcW w:w="0" w:type="auto"/>
            <w:hideMark/>
          </w:tcPr>
          <w:p w14:paraId="4FC7A99A" w14:textId="77777777" w:rsidR="00B16F28" w:rsidRDefault="00B16F28">
            <w:pPr>
              <w:rPr>
                <w:rFonts w:eastAsia="Times New Roman"/>
                <w:sz w:val="24"/>
                <w:szCs w:val="24"/>
              </w:rPr>
            </w:pPr>
            <w:r>
              <w:rPr>
                <w:rFonts w:eastAsia="Times New Roman"/>
              </w:rPr>
              <w:t>8</w:t>
            </w:r>
          </w:p>
        </w:tc>
        <w:tc>
          <w:tcPr>
            <w:tcW w:w="0" w:type="auto"/>
            <w:hideMark/>
          </w:tcPr>
          <w:p w14:paraId="39C268F7" w14:textId="77777777" w:rsidR="00B16F28" w:rsidRDefault="00B16F28">
            <w:pPr>
              <w:rPr>
                <w:rFonts w:eastAsia="Times New Roman"/>
                <w:sz w:val="24"/>
                <w:szCs w:val="24"/>
              </w:rPr>
            </w:pPr>
            <w:r>
              <w:rPr>
                <w:rFonts w:eastAsia="Times New Roman"/>
              </w:rPr>
              <w:t>193</w:t>
            </w:r>
          </w:p>
        </w:tc>
        <w:tc>
          <w:tcPr>
            <w:tcW w:w="0" w:type="auto"/>
            <w:hideMark/>
          </w:tcPr>
          <w:p w14:paraId="72419468" w14:textId="77777777" w:rsidR="00B16F28" w:rsidRDefault="00B16F28">
            <w:pPr>
              <w:rPr>
                <w:rFonts w:eastAsia="Times New Roman"/>
                <w:sz w:val="24"/>
                <w:szCs w:val="24"/>
              </w:rPr>
            </w:pPr>
            <w:r>
              <w:rPr>
                <w:rFonts w:eastAsia="Times New Roman"/>
              </w:rPr>
              <w:t>1</w:t>
            </w:r>
          </w:p>
        </w:tc>
        <w:tc>
          <w:tcPr>
            <w:tcW w:w="0" w:type="auto"/>
            <w:hideMark/>
          </w:tcPr>
          <w:p w14:paraId="58E76153" w14:textId="77777777" w:rsidR="00B16F28" w:rsidRDefault="00B16F28">
            <w:pPr>
              <w:rPr>
                <w:rFonts w:eastAsia="Times New Roman"/>
                <w:sz w:val="24"/>
                <w:szCs w:val="24"/>
              </w:rPr>
            </w:pPr>
            <w:r>
              <w:rPr>
                <w:rFonts w:eastAsia="Times New Roman"/>
              </w:rPr>
              <w:t>345</w:t>
            </w:r>
          </w:p>
        </w:tc>
      </w:tr>
      <w:tr w:rsidR="00B16F28" w14:paraId="27A693C8"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6E4A8E4" w14:textId="77777777" w:rsidR="00B16F28" w:rsidRDefault="00B16F28">
            <w:pPr>
              <w:rPr>
                <w:rFonts w:eastAsia="Times New Roman"/>
                <w:sz w:val="24"/>
                <w:szCs w:val="24"/>
              </w:rPr>
            </w:pPr>
            <w:r>
              <w:rPr>
                <w:rFonts w:eastAsia="Times New Roman"/>
              </w:rPr>
              <w:t>Livestock - indirect</w:t>
            </w:r>
          </w:p>
        </w:tc>
        <w:tc>
          <w:tcPr>
            <w:tcW w:w="0" w:type="auto"/>
            <w:hideMark/>
          </w:tcPr>
          <w:p w14:paraId="7D2FFB48" w14:textId="77777777" w:rsidR="00B16F28" w:rsidRDefault="00B16F28">
            <w:pPr>
              <w:rPr>
                <w:rFonts w:eastAsia="Times New Roman"/>
                <w:sz w:val="24"/>
                <w:szCs w:val="24"/>
              </w:rPr>
            </w:pPr>
            <w:r>
              <w:rPr>
                <w:rFonts w:eastAsia="Times New Roman"/>
              </w:rPr>
              <w:t>1</w:t>
            </w:r>
          </w:p>
        </w:tc>
        <w:tc>
          <w:tcPr>
            <w:tcW w:w="0" w:type="auto"/>
            <w:hideMark/>
          </w:tcPr>
          <w:p w14:paraId="34C7EBCC" w14:textId="77777777" w:rsidR="00B16F28" w:rsidRDefault="00B16F28">
            <w:pPr>
              <w:rPr>
                <w:rFonts w:eastAsia="Times New Roman"/>
                <w:sz w:val="24"/>
                <w:szCs w:val="24"/>
              </w:rPr>
            </w:pPr>
            <w:r>
              <w:rPr>
                <w:rFonts w:eastAsia="Times New Roman"/>
              </w:rPr>
              <w:t>30</w:t>
            </w:r>
          </w:p>
        </w:tc>
        <w:tc>
          <w:tcPr>
            <w:tcW w:w="0" w:type="auto"/>
            <w:hideMark/>
          </w:tcPr>
          <w:p w14:paraId="74ADC7A6" w14:textId="77777777" w:rsidR="00B16F28" w:rsidRDefault="00B16F28">
            <w:pPr>
              <w:rPr>
                <w:rFonts w:eastAsia="Times New Roman"/>
                <w:sz w:val="24"/>
                <w:szCs w:val="24"/>
              </w:rPr>
            </w:pPr>
            <w:r>
              <w:rPr>
                <w:rFonts w:eastAsia="Times New Roman"/>
              </w:rPr>
              <w:t>4</w:t>
            </w:r>
          </w:p>
        </w:tc>
        <w:tc>
          <w:tcPr>
            <w:tcW w:w="0" w:type="auto"/>
            <w:hideMark/>
          </w:tcPr>
          <w:p w14:paraId="49D123A4" w14:textId="77777777" w:rsidR="00B16F28" w:rsidRDefault="00B16F28">
            <w:pPr>
              <w:rPr>
                <w:rFonts w:eastAsia="Times New Roman"/>
                <w:sz w:val="24"/>
                <w:szCs w:val="24"/>
              </w:rPr>
            </w:pPr>
            <w:r>
              <w:rPr>
                <w:rFonts w:eastAsia="Times New Roman"/>
              </w:rPr>
              <w:t>27</w:t>
            </w:r>
          </w:p>
        </w:tc>
        <w:tc>
          <w:tcPr>
            <w:tcW w:w="0" w:type="auto"/>
            <w:hideMark/>
          </w:tcPr>
          <w:p w14:paraId="775119A0" w14:textId="77777777" w:rsidR="00B16F28" w:rsidRDefault="00B16F28">
            <w:pPr>
              <w:rPr>
                <w:rFonts w:eastAsia="Times New Roman"/>
                <w:sz w:val="24"/>
                <w:szCs w:val="24"/>
              </w:rPr>
            </w:pPr>
            <w:r>
              <w:rPr>
                <w:rFonts w:eastAsia="Times New Roman"/>
              </w:rPr>
              <w:t>0</w:t>
            </w:r>
          </w:p>
        </w:tc>
        <w:tc>
          <w:tcPr>
            <w:tcW w:w="0" w:type="auto"/>
            <w:hideMark/>
          </w:tcPr>
          <w:p w14:paraId="7D51012A" w14:textId="77777777" w:rsidR="00B16F28" w:rsidRDefault="00B16F28">
            <w:pPr>
              <w:rPr>
                <w:rFonts w:eastAsia="Times New Roman"/>
                <w:sz w:val="24"/>
                <w:szCs w:val="24"/>
              </w:rPr>
            </w:pPr>
            <w:r>
              <w:rPr>
                <w:rFonts w:eastAsia="Times New Roman"/>
              </w:rPr>
              <w:t>62</w:t>
            </w:r>
          </w:p>
        </w:tc>
      </w:tr>
      <w:tr w:rsidR="00804D19" w14:paraId="5DEC335B" w14:textId="77777777" w:rsidTr="00A14CE6">
        <w:tblPrEx>
          <w:tblCellMar>
            <w:top w:w="0" w:type="dxa"/>
            <w:left w:w="108" w:type="dxa"/>
            <w:bottom w:w="0" w:type="dxa"/>
            <w:right w:w="108" w:type="dxa"/>
          </w:tblCellMar>
        </w:tblPrEx>
        <w:tc>
          <w:tcPr>
            <w:tcW w:w="0" w:type="auto"/>
            <w:hideMark/>
          </w:tcPr>
          <w:p w14:paraId="3C802C4F" w14:textId="77777777" w:rsidR="00B16F28" w:rsidRDefault="00B16F28">
            <w:pPr>
              <w:rPr>
                <w:rFonts w:eastAsia="Times New Roman"/>
                <w:sz w:val="24"/>
                <w:szCs w:val="24"/>
              </w:rPr>
            </w:pPr>
            <w:r>
              <w:rPr>
                <w:rFonts w:eastAsia="Times New Roman"/>
              </w:rPr>
              <w:t>Livestock - contact not specified</w:t>
            </w:r>
          </w:p>
        </w:tc>
        <w:tc>
          <w:tcPr>
            <w:tcW w:w="0" w:type="auto"/>
            <w:hideMark/>
          </w:tcPr>
          <w:p w14:paraId="1C30A593" w14:textId="77777777" w:rsidR="00B16F28" w:rsidRDefault="00B16F28">
            <w:pPr>
              <w:rPr>
                <w:rFonts w:eastAsia="Times New Roman"/>
                <w:sz w:val="24"/>
                <w:szCs w:val="24"/>
              </w:rPr>
            </w:pPr>
            <w:r>
              <w:rPr>
                <w:rFonts w:eastAsia="Times New Roman"/>
              </w:rPr>
              <w:t>0</w:t>
            </w:r>
          </w:p>
        </w:tc>
        <w:tc>
          <w:tcPr>
            <w:tcW w:w="0" w:type="auto"/>
            <w:hideMark/>
          </w:tcPr>
          <w:p w14:paraId="114CA7D6" w14:textId="77777777" w:rsidR="00B16F28" w:rsidRDefault="00B16F28">
            <w:pPr>
              <w:rPr>
                <w:rFonts w:eastAsia="Times New Roman"/>
                <w:sz w:val="24"/>
                <w:szCs w:val="24"/>
              </w:rPr>
            </w:pPr>
            <w:r>
              <w:rPr>
                <w:rFonts w:eastAsia="Times New Roman"/>
              </w:rPr>
              <w:t>8</w:t>
            </w:r>
          </w:p>
        </w:tc>
        <w:tc>
          <w:tcPr>
            <w:tcW w:w="0" w:type="auto"/>
            <w:hideMark/>
          </w:tcPr>
          <w:p w14:paraId="44CF6F65" w14:textId="77777777" w:rsidR="00B16F28" w:rsidRDefault="00B16F28">
            <w:pPr>
              <w:rPr>
                <w:rFonts w:eastAsia="Times New Roman"/>
                <w:sz w:val="24"/>
                <w:szCs w:val="24"/>
              </w:rPr>
            </w:pPr>
            <w:r>
              <w:rPr>
                <w:rFonts w:eastAsia="Times New Roman"/>
              </w:rPr>
              <w:t>1</w:t>
            </w:r>
          </w:p>
        </w:tc>
        <w:tc>
          <w:tcPr>
            <w:tcW w:w="0" w:type="auto"/>
            <w:hideMark/>
          </w:tcPr>
          <w:p w14:paraId="64F14770" w14:textId="77777777" w:rsidR="00B16F28" w:rsidRDefault="00B16F28">
            <w:pPr>
              <w:rPr>
                <w:rFonts w:eastAsia="Times New Roman"/>
                <w:sz w:val="24"/>
                <w:szCs w:val="24"/>
              </w:rPr>
            </w:pPr>
            <w:r>
              <w:rPr>
                <w:rFonts w:eastAsia="Times New Roman"/>
              </w:rPr>
              <w:t>7</w:t>
            </w:r>
          </w:p>
        </w:tc>
        <w:tc>
          <w:tcPr>
            <w:tcW w:w="0" w:type="auto"/>
            <w:hideMark/>
          </w:tcPr>
          <w:p w14:paraId="174E740C" w14:textId="77777777" w:rsidR="00B16F28" w:rsidRDefault="00B16F28">
            <w:pPr>
              <w:rPr>
                <w:rFonts w:eastAsia="Times New Roman"/>
                <w:sz w:val="24"/>
                <w:szCs w:val="24"/>
              </w:rPr>
            </w:pPr>
            <w:r>
              <w:rPr>
                <w:rFonts w:eastAsia="Times New Roman"/>
              </w:rPr>
              <w:t>0</w:t>
            </w:r>
          </w:p>
        </w:tc>
        <w:tc>
          <w:tcPr>
            <w:tcW w:w="0" w:type="auto"/>
            <w:hideMark/>
          </w:tcPr>
          <w:p w14:paraId="37C6BA77" w14:textId="77777777" w:rsidR="00B16F28" w:rsidRDefault="00B16F28">
            <w:pPr>
              <w:rPr>
                <w:rFonts w:eastAsia="Times New Roman"/>
                <w:sz w:val="24"/>
                <w:szCs w:val="24"/>
              </w:rPr>
            </w:pPr>
            <w:r>
              <w:rPr>
                <w:rFonts w:eastAsia="Times New Roman"/>
              </w:rPr>
              <w:t>16</w:t>
            </w:r>
          </w:p>
        </w:tc>
      </w:tr>
      <w:tr w:rsidR="00B16F28" w14:paraId="27A705C9"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97B18E1" w14:textId="77777777" w:rsidR="00B16F28" w:rsidRDefault="00B16F28">
            <w:pPr>
              <w:rPr>
                <w:rFonts w:eastAsia="Times New Roman"/>
                <w:sz w:val="24"/>
                <w:szCs w:val="24"/>
              </w:rPr>
            </w:pPr>
            <w:r>
              <w:rPr>
                <w:rFonts w:eastAsia="Times New Roman"/>
              </w:rPr>
              <w:t>Native/feral animal - direct</w:t>
            </w:r>
          </w:p>
        </w:tc>
        <w:tc>
          <w:tcPr>
            <w:tcW w:w="0" w:type="auto"/>
            <w:hideMark/>
          </w:tcPr>
          <w:p w14:paraId="12763C05" w14:textId="77777777" w:rsidR="00B16F28" w:rsidRDefault="00B16F28">
            <w:pPr>
              <w:rPr>
                <w:rFonts w:eastAsia="Times New Roman"/>
                <w:sz w:val="24"/>
                <w:szCs w:val="24"/>
              </w:rPr>
            </w:pPr>
            <w:r>
              <w:rPr>
                <w:rFonts w:eastAsia="Times New Roman"/>
              </w:rPr>
              <w:t>1</w:t>
            </w:r>
          </w:p>
        </w:tc>
        <w:tc>
          <w:tcPr>
            <w:tcW w:w="0" w:type="auto"/>
            <w:hideMark/>
          </w:tcPr>
          <w:p w14:paraId="5CE93BD8" w14:textId="77777777" w:rsidR="00B16F28" w:rsidRDefault="00B16F28">
            <w:pPr>
              <w:rPr>
                <w:rFonts w:eastAsia="Times New Roman"/>
                <w:sz w:val="24"/>
                <w:szCs w:val="24"/>
              </w:rPr>
            </w:pPr>
            <w:r>
              <w:rPr>
                <w:rFonts w:eastAsia="Times New Roman"/>
              </w:rPr>
              <w:t>11</w:t>
            </w:r>
          </w:p>
        </w:tc>
        <w:tc>
          <w:tcPr>
            <w:tcW w:w="0" w:type="auto"/>
            <w:hideMark/>
          </w:tcPr>
          <w:p w14:paraId="7AA9B7DD" w14:textId="77777777" w:rsidR="00B16F28" w:rsidRDefault="00B16F28">
            <w:pPr>
              <w:rPr>
                <w:rFonts w:eastAsia="Times New Roman"/>
                <w:sz w:val="24"/>
                <w:szCs w:val="24"/>
              </w:rPr>
            </w:pPr>
            <w:r>
              <w:rPr>
                <w:rFonts w:eastAsia="Times New Roman"/>
              </w:rPr>
              <w:t>0</w:t>
            </w:r>
          </w:p>
        </w:tc>
        <w:tc>
          <w:tcPr>
            <w:tcW w:w="0" w:type="auto"/>
            <w:hideMark/>
          </w:tcPr>
          <w:p w14:paraId="5BFF96CA" w14:textId="77777777" w:rsidR="00B16F28" w:rsidRDefault="00B16F28">
            <w:pPr>
              <w:rPr>
                <w:rFonts w:eastAsia="Times New Roman"/>
                <w:sz w:val="24"/>
                <w:szCs w:val="24"/>
              </w:rPr>
            </w:pPr>
            <w:r>
              <w:rPr>
                <w:rFonts w:eastAsia="Times New Roman"/>
              </w:rPr>
              <w:t>2</w:t>
            </w:r>
          </w:p>
        </w:tc>
        <w:tc>
          <w:tcPr>
            <w:tcW w:w="0" w:type="auto"/>
            <w:hideMark/>
          </w:tcPr>
          <w:p w14:paraId="7748A6CF" w14:textId="77777777" w:rsidR="00B16F28" w:rsidRDefault="00B16F28">
            <w:pPr>
              <w:rPr>
                <w:rFonts w:eastAsia="Times New Roman"/>
                <w:sz w:val="24"/>
                <w:szCs w:val="24"/>
              </w:rPr>
            </w:pPr>
            <w:r>
              <w:rPr>
                <w:rFonts w:eastAsia="Times New Roman"/>
              </w:rPr>
              <w:t>0</w:t>
            </w:r>
          </w:p>
        </w:tc>
        <w:tc>
          <w:tcPr>
            <w:tcW w:w="0" w:type="auto"/>
            <w:hideMark/>
          </w:tcPr>
          <w:p w14:paraId="393454D3" w14:textId="77777777" w:rsidR="00B16F28" w:rsidRDefault="00B16F28">
            <w:pPr>
              <w:rPr>
                <w:rFonts w:eastAsia="Times New Roman"/>
                <w:sz w:val="24"/>
                <w:szCs w:val="24"/>
              </w:rPr>
            </w:pPr>
            <w:r>
              <w:rPr>
                <w:rFonts w:eastAsia="Times New Roman"/>
              </w:rPr>
              <w:t>14</w:t>
            </w:r>
          </w:p>
        </w:tc>
      </w:tr>
      <w:tr w:rsidR="00804D19" w14:paraId="0E6B5CED" w14:textId="77777777" w:rsidTr="00A14CE6">
        <w:tblPrEx>
          <w:tblCellMar>
            <w:top w:w="0" w:type="dxa"/>
            <w:left w:w="108" w:type="dxa"/>
            <w:bottom w:w="0" w:type="dxa"/>
            <w:right w:w="108" w:type="dxa"/>
          </w:tblCellMar>
        </w:tblPrEx>
        <w:tc>
          <w:tcPr>
            <w:tcW w:w="0" w:type="auto"/>
            <w:hideMark/>
          </w:tcPr>
          <w:p w14:paraId="4D95AF69" w14:textId="77777777" w:rsidR="00B16F28" w:rsidRDefault="00B16F28">
            <w:pPr>
              <w:rPr>
                <w:rFonts w:eastAsia="Times New Roman"/>
                <w:sz w:val="24"/>
                <w:szCs w:val="24"/>
              </w:rPr>
            </w:pPr>
            <w:r>
              <w:rPr>
                <w:rFonts w:eastAsia="Times New Roman"/>
              </w:rPr>
              <w:t>Native/feral animal - indirect</w:t>
            </w:r>
          </w:p>
        </w:tc>
        <w:tc>
          <w:tcPr>
            <w:tcW w:w="0" w:type="auto"/>
            <w:hideMark/>
          </w:tcPr>
          <w:p w14:paraId="02771C40" w14:textId="77777777" w:rsidR="00B16F28" w:rsidRDefault="00B16F28">
            <w:pPr>
              <w:rPr>
                <w:rFonts w:eastAsia="Times New Roman"/>
                <w:sz w:val="24"/>
                <w:szCs w:val="24"/>
              </w:rPr>
            </w:pPr>
            <w:r>
              <w:rPr>
                <w:rFonts w:eastAsia="Times New Roman"/>
              </w:rPr>
              <w:t>4</w:t>
            </w:r>
          </w:p>
        </w:tc>
        <w:tc>
          <w:tcPr>
            <w:tcW w:w="0" w:type="auto"/>
            <w:hideMark/>
          </w:tcPr>
          <w:p w14:paraId="2E837335" w14:textId="77777777" w:rsidR="00B16F28" w:rsidRDefault="00B16F28">
            <w:pPr>
              <w:rPr>
                <w:rFonts w:eastAsia="Times New Roman"/>
                <w:sz w:val="24"/>
                <w:szCs w:val="24"/>
              </w:rPr>
            </w:pPr>
            <w:r>
              <w:rPr>
                <w:rFonts w:eastAsia="Times New Roman"/>
              </w:rPr>
              <w:t>46</w:t>
            </w:r>
          </w:p>
        </w:tc>
        <w:tc>
          <w:tcPr>
            <w:tcW w:w="0" w:type="auto"/>
            <w:hideMark/>
          </w:tcPr>
          <w:p w14:paraId="03E77554" w14:textId="77777777" w:rsidR="00B16F28" w:rsidRDefault="00B16F28">
            <w:pPr>
              <w:rPr>
                <w:rFonts w:eastAsia="Times New Roman"/>
                <w:sz w:val="24"/>
                <w:szCs w:val="24"/>
              </w:rPr>
            </w:pPr>
            <w:r>
              <w:rPr>
                <w:rFonts w:eastAsia="Times New Roman"/>
              </w:rPr>
              <w:t>3</w:t>
            </w:r>
          </w:p>
        </w:tc>
        <w:tc>
          <w:tcPr>
            <w:tcW w:w="0" w:type="auto"/>
            <w:hideMark/>
          </w:tcPr>
          <w:p w14:paraId="618CBD0E" w14:textId="77777777" w:rsidR="00B16F28" w:rsidRDefault="00B16F28">
            <w:pPr>
              <w:rPr>
                <w:rFonts w:eastAsia="Times New Roman"/>
                <w:sz w:val="24"/>
                <w:szCs w:val="24"/>
              </w:rPr>
            </w:pPr>
            <w:r>
              <w:rPr>
                <w:rFonts w:eastAsia="Times New Roman"/>
              </w:rPr>
              <w:t>6</w:t>
            </w:r>
          </w:p>
        </w:tc>
        <w:tc>
          <w:tcPr>
            <w:tcW w:w="0" w:type="auto"/>
            <w:hideMark/>
          </w:tcPr>
          <w:p w14:paraId="6F3D9BFF" w14:textId="77777777" w:rsidR="00B16F28" w:rsidRDefault="00B16F28">
            <w:pPr>
              <w:rPr>
                <w:rFonts w:eastAsia="Times New Roman"/>
                <w:sz w:val="24"/>
                <w:szCs w:val="24"/>
              </w:rPr>
            </w:pPr>
            <w:r>
              <w:rPr>
                <w:rFonts w:eastAsia="Times New Roman"/>
              </w:rPr>
              <w:t>0</w:t>
            </w:r>
          </w:p>
        </w:tc>
        <w:tc>
          <w:tcPr>
            <w:tcW w:w="0" w:type="auto"/>
            <w:hideMark/>
          </w:tcPr>
          <w:p w14:paraId="299684A4" w14:textId="77777777" w:rsidR="00B16F28" w:rsidRDefault="00B16F28">
            <w:pPr>
              <w:rPr>
                <w:rFonts w:eastAsia="Times New Roman"/>
                <w:sz w:val="24"/>
                <w:szCs w:val="24"/>
              </w:rPr>
            </w:pPr>
            <w:r>
              <w:rPr>
                <w:rFonts w:eastAsia="Times New Roman"/>
              </w:rPr>
              <w:t>59</w:t>
            </w:r>
          </w:p>
        </w:tc>
      </w:tr>
      <w:tr w:rsidR="00B16F28" w14:paraId="13C22881"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47D89F4D" w14:textId="77777777" w:rsidR="00B16F28" w:rsidRDefault="00B16F28">
            <w:pPr>
              <w:rPr>
                <w:rFonts w:eastAsia="Times New Roman"/>
                <w:sz w:val="24"/>
                <w:szCs w:val="24"/>
              </w:rPr>
            </w:pPr>
            <w:r>
              <w:rPr>
                <w:rFonts w:eastAsia="Times New Roman"/>
              </w:rPr>
              <w:t>Native/feral animal - contact not specified</w:t>
            </w:r>
          </w:p>
        </w:tc>
        <w:tc>
          <w:tcPr>
            <w:tcW w:w="0" w:type="auto"/>
            <w:hideMark/>
          </w:tcPr>
          <w:p w14:paraId="5C643772" w14:textId="77777777" w:rsidR="00B16F28" w:rsidRDefault="00B16F28">
            <w:pPr>
              <w:rPr>
                <w:rFonts w:eastAsia="Times New Roman"/>
                <w:sz w:val="24"/>
                <w:szCs w:val="24"/>
              </w:rPr>
            </w:pPr>
            <w:r>
              <w:rPr>
                <w:rFonts w:eastAsia="Times New Roman"/>
              </w:rPr>
              <w:t>2</w:t>
            </w:r>
          </w:p>
        </w:tc>
        <w:tc>
          <w:tcPr>
            <w:tcW w:w="0" w:type="auto"/>
            <w:hideMark/>
          </w:tcPr>
          <w:p w14:paraId="0BAFEE87" w14:textId="77777777" w:rsidR="00B16F28" w:rsidRDefault="00B16F28">
            <w:pPr>
              <w:rPr>
                <w:rFonts w:eastAsia="Times New Roman"/>
                <w:sz w:val="24"/>
                <w:szCs w:val="24"/>
              </w:rPr>
            </w:pPr>
            <w:r>
              <w:rPr>
                <w:rFonts w:eastAsia="Times New Roman"/>
              </w:rPr>
              <w:t>30</w:t>
            </w:r>
          </w:p>
        </w:tc>
        <w:tc>
          <w:tcPr>
            <w:tcW w:w="0" w:type="auto"/>
            <w:hideMark/>
          </w:tcPr>
          <w:p w14:paraId="775E69E9" w14:textId="77777777" w:rsidR="00B16F28" w:rsidRDefault="00B16F28">
            <w:pPr>
              <w:rPr>
                <w:rFonts w:eastAsia="Times New Roman"/>
                <w:sz w:val="24"/>
                <w:szCs w:val="24"/>
              </w:rPr>
            </w:pPr>
            <w:r>
              <w:rPr>
                <w:rFonts w:eastAsia="Times New Roman"/>
              </w:rPr>
              <w:t>0</w:t>
            </w:r>
          </w:p>
        </w:tc>
        <w:tc>
          <w:tcPr>
            <w:tcW w:w="0" w:type="auto"/>
            <w:hideMark/>
          </w:tcPr>
          <w:p w14:paraId="7C120AAC" w14:textId="77777777" w:rsidR="00B16F28" w:rsidRDefault="00B16F28">
            <w:pPr>
              <w:rPr>
                <w:rFonts w:eastAsia="Times New Roman"/>
                <w:sz w:val="24"/>
                <w:szCs w:val="24"/>
              </w:rPr>
            </w:pPr>
            <w:r>
              <w:rPr>
                <w:rFonts w:eastAsia="Times New Roman"/>
              </w:rPr>
              <w:t>5</w:t>
            </w:r>
          </w:p>
        </w:tc>
        <w:tc>
          <w:tcPr>
            <w:tcW w:w="0" w:type="auto"/>
            <w:hideMark/>
          </w:tcPr>
          <w:p w14:paraId="5B307293" w14:textId="77777777" w:rsidR="00B16F28" w:rsidRDefault="00B16F28">
            <w:pPr>
              <w:rPr>
                <w:rFonts w:eastAsia="Times New Roman"/>
                <w:sz w:val="24"/>
                <w:szCs w:val="24"/>
              </w:rPr>
            </w:pPr>
            <w:r>
              <w:rPr>
                <w:rFonts w:eastAsia="Times New Roman"/>
              </w:rPr>
              <w:t>1</w:t>
            </w:r>
          </w:p>
        </w:tc>
        <w:tc>
          <w:tcPr>
            <w:tcW w:w="0" w:type="auto"/>
            <w:hideMark/>
          </w:tcPr>
          <w:p w14:paraId="6CA8689C" w14:textId="77777777" w:rsidR="00B16F28" w:rsidRDefault="00B16F28">
            <w:pPr>
              <w:rPr>
                <w:rFonts w:eastAsia="Times New Roman"/>
                <w:sz w:val="24"/>
                <w:szCs w:val="24"/>
              </w:rPr>
            </w:pPr>
            <w:r>
              <w:rPr>
                <w:rFonts w:eastAsia="Times New Roman"/>
              </w:rPr>
              <w:t>38</w:t>
            </w:r>
          </w:p>
        </w:tc>
      </w:tr>
      <w:tr w:rsidR="00804D19" w14:paraId="1FD25629" w14:textId="77777777" w:rsidTr="00A14CE6">
        <w:tblPrEx>
          <w:tblCellMar>
            <w:top w:w="0" w:type="dxa"/>
            <w:left w:w="108" w:type="dxa"/>
            <w:bottom w:w="0" w:type="dxa"/>
            <w:right w:w="108" w:type="dxa"/>
          </w:tblCellMar>
        </w:tblPrEx>
        <w:tc>
          <w:tcPr>
            <w:tcW w:w="0" w:type="auto"/>
            <w:hideMark/>
          </w:tcPr>
          <w:p w14:paraId="1A988BD9" w14:textId="77777777" w:rsidR="00B16F28" w:rsidRDefault="00B16F28">
            <w:pPr>
              <w:rPr>
                <w:rFonts w:eastAsia="Times New Roman"/>
                <w:sz w:val="24"/>
                <w:szCs w:val="24"/>
              </w:rPr>
            </w:pPr>
            <w:r>
              <w:rPr>
                <w:rFonts w:eastAsia="Times New Roman"/>
              </w:rPr>
              <w:t>Companion animal, including horses</w:t>
            </w:r>
          </w:p>
        </w:tc>
        <w:tc>
          <w:tcPr>
            <w:tcW w:w="0" w:type="auto"/>
            <w:hideMark/>
          </w:tcPr>
          <w:p w14:paraId="6939B309" w14:textId="77777777" w:rsidR="00B16F28" w:rsidRDefault="00B16F28">
            <w:pPr>
              <w:rPr>
                <w:rFonts w:eastAsia="Times New Roman"/>
                <w:sz w:val="24"/>
                <w:szCs w:val="24"/>
              </w:rPr>
            </w:pPr>
            <w:r>
              <w:rPr>
                <w:rFonts w:eastAsia="Times New Roman"/>
              </w:rPr>
              <w:t>0</w:t>
            </w:r>
          </w:p>
        </w:tc>
        <w:tc>
          <w:tcPr>
            <w:tcW w:w="0" w:type="auto"/>
            <w:hideMark/>
          </w:tcPr>
          <w:p w14:paraId="65964ABE" w14:textId="77777777" w:rsidR="00B16F28" w:rsidRDefault="00B16F28">
            <w:pPr>
              <w:rPr>
                <w:rFonts w:eastAsia="Times New Roman"/>
                <w:sz w:val="24"/>
                <w:szCs w:val="24"/>
              </w:rPr>
            </w:pPr>
            <w:r>
              <w:rPr>
                <w:rFonts w:eastAsia="Times New Roman"/>
              </w:rPr>
              <w:t>10</w:t>
            </w:r>
          </w:p>
        </w:tc>
        <w:tc>
          <w:tcPr>
            <w:tcW w:w="0" w:type="auto"/>
            <w:hideMark/>
          </w:tcPr>
          <w:p w14:paraId="51BE3922" w14:textId="77777777" w:rsidR="00B16F28" w:rsidRDefault="00B16F28">
            <w:pPr>
              <w:rPr>
                <w:rFonts w:eastAsia="Times New Roman"/>
                <w:sz w:val="24"/>
                <w:szCs w:val="24"/>
              </w:rPr>
            </w:pPr>
            <w:r>
              <w:rPr>
                <w:rFonts w:eastAsia="Times New Roman"/>
              </w:rPr>
              <w:t>1</w:t>
            </w:r>
          </w:p>
        </w:tc>
        <w:tc>
          <w:tcPr>
            <w:tcW w:w="0" w:type="auto"/>
            <w:hideMark/>
          </w:tcPr>
          <w:p w14:paraId="09A2AC97" w14:textId="77777777" w:rsidR="00B16F28" w:rsidRDefault="00B16F28">
            <w:pPr>
              <w:rPr>
                <w:rFonts w:eastAsia="Times New Roman"/>
                <w:sz w:val="24"/>
                <w:szCs w:val="24"/>
              </w:rPr>
            </w:pPr>
            <w:r>
              <w:rPr>
                <w:rFonts w:eastAsia="Times New Roman"/>
              </w:rPr>
              <w:t>4</w:t>
            </w:r>
          </w:p>
        </w:tc>
        <w:tc>
          <w:tcPr>
            <w:tcW w:w="0" w:type="auto"/>
            <w:hideMark/>
          </w:tcPr>
          <w:p w14:paraId="40C3CB29" w14:textId="77777777" w:rsidR="00B16F28" w:rsidRDefault="00B16F28">
            <w:pPr>
              <w:rPr>
                <w:rFonts w:eastAsia="Times New Roman"/>
                <w:sz w:val="24"/>
                <w:szCs w:val="24"/>
              </w:rPr>
            </w:pPr>
            <w:r>
              <w:rPr>
                <w:rFonts w:eastAsia="Times New Roman"/>
              </w:rPr>
              <w:t>0</w:t>
            </w:r>
          </w:p>
        </w:tc>
        <w:tc>
          <w:tcPr>
            <w:tcW w:w="0" w:type="auto"/>
            <w:hideMark/>
          </w:tcPr>
          <w:p w14:paraId="3255C77A" w14:textId="77777777" w:rsidR="00B16F28" w:rsidRDefault="00B16F28">
            <w:pPr>
              <w:rPr>
                <w:rFonts w:eastAsia="Times New Roman"/>
                <w:sz w:val="24"/>
                <w:szCs w:val="24"/>
              </w:rPr>
            </w:pPr>
            <w:r>
              <w:rPr>
                <w:rFonts w:eastAsia="Times New Roman"/>
              </w:rPr>
              <w:t>15</w:t>
            </w:r>
          </w:p>
        </w:tc>
      </w:tr>
      <w:tr w:rsidR="00B16F28" w14:paraId="30556F47"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63401745" w14:textId="77777777" w:rsidR="00B16F28" w:rsidRDefault="00B16F28">
            <w:pPr>
              <w:rPr>
                <w:rFonts w:eastAsia="Times New Roman"/>
                <w:sz w:val="24"/>
                <w:szCs w:val="24"/>
              </w:rPr>
            </w:pPr>
            <w:r>
              <w:rPr>
                <w:rFonts w:eastAsia="Times New Roman"/>
              </w:rPr>
              <w:t>Other</w:t>
            </w:r>
          </w:p>
        </w:tc>
        <w:tc>
          <w:tcPr>
            <w:tcW w:w="0" w:type="auto"/>
            <w:hideMark/>
          </w:tcPr>
          <w:p w14:paraId="2CC98AA2" w14:textId="77777777" w:rsidR="00B16F28" w:rsidRDefault="00B16F28">
            <w:pPr>
              <w:rPr>
                <w:rFonts w:eastAsia="Times New Roman"/>
                <w:sz w:val="24"/>
                <w:szCs w:val="24"/>
              </w:rPr>
            </w:pPr>
            <w:r>
              <w:rPr>
                <w:rFonts w:eastAsia="Times New Roman"/>
              </w:rPr>
              <w:t>0</w:t>
            </w:r>
          </w:p>
        </w:tc>
        <w:tc>
          <w:tcPr>
            <w:tcW w:w="0" w:type="auto"/>
            <w:hideMark/>
          </w:tcPr>
          <w:p w14:paraId="4AD83727" w14:textId="77777777" w:rsidR="00B16F28" w:rsidRDefault="00B16F28">
            <w:pPr>
              <w:rPr>
                <w:rFonts w:eastAsia="Times New Roman"/>
                <w:sz w:val="24"/>
                <w:szCs w:val="24"/>
              </w:rPr>
            </w:pPr>
            <w:r>
              <w:rPr>
                <w:rFonts w:eastAsia="Times New Roman"/>
              </w:rPr>
              <w:t>3</w:t>
            </w:r>
          </w:p>
        </w:tc>
        <w:tc>
          <w:tcPr>
            <w:tcW w:w="0" w:type="auto"/>
            <w:hideMark/>
          </w:tcPr>
          <w:p w14:paraId="63C8A5E3" w14:textId="77777777" w:rsidR="00B16F28" w:rsidRDefault="00B16F28">
            <w:pPr>
              <w:rPr>
                <w:rFonts w:eastAsia="Times New Roman"/>
                <w:sz w:val="24"/>
                <w:szCs w:val="24"/>
              </w:rPr>
            </w:pPr>
            <w:r>
              <w:rPr>
                <w:rFonts w:eastAsia="Times New Roman"/>
              </w:rPr>
              <w:t>0</w:t>
            </w:r>
          </w:p>
        </w:tc>
        <w:tc>
          <w:tcPr>
            <w:tcW w:w="0" w:type="auto"/>
            <w:hideMark/>
          </w:tcPr>
          <w:p w14:paraId="2390E3B0" w14:textId="77777777" w:rsidR="00B16F28" w:rsidRDefault="00B16F28">
            <w:pPr>
              <w:rPr>
                <w:rFonts w:eastAsia="Times New Roman"/>
                <w:sz w:val="24"/>
                <w:szCs w:val="24"/>
              </w:rPr>
            </w:pPr>
            <w:r>
              <w:rPr>
                <w:rFonts w:eastAsia="Times New Roman"/>
              </w:rPr>
              <w:t>3</w:t>
            </w:r>
          </w:p>
        </w:tc>
        <w:tc>
          <w:tcPr>
            <w:tcW w:w="0" w:type="auto"/>
            <w:hideMark/>
          </w:tcPr>
          <w:p w14:paraId="087B91D6" w14:textId="77777777" w:rsidR="00B16F28" w:rsidRDefault="00B16F28">
            <w:pPr>
              <w:rPr>
                <w:rFonts w:eastAsia="Times New Roman"/>
                <w:sz w:val="24"/>
                <w:szCs w:val="24"/>
              </w:rPr>
            </w:pPr>
            <w:r>
              <w:rPr>
                <w:rFonts w:eastAsia="Times New Roman"/>
              </w:rPr>
              <w:t>0</w:t>
            </w:r>
          </w:p>
        </w:tc>
        <w:tc>
          <w:tcPr>
            <w:tcW w:w="0" w:type="auto"/>
            <w:hideMark/>
          </w:tcPr>
          <w:p w14:paraId="07966961" w14:textId="77777777" w:rsidR="00B16F28" w:rsidRDefault="00B16F28">
            <w:pPr>
              <w:rPr>
                <w:rFonts w:eastAsia="Times New Roman"/>
                <w:sz w:val="24"/>
                <w:szCs w:val="24"/>
              </w:rPr>
            </w:pPr>
            <w:r>
              <w:rPr>
                <w:rFonts w:eastAsia="Times New Roman"/>
              </w:rPr>
              <w:t>6</w:t>
            </w:r>
          </w:p>
        </w:tc>
      </w:tr>
      <w:tr w:rsidR="00804D19" w14:paraId="397D19EC" w14:textId="77777777" w:rsidTr="00A14CE6">
        <w:tblPrEx>
          <w:tblCellMar>
            <w:top w:w="0" w:type="dxa"/>
            <w:left w:w="108" w:type="dxa"/>
            <w:bottom w:w="0" w:type="dxa"/>
            <w:right w:w="108" w:type="dxa"/>
          </w:tblCellMar>
        </w:tblPrEx>
        <w:tc>
          <w:tcPr>
            <w:tcW w:w="0" w:type="auto"/>
            <w:hideMark/>
          </w:tcPr>
          <w:p w14:paraId="589AC3BE" w14:textId="77777777" w:rsidR="00B16F28" w:rsidRDefault="00B16F28">
            <w:pPr>
              <w:rPr>
                <w:rFonts w:eastAsia="Times New Roman"/>
                <w:sz w:val="24"/>
                <w:szCs w:val="24"/>
              </w:rPr>
            </w:pPr>
            <w:r>
              <w:rPr>
                <w:rFonts w:eastAsia="Times New Roman"/>
              </w:rPr>
              <w:t>Multiple</w:t>
            </w:r>
          </w:p>
        </w:tc>
        <w:tc>
          <w:tcPr>
            <w:tcW w:w="0" w:type="auto"/>
            <w:hideMark/>
          </w:tcPr>
          <w:p w14:paraId="44543EC4" w14:textId="77777777" w:rsidR="00B16F28" w:rsidRDefault="00B16F28">
            <w:pPr>
              <w:rPr>
                <w:rFonts w:eastAsia="Times New Roman"/>
                <w:sz w:val="24"/>
                <w:szCs w:val="24"/>
              </w:rPr>
            </w:pPr>
            <w:r>
              <w:rPr>
                <w:rFonts w:eastAsia="Times New Roman"/>
              </w:rPr>
              <w:t>3</w:t>
            </w:r>
          </w:p>
        </w:tc>
        <w:tc>
          <w:tcPr>
            <w:tcW w:w="0" w:type="auto"/>
            <w:hideMark/>
          </w:tcPr>
          <w:p w14:paraId="6EF8D0DF" w14:textId="77777777" w:rsidR="00B16F28" w:rsidRDefault="00B16F28">
            <w:pPr>
              <w:rPr>
                <w:rFonts w:eastAsia="Times New Roman"/>
                <w:sz w:val="24"/>
                <w:szCs w:val="24"/>
              </w:rPr>
            </w:pPr>
            <w:r>
              <w:rPr>
                <w:rFonts w:eastAsia="Times New Roman"/>
              </w:rPr>
              <w:t>41</w:t>
            </w:r>
          </w:p>
        </w:tc>
        <w:tc>
          <w:tcPr>
            <w:tcW w:w="0" w:type="auto"/>
            <w:hideMark/>
          </w:tcPr>
          <w:p w14:paraId="5A71FBE3" w14:textId="77777777" w:rsidR="00B16F28" w:rsidRDefault="00B16F28">
            <w:pPr>
              <w:rPr>
                <w:rFonts w:eastAsia="Times New Roman"/>
                <w:sz w:val="24"/>
                <w:szCs w:val="24"/>
              </w:rPr>
            </w:pPr>
            <w:r>
              <w:rPr>
                <w:rFonts w:eastAsia="Times New Roman"/>
              </w:rPr>
              <w:t>0</w:t>
            </w:r>
          </w:p>
        </w:tc>
        <w:tc>
          <w:tcPr>
            <w:tcW w:w="0" w:type="auto"/>
            <w:hideMark/>
          </w:tcPr>
          <w:p w14:paraId="61D91D7D" w14:textId="77777777" w:rsidR="00B16F28" w:rsidRDefault="00B16F28">
            <w:pPr>
              <w:rPr>
                <w:rFonts w:eastAsia="Times New Roman"/>
                <w:sz w:val="24"/>
                <w:szCs w:val="24"/>
              </w:rPr>
            </w:pPr>
            <w:r>
              <w:rPr>
                <w:rFonts w:eastAsia="Times New Roman"/>
              </w:rPr>
              <w:t>40</w:t>
            </w:r>
          </w:p>
        </w:tc>
        <w:tc>
          <w:tcPr>
            <w:tcW w:w="0" w:type="auto"/>
            <w:hideMark/>
          </w:tcPr>
          <w:p w14:paraId="614D1F12" w14:textId="77777777" w:rsidR="00B16F28" w:rsidRDefault="00B16F28">
            <w:pPr>
              <w:rPr>
                <w:rFonts w:eastAsia="Times New Roman"/>
                <w:sz w:val="24"/>
                <w:szCs w:val="24"/>
              </w:rPr>
            </w:pPr>
            <w:r>
              <w:rPr>
                <w:rFonts w:eastAsia="Times New Roman"/>
              </w:rPr>
              <w:t>2</w:t>
            </w:r>
          </w:p>
        </w:tc>
        <w:tc>
          <w:tcPr>
            <w:tcW w:w="0" w:type="auto"/>
            <w:hideMark/>
          </w:tcPr>
          <w:p w14:paraId="66ADED7F" w14:textId="77777777" w:rsidR="00B16F28" w:rsidRDefault="00B16F28">
            <w:pPr>
              <w:rPr>
                <w:rFonts w:eastAsia="Times New Roman"/>
                <w:sz w:val="24"/>
                <w:szCs w:val="24"/>
              </w:rPr>
            </w:pPr>
            <w:r>
              <w:rPr>
                <w:rFonts w:eastAsia="Times New Roman"/>
              </w:rPr>
              <w:t>86</w:t>
            </w:r>
          </w:p>
        </w:tc>
      </w:tr>
      <w:tr w:rsidR="00B16F28" w14:paraId="485F0202" w14:textId="77777777" w:rsidTr="00A14CE6">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gridSpan w:val="7"/>
            <w:hideMark/>
          </w:tcPr>
          <w:p w14:paraId="0F584515" w14:textId="77777777" w:rsidR="00B16F28" w:rsidRDefault="00B16F28">
            <w:pPr>
              <w:rPr>
                <w:rFonts w:eastAsia="Times New Roman"/>
                <w:sz w:val="24"/>
                <w:szCs w:val="24"/>
              </w:rPr>
            </w:pPr>
          </w:p>
        </w:tc>
      </w:tr>
    </w:tbl>
    <w:p w14:paraId="7FDCD639" w14:textId="77777777" w:rsidR="00A14CE6" w:rsidRDefault="00A14CE6" w:rsidP="00A14CE6">
      <w:pPr>
        <w:pStyle w:val="CDIfootnotes"/>
      </w:pPr>
      <w:r>
        <w:rPr>
          <w:rFonts w:eastAsia="Times New Roman"/>
        </w:rPr>
        <w:t>The nature of animal exposure is also detailed for 641 cases that reportedly had contact with animals.</w:t>
      </w:r>
      <w:r>
        <w:rPr>
          <w:rFonts w:eastAsia="Times New Roman"/>
        </w:rPr>
        <w:br/>
      </w:r>
      <w:r>
        <w:rPr>
          <w:rFonts w:eastAsia="Times New Roman"/>
          <w:vertAlign w:val="superscript"/>
        </w:rPr>
        <w:t>*</w:t>
      </w:r>
      <w:r>
        <w:rPr>
          <w:rFonts w:eastAsia="Times New Roman"/>
        </w:rPr>
        <w:t>Includes cases where data were missing or stated as unknown.</w:t>
      </w:r>
      <w:r>
        <w:rPr>
          <w:rFonts w:eastAsia="Times New Roman"/>
        </w:rPr>
        <w:br/>
        <w:t xml:space="preserve">See Supplementary table for detailed explanation of </w:t>
      </w:r>
      <w:proofErr w:type="gramStart"/>
      <w:r>
        <w:rPr>
          <w:rFonts w:eastAsia="Times New Roman"/>
        </w:rPr>
        <w:t>classifications</w:t>
      </w:r>
      <w:proofErr w:type="gramEnd"/>
    </w:p>
    <w:p w14:paraId="56133E32" w14:textId="77777777" w:rsidR="00BC1303" w:rsidRDefault="00BC1303">
      <w:r>
        <w:br w:type="page"/>
      </w:r>
    </w:p>
    <w:p w14:paraId="3B45D6D0" w14:textId="77777777" w:rsidR="00B16F28" w:rsidRPr="002F56F6" w:rsidRDefault="00B16F28" w:rsidP="002F56F6">
      <w:pPr>
        <w:pStyle w:val="CDIFigures"/>
      </w:pPr>
      <w:r w:rsidRPr="002F56F6">
        <w:lastRenderedPageBreak/>
        <w:t xml:space="preserve">Figure 4: </w:t>
      </w:r>
      <w:r w:rsidRPr="002F56F6">
        <w:rPr>
          <w:rStyle w:val="Strong"/>
          <w:b/>
          <w:bCs w:val="0"/>
        </w:rPr>
        <w:t xml:space="preserve">Q fever </w:t>
      </w:r>
      <w:r w:rsidR="00991947">
        <w:rPr>
          <w:rStyle w:val="Strong"/>
          <w:b/>
          <w:bCs w:val="0"/>
        </w:rPr>
        <w:t>proportions</w:t>
      </w:r>
      <w:r w:rsidRPr="002F56F6">
        <w:rPr>
          <w:rStyle w:val="Strong"/>
          <w:b/>
          <w:bCs w:val="0"/>
        </w:rPr>
        <w:t xml:space="preserve"> by type of animal exposure and local government area (LGA; A: Rural, B: Urban) classification in New South Wales, 2005-2015.</w:t>
      </w:r>
    </w:p>
    <w:p w14:paraId="014EAA74" w14:textId="77777777" w:rsidR="00B16F28" w:rsidRDefault="00B16F28">
      <w:pPr>
        <w:pStyle w:val="NormalWeb"/>
      </w:pPr>
      <w:r>
        <w:rPr>
          <w:noProof/>
        </w:rPr>
        <w:drawing>
          <wp:inline distT="0" distB="0" distL="0" distR="0" wp14:anchorId="15B93204" wp14:editId="6ACF2BCE">
            <wp:extent cx="6316298" cy="4126727"/>
            <wp:effectExtent l="0" t="0" r="8890" b="7620"/>
            <wp:docPr id="4" name="Picture 4" descr="Figure 4 comprises two proportional bar charts (A &amp; B) showing the notifications by type of animal exposure and local government area (LGA; A: Rural, B: Urban) classification in New South Wales, 2005-2015. The overall trend shows a decrease in the proportion of cases with an unknown animal exposure, particularly after the introduction of NCIMS in 2010. This is true for both A: rural and B: urban LGAs" title="Figure 4: Q fever notifications by type of animal exposure and local government area (LGA; A: Rural, B: Urban) classification in New South Wales, 200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taging\CDESS\ZoFE\CDI\Desktopping\OpenCDI\OpenCDI-2018-volume\10-Siobhan M. Mor-Surveillance system enhancements for Q fever in NSW, 2005-2015\MS-Word output\tables-web-resources\image\35826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2116" cy="4130528"/>
                    </a:xfrm>
                    <a:prstGeom prst="rect">
                      <a:avLst/>
                    </a:prstGeom>
                    <a:noFill/>
                    <a:ln>
                      <a:noFill/>
                    </a:ln>
                  </pic:spPr>
                </pic:pic>
              </a:graphicData>
            </a:graphic>
          </wp:inline>
        </w:drawing>
      </w:r>
    </w:p>
    <w:p w14:paraId="41EDE328" w14:textId="77777777" w:rsidR="00B16F28" w:rsidRDefault="00B16F28">
      <w:pPr>
        <w:pStyle w:val="NormalWeb"/>
      </w:pPr>
      <w:r>
        <w:rPr>
          <w:noProof/>
        </w:rPr>
        <w:drawing>
          <wp:inline distT="0" distB="0" distL="0" distR="0" wp14:anchorId="7CC080D1" wp14:editId="5E585BA5">
            <wp:extent cx="6488264" cy="4241301"/>
            <wp:effectExtent l="0" t="0" r="8255" b="6985"/>
            <wp:docPr id="5" name="Picture 5" descr="Figure 4 comprises two proportional bar charts (A &amp; B) showing the notifications by type of animal exposure and local government area (LGA; A: Rural, B: Urban) classification in New South Wales, 2005-2015. The overall trend shows a decrease in the proportion of cases with an unknown animal exposure, particularly after the introduction of NCIMS in 2010. This is true for both A: rural and B: urban LGAs" title="Figure 4: Q fever notifications by type of animal exposure and local government area (LGA; A: Rural, B: Urban) classification in New South Wales, 2005-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taging\CDESS\ZoFE\CDI\Desktopping\OpenCDI\OpenCDI-2018-volume\10-Siobhan M. Mor-Surveillance system enhancements for Q fever in NSW, 2005-2015\MS-Word output\tables-web-resources\image\35827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8078" cy="4241179"/>
                    </a:xfrm>
                    <a:prstGeom prst="rect">
                      <a:avLst/>
                    </a:prstGeom>
                    <a:noFill/>
                    <a:ln>
                      <a:noFill/>
                    </a:ln>
                  </pic:spPr>
                </pic:pic>
              </a:graphicData>
            </a:graphic>
          </wp:inline>
        </w:drawing>
      </w:r>
    </w:p>
    <w:p w14:paraId="5E304627" w14:textId="77777777" w:rsidR="00B16F28" w:rsidRPr="00BC1303" w:rsidRDefault="00B16F28" w:rsidP="00BC1303">
      <w:pPr>
        <w:pStyle w:val="Heading1"/>
      </w:pPr>
      <w:r w:rsidRPr="00BC1303">
        <w:rPr>
          <w:rStyle w:val="Strong"/>
          <w:b/>
          <w:bCs/>
        </w:rPr>
        <w:lastRenderedPageBreak/>
        <w:t>Discussion</w:t>
      </w:r>
      <w:r w:rsidRPr="00BC1303">
        <w:t xml:space="preserve"> </w:t>
      </w:r>
    </w:p>
    <w:p w14:paraId="7D003C8D" w14:textId="77777777" w:rsidR="00B16F28" w:rsidRDefault="00B16F28" w:rsidP="00BC1303">
      <w:r>
        <w:t>Q fever remains an important notifiable condition in NSW, in particular in rural and regional areas of NSW. In this study, we interrogated the enhanced NCIMS system to investigate exposure risks in detail. While exposure risks largely confirm findings reported previously</w:t>
      </w:r>
      <w:r w:rsidR="00991947">
        <w:t>,</w:t>
      </w:r>
      <w:r>
        <w:rPr>
          <w:vertAlign w:val="superscript"/>
        </w:rPr>
        <w:t>12</w:t>
      </w:r>
      <w:r w:rsidR="00BC1303">
        <w:rPr>
          <w:vertAlign w:val="superscript"/>
        </w:rPr>
        <w:t>, 16</w:t>
      </w:r>
      <w:r>
        <w:t xml:space="preserve"> the study indicates that changes introduced to NCIMS in 2010 have led to improvements in collection of surveillance data for Q fever in NSW. Further, construction of the high risk occupation/exposure categories as done in this study could be used as the basis for development of a standardised tool to support collection of a national minimum data set for Q fever.</w:t>
      </w:r>
    </w:p>
    <w:p w14:paraId="0D1FED21" w14:textId="77777777" w:rsidR="00B16F28" w:rsidRDefault="00B16F28" w:rsidP="00BC1303">
      <w:r>
        <w:t>Enhanced data collection since 2010</w:t>
      </w:r>
      <w:r w:rsidR="00991947">
        <w:t>,</w:t>
      </w:r>
      <w:r>
        <w:t xml:space="preserve"> has allowed for improved capture of vaccination status. This was identified as an issue in previous reviews conducted in NSW prior to 2010, where vaccination status was recorded for only 34% of cases.</w:t>
      </w:r>
      <w:r>
        <w:rPr>
          <w:vertAlign w:val="superscript"/>
        </w:rPr>
        <w:t>12</w:t>
      </w:r>
      <w:r>
        <w:t xml:space="preserve"> Only </w:t>
      </w:r>
      <w:r w:rsidR="00991947">
        <w:t>10</w:t>
      </w:r>
      <w:r>
        <w:t xml:space="preserve"> cases of Q fever were reported in vaccinated people during the period 2011-2015. It is not possible to determine whether the </w:t>
      </w:r>
      <w:r w:rsidR="00991947">
        <w:t>10</w:t>
      </w:r>
      <w:r>
        <w:t xml:space="preserve"> cases reporting vaccination were true vaccine failures. Q-Vax has been reported to have 100% protection for at least 5 years due to its ability to stimulate long lasting T lymphocyte memory.</w:t>
      </w:r>
      <w:r>
        <w:rPr>
          <w:vertAlign w:val="superscript"/>
        </w:rPr>
        <w:t>17</w:t>
      </w:r>
      <w:r>
        <w:t xml:space="preserve"> It is possible that the cases were not vaccinated as public health units are not required to verify vaccination with the GP or the Q fever registry. Some of the cases reported being vaccinated more than 20 years prior to symptoms developing. There has been some suggestion that periodic exposure is needed to maintain immunity.</w:t>
      </w:r>
      <w:r>
        <w:rPr>
          <w:vertAlign w:val="superscript"/>
        </w:rPr>
        <w:t>18</w:t>
      </w:r>
      <w:r>
        <w:t xml:space="preserve"> As the questionnaire does not collect information on exposures outside of the incubation period, information around frequency of exposure to risk settings, and thus potential lack of “natural boosting” was not able to be explored.</w:t>
      </w:r>
    </w:p>
    <w:p w14:paraId="1CD8C0DD" w14:textId="77777777" w:rsidR="00B16F28" w:rsidRDefault="00B16F28" w:rsidP="00BC1303">
      <w:r>
        <w:t>Data relating to occupation were improved from previous studies through the analysis of free text notes and “occupation” fields. This resulted in 91.4% of cases in the period 2011-2015 having a known occupation compared to almost half being missing in previous studies.</w:t>
      </w:r>
      <w:r>
        <w:rPr>
          <w:vertAlign w:val="superscript"/>
        </w:rPr>
        <w:t>12</w:t>
      </w:r>
      <w:r>
        <w:t xml:space="preserve"> </w:t>
      </w:r>
    </w:p>
    <w:p w14:paraId="426BA8C4" w14:textId="77777777" w:rsidR="00B16F28" w:rsidRDefault="00B16F28" w:rsidP="00BC1303">
      <w:r>
        <w:t>Nonetheless, reporting of no “high risk occupation” in 47.7% of cases supports the view that occupation is a poor proxy for exposure</w:t>
      </w:r>
      <w:r w:rsidR="00991947">
        <w:t>.</w:t>
      </w:r>
      <w:r>
        <w:rPr>
          <w:vertAlign w:val="superscript"/>
        </w:rPr>
        <w:t>16</w:t>
      </w:r>
      <w:r>
        <w:t xml:space="preserve"> It suggests that a change in the exposure profile of cases, or surveillance system enhancements have led to improvements in capture of non-livestock exposures.</w:t>
      </w:r>
    </w:p>
    <w:p w14:paraId="37362FCF" w14:textId="77777777" w:rsidR="00B16F28" w:rsidRDefault="00B16F28" w:rsidP="00BC1303">
      <w:r>
        <w:t>Residence in a rural agricultural/remote LGA or regional town/city LGA was identified again as a risk factor for contracting Q fever. This has previously been described</w:t>
      </w:r>
      <w:r>
        <w:rPr>
          <w:vertAlign w:val="superscript"/>
        </w:rPr>
        <w:t>19</w:t>
      </w:r>
      <w:r>
        <w:t xml:space="preserve"> and is consistent with the increased (occupational or incidental) contact with livestock, and potentially wildlife. Most notifications in rural LGAs were employed in high-risk occupations or had direct exposure to livestock during the exposure period. This suggests access to skilled clinicians who can conduct testing and administer the vaccine is important in these areas. In those cases where proximity to livestock, livestock facilities (e.g. farms and abattoirs) or trucks was reported, it is possible that contaminated dust or aerosols, blown by wind from high risk sources, was the exposure pathway, as has been reported previously.</w:t>
      </w:r>
      <w:r>
        <w:rPr>
          <w:vertAlign w:val="superscript"/>
        </w:rPr>
        <w:t>4</w:t>
      </w:r>
      <w:r>
        <w:t xml:space="preserve"> </w:t>
      </w:r>
    </w:p>
    <w:p w14:paraId="34D4F26A" w14:textId="77777777" w:rsidR="00B16F28" w:rsidRDefault="00B16F28" w:rsidP="00BC1303">
      <w:r>
        <w:t xml:space="preserve">Native animals have previously been implicated as a source of </w:t>
      </w:r>
      <w:r w:rsidRPr="00C66386">
        <w:rPr>
          <w:rStyle w:val="Emphasis"/>
          <w:b w:val="0"/>
        </w:rPr>
        <w:t xml:space="preserve">C. </w:t>
      </w:r>
      <w:proofErr w:type="spellStart"/>
      <w:r w:rsidRPr="00C66386">
        <w:rPr>
          <w:rStyle w:val="Emphasis"/>
          <w:b w:val="0"/>
        </w:rPr>
        <w:t>burnetii</w:t>
      </w:r>
      <w:proofErr w:type="spellEnd"/>
      <w:r>
        <w:t xml:space="preserve"> in NSW.</w:t>
      </w:r>
      <w:r>
        <w:rPr>
          <w:vertAlign w:val="superscript"/>
        </w:rPr>
        <w:t>20-22</w:t>
      </w:r>
      <w:r>
        <w:t xml:space="preserve"> In this report, native animals were identified as the likely exposure for many cases, particularly in urban LGAs. Specifically, mowing was identified as the possible exposure activity in many cases and should be considered for inclusion in routine surveillance data collection activities. Additionally, ongoing refinement of surveillance questions should aim to tease out the specifics of urban exposures, particularly around wild animal contact to better understand potential threats in apparent low risk settings.</w:t>
      </w:r>
    </w:p>
    <w:p w14:paraId="68649AA8" w14:textId="77777777" w:rsidR="00B16F28" w:rsidRDefault="00B16F28" w:rsidP="00BC1303">
      <w:r>
        <w:t xml:space="preserve">Whilst there is still incomplete data, reduction in incomplete and unknown cases demonstrates that the introduction of NCIMS has allowed not only a more detailed but also more complete data collection tool. This has allowed for a much improved overview of the epidemiology of Q fever in NSW. Nonetheless, many cases are still reported that have no clear exposure risk, suggesting that other, currently unknown pathways may exist. This study has some limitations. We divided cases into those which were notified in the 6 years prior to (2005-2010) and 5 years after (2011-2015) the introduction of the enhanced NCIMS system. As these changes were introduced in mid-2010, there </w:t>
      </w:r>
      <w:r>
        <w:lastRenderedPageBreak/>
        <w:t>was a brief period of enhanced data capture that marginally impacts 2010 findings. This may explain some of the decrease in terms of cases with unknown exposure in that year. In addition, cases are classified by address of residence and not exposure site as this is often unknown. It is also possible that the perceived exposure risk may not have been the actual source of infection. As with other surveillance systems not all cases will have been reported, and this is particularly true for a disease like Q fever where a high proportion of cases go undiagnosed.</w:t>
      </w:r>
    </w:p>
    <w:p w14:paraId="768E0A2D" w14:textId="77777777" w:rsidR="00B16F28" w:rsidRDefault="00B16F28" w:rsidP="00BC1303">
      <w:r>
        <w:t xml:space="preserve">In conclusion, this study has shown that enhancements to NCIMS introduced in 2010 have resulted in improved collection of surveillance data for Q fever. This is useful to inform public health prevention strategies. Whilst a large proportion of notifications were in people undertaking high risk occupations or directly contacting livestock, a significant number of cases, especially in urban settings, did not report this exposure. Further refinement of Q fever surveillance can be achieved through continuing to improve data quality, standardising data collection and elucidating exposure pathways in cases. </w:t>
      </w:r>
    </w:p>
    <w:p w14:paraId="422956CF" w14:textId="77777777" w:rsidR="00B16F28" w:rsidRPr="00BC1303" w:rsidRDefault="00BC1303" w:rsidP="00BC1303">
      <w:pPr>
        <w:pStyle w:val="Heading1"/>
      </w:pPr>
      <w:r w:rsidRPr="00BC1303">
        <w:rPr>
          <w:rStyle w:val="Strong"/>
          <w:b/>
          <w:bCs/>
        </w:rPr>
        <w:t>Acknowledgements</w:t>
      </w:r>
    </w:p>
    <w:p w14:paraId="46F423C8" w14:textId="77777777" w:rsidR="00B16F28" w:rsidRDefault="00B16F28" w:rsidP="00BC1303">
      <w:r>
        <w:t>The authors thank Kelly Simpson for creating the spatial distribution map.</w:t>
      </w:r>
    </w:p>
    <w:p w14:paraId="1F0D8EAB" w14:textId="77777777" w:rsidR="00B16F28" w:rsidRPr="00BC1303" w:rsidRDefault="00B16F28" w:rsidP="00BC1303">
      <w:pPr>
        <w:pStyle w:val="Heading1"/>
      </w:pPr>
      <w:r w:rsidRPr="00BC1303">
        <w:t>Authors details</w:t>
      </w:r>
    </w:p>
    <w:p w14:paraId="6626F5E2" w14:textId="77777777" w:rsidR="00B16F28" w:rsidRDefault="00B16F28" w:rsidP="00BC1303">
      <w:r>
        <w:t>Henry C. M. Clutterbuck</w:t>
      </w:r>
      <w:r>
        <w:rPr>
          <w:vertAlign w:val="superscript"/>
        </w:rPr>
        <w:t>1</w:t>
      </w:r>
      <w:r w:rsidR="00BC1303">
        <w:rPr>
          <w:vertAlign w:val="superscript"/>
        </w:rPr>
        <w:t>, 2</w:t>
      </w:r>
      <w:r>
        <w:t>, Keith Eastwood</w:t>
      </w:r>
      <w:r w:rsidR="00572A92">
        <w:rPr>
          <w:vertAlign w:val="superscript"/>
        </w:rPr>
        <w:t>3, 4</w:t>
      </w:r>
      <w:r>
        <w:t>, Peter D. Massey</w:t>
      </w:r>
      <w:r>
        <w:rPr>
          <w:vertAlign w:val="superscript"/>
        </w:rPr>
        <w:t>3</w:t>
      </w:r>
      <w:r w:rsidR="00BC1303">
        <w:rPr>
          <w:vertAlign w:val="superscript"/>
        </w:rPr>
        <w:t>, 5</w:t>
      </w:r>
      <w:r>
        <w:t>, Kirsty Hope</w:t>
      </w:r>
      <w:r>
        <w:rPr>
          <w:vertAlign w:val="superscript"/>
        </w:rPr>
        <w:t>6</w:t>
      </w:r>
      <w:r>
        <w:t xml:space="preserve"> and Siobhan M. Mor</w:t>
      </w:r>
      <w:r>
        <w:rPr>
          <w:vertAlign w:val="superscript"/>
        </w:rPr>
        <w:t>1,2</w:t>
      </w:r>
      <w:r>
        <w:t xml:space="preserve"> </w:t>
      </w:r>
    </w:p>
    <w:p w14:paraId="7FB3CF0A"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 xml:space="preserve">School of Veterinary Science, Faculty of Science, The University of Sydney, NSW, Australia </w:t>
      </w:r>
    </w:p>
    <w:p w14:paraId="301AC113"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Marie Bashir Institute for Infectious Diseases and Biosecurity, The University of Sydney, NSW, Australia</w:t>
      </w:r>
    </w:p>
    <w:p w14:paraId="0D6DB4EC"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Hunter New England Population Health, NSW, Australia</w:t>
      </w:r>
    </w:p>
    <w:p w14:paraId="44C26BFE"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University of Newcastle, NSW, Australia</w:t>
      </w:r>
    </w:p>
    <w:p w14:paraId="71B5DA32"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School of Health, University of New England, NSW, Australia</w:t>
      </w:r>
    </w:p>
    <w:p w14:paraId="688091B8" w14:textId="77777777" w:rsidR="00B16F28" w:rsidRDefault="00B16F28" w:rsidP="00B16F28">
      <w:pPr>
        <w:numPr>
          <w:ilvl w:val="0"/>
          <w:numId w:val="6"/>
        </w:numPr>
        <w:spacing w:before="100" w:beforeAutospacing="1" w:after="100" w:afterAutospacing="1" w:line="240" w:lineRule="auto"/>
        <w:rPr>
          <w:rFonts w:eastAsia="Times New Roman"/>
        </w:rPr>
      </w:pPr>
      <w:r>
        <w:rPr>
          <w:rFonts w:eastAsia="Times New Roman"/>
        </w:rPr>
        <w:t>Health Protection NSW, New South Wales Ministry of Health, Australia</w:t>
      </w:r>
    </w:p>
    <w:p w14:paraId="27632CDE" w14:textId="77777777" w:rsidR="00B16F28" w:rsidRPr="00BC1303" w:rsidRDefault="00B16F28" w:rsidP="00BC1303">
      <w:pPr>
        <w:pStyle w:val="Heading2"/>
      </w:pPr>
      <w:r w:rsidRPr="00BC1303">
        <w:t>Corresponding author</w:t>
      </w:r>
    </w:p>
    <w:p w14:paraId="22BCFF24" w14:textId="795A971B" w:rsidR="00B16F28" w:rsidRDefault="00BC1303" w:rsidP="00BC1303">
      <w:r>
        <w:t>Keith Eastwood</w:t>
      </w:r>
      <w:r>
        <w:br/>
      </w:r>
      <w:hyperlink r:id="rId14" w:history="1">
        <w:r w:rsidRPr="00D87423">
          <w:rPr>
            <w:rStyle w:val="Hyperlink"/>
          </w:rPr>
          <w:t>keith.eastwood@hnehealth.nsw.gov.au</w:t>
        </w:r>
      </w:hyperlink>
      <w:r>
        <w:br/>
      </w:r>
      <w:r w:rsidR="00B16F28">
        <w:t>Phone: 0249246564</w:t>
      </w:r>
    </w:p>
    <w:p w14:paraId="4794CE49" w14:textId="77777777" w:rsidR="00B16F28" w:rsidRDefault="00B16F28" w:rsidP="00BC1303">
      <w:pPr>
        <w:pStyle w:val="Heading1"/>
      </w:pPr>
      <w:r>
        <w:t>References</w:t>
      </w:r>
    </w:p>
    <w:p w14:paraId="32BAA7ED" w14:textId="77777777" w:rsidR="00B16F28" w:rsidRDefault="00B16F28" w:rsidP="00B16F28">
      <w:pPr>
        <w:numPr>
          <w:ilvl w:val="0"/>
          <w:numId w:val="7"/>
        </w:numPr>
        <w:spacing w:before="100" w:beforeAutospacing="1" w:after="100" w:afterAutospacing="1" w:line="240" w:lineRule="auto"/>
        <w:rPr>
          <w:rFonts w:eastAsia="Times New Roman"/>
        </w:rPr>
      </w:pPr>
      <w:proofErr w:type="spellStart"/>
      <w:r>
        <w:rPr>
          <w:rFonts w:eastAsia="Times New Roman"/>
        </w:rPr>
        <w:t>Woldehiwet</w:t>
      </w:r>
      <w:proofErr w:type="spellEnd"/>
      <w:r>
        <w:rPr>
          <w:rFonts w:eastAsia="Times New Roman"/>
        </w:rPr>
        <w:t xml:space="preserve"> Z. Q fever (</w:t>
      </w:r>
      <w:proofErr w:type="spellStart"/>
      <w:r>
        <w:rPr>
          <w:rFonts w:eastAsia="Times New Roman"/>
        </w:rPr>
        <w:t>coxiellosis</w:t>
      </w:r>
      <w:proofErr w:type="spellEnd"/>
      <w:r>
        <w:rPr>
          <w:rFonts w:eastAsia="Times New Roman"/>
        </w:rPr>
        <w:t>): epidemiology and pathogenesis. Res Vet Sci. 2004</w:t>
      </w:r>
      <w:r w:rsidR="002F21CD">
        <w:rPr>
          <w:rFonts w:eastAsia="Times New Roman"/>
        </w:rPr>
        <w:t>; 77</w:t>
      </w:r>
      <w:r>
        <w:rPr>
          <w:rFonts w:eastAsia="Times New Roman"/>
        </w:rPr>
        <w:t>(2):93-100.</w:t>
      </w:r>
    </w:p>
    <w:p w14:paraId="3DC90E08"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Brooke RJ, Kretzschmar ME, Mutters NT, Teunis PF. Human dose response relation for airborne exposure to </w:t>
      </w:r>
      <w:r w:rsidRPr="00C66386">
        <w:rPr>
          <w:rStyle w:val="Emphasis"/>
          <w:rFonts w:eastAsia="Times New Roman"/>
          <w:b w:val="0"/>
        </w:rPr>
        <w:t xml:space="preserve">Coxiella </w:t>
      </w:r>
      <w:proofErr w:type="spellStart"/>
      <w:r w:rsidRPr="00C66386">
        <w:rPr>
          <w:rStyle w:val="Emphasis"/>
          <w:rFonts w:eastAsia="Times New Roman"/>
          <w:b w:val="0"/>
        </w:rPr>
        <w:t>burnetii</w:t>
      </w:r>
      <w:proofErr w:type="spellEnd"/>
      <w:r>
        <w:rPr>
          <w:rFonts w:eastAsia="Times New Roman"/>
        </w:rPr>
        <w:t>. BMC Infect Dis. 2013</w:t>
      </w:r>
      <w:r w:rsidR="002F21CD">
        <w:rPr>
          <w:rFonts w:eastAsia="Times New Roman"/>
        </w:rPr>
        <w:t>; 13:488</w:t>
      </w:r>
      <w:r>
        <w:rPr>
          <w:rFonts w:eastAsia="Times New Roman"/>
        </w:rPr>
        <w:t>.</w:t>
      </w:r>
    </w:p>
    <w:p w14:paraId="652C2810"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Angelakis E, </w:t>
      </w:r>
      <w:proofErr w:type="spellStart"/>
      <w:r>
        <w:rPr>
          <w:rFonts w:eastAsia="Times New Roman"/>
        </w:rPr>
        <w:t>Raoult</w:t>
      </w:r>
      <w:proofErr w:type="spellEnd"/>
      <w:r>
        <w:rPr>
          <w:rFonts w:eastAsia="Times New Roman"/>
        </w:rPr>
        <w:t xml:space="preserve"> D. Q fever. Vet Microbiol. 2010</w:t>
      </w:r>
      <w:r w:rsidR="002F21CD">
        <w:rPr>
          <w:rFonts w:eastAsia="Times New Roman"/>
        </w:rPr>
        <w:t>; 140</w:t>
      </w:r>
      <w:r>
        <w:rPr>
          <w:rFonts w:eastAsia="Times New Roman"/>
        </w:rPr>
        <w:t>(3):297-309.</w:t>
      </w:r>
    </w:p>
    <w:p w14:paraId="6A09E1E0"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O’Connor BA, Tribe IG, </w:t>
      </w:r>
      <w:proofErr w:type="spellStart"/>
      <w:r>
        <w:rPr>
          <w:rFonts w:eastAsia="Times New Roman"/>
        </w:rPr>
        <w:t>Givney</w:t>
      </w:r>
      <w:proofErr w:type="spellEnd"/>
      <w:r>
        <w:rPr>
          <w:rFonts w:eastAsia="Times New Roman"/>
        </w:rPr>
        <w:t xml:space="preserve"> R. A windy day in a sheep saleyard: an outbreak of Q fever in rural South Australia. Epidemiol Infect. 2015</w:t>
      </w:r>
      <w:r w:rsidR="002F21CD">
        <w:rPr>
          <w:rFonts w:eastAsia="Times New Roman"/>
        </w:rPr>
        <w:t>; 143</w:t>
      </w:r>
      <w:r>
        <w:rPr>
          <w:rFonts w:eastAsia="Times New Roman"/>
        </w:rPr>
        <w:t>(2):391-398.</w:t>
      </w:r>
    </w:p>
    <w:p w14:paraId="182B3614" w14:textId="77777777" w:rsidR="00B16F28" w:rsidRDefault="00B16F28" w:rsidP="00B16F28">
      <w:pPr>
        <w:numPr>
          <w:ilvl w:val="0"/>
          <w:numId w:val="7"/>
        </w:numPr>
        <w:spacing w:before="100" w:beforeAutospacing="1" w:after="100" w:afterAutospacing="1" w:line="240" w:lineRule="auto"/>
        <w:rPr>
          <w:rFonts w:eastAsia="Times New Roman"/>
        </w:rPr>
      </w:pPr>
      <w:proofErr w:type="spellStart"/>
      <w:r>
        <w:rPr>
          <w:rFonts w:eastAsia="Times New Roman"/>
        </w:rPr>
        <w:t>Raoult</w:t>
      </w:r>
      <w:proofErr w:type="spellEnd"/>
      <w:r>
        <w:rPr>
          <w:rFonts w:eastAsia="Times New Roman"/>
        </w:rPr>
        <w:t xml:space="preserve"> D, Tissot-Dupont H, Foucault C, </w:t>
      </w:r>
      <w:proofErr w:type="spellStart"/>
      <w:r>
        <w:rPr>
          <w:rFonts w:eastAsia="Times New Roman"/>
        </w:rPr>
        <w:t>Gouvernet</w:t>
      </w:r>
      <w:proofErr w:type="spellEnd"/>
      <w:r>
        <w:rPr>
          <w:rFonts w:eastAsia="Times New Roman"/>
        </w:rPr>
        <w:t xml:space="preserve"> J, Fournier PE, </w:t>
      </w:r>
      <w:proofErr w:type="spellStart"/>
      <w:r>
        <w:rPr>
          <w:rFonts w:eastAsia="Times New Roman"/>
        </w:rPr>
        <w:t>Bernit</w:t>
      </w:r>
      <w:proofErr w:type="spellEnd"/>
      <w:r>
        <w:rPr>
          <w:rFonts w:eastAsia="Times New Roman"/>
        </w:rPr>
        <w:t xml:space="preserve"> E, et al. Q Fever 1985-1998: Clinical and Epidemiologic Features of 1,383 Infections. Medicine. 2000;79(2):109-123.</w:t>
      </w:r>
    </w:p>
    <w:p w14:paraId="4CC65FBA" w14:textId="77777777" w:rsidR="00B16F28" w:rsidRDefault="00B16F28" w:rsidP="00B16F28">
      <w:pPr>
        <w:numPr>
          <w:ilvl w:val="0"/>
          <w:numId w:val="7"/>
        </w:numPr>
        <w:spacing w:before="100" w:beforeAutospacing="1" w:after="100" w:afterAutospacing="1" w:line="240" w:lineRule="auto"/>
        <w:rPr>
          <w:rFonts w:eastAsia="Times New Roman"/>
        </w:rPr>
      </w:pPr>
      <w:proofErr w:type="spellStart"/>
      <w:r>
        <w:rPr>
          <w:rFonts w:eastAsia="Times New Roman"/>
        </w:rPr>
        <w:t>Bøtner</w:t>
      </w:r>
      <w:proofErr w:type="spellEnd"/>
      <w:r>
        <w:rPr>
          <w:rFonts w:eastAsia="Times New Roman"/>
        </w:rPr>
        <w:t xml:space="preserve"> A, Broom D, </w:t>
      </w:r>
      <w:proofErr w:type="spellStart"/>
      <w:r>
        <w:rPr>
          <w:rFonts w:eastAsia="Times New Roman"/>
        </w:rPr>
        <w:t>Doherr</w:t>
      </w:r>
      <w:proofErr w:type="spellEnd"/>
      <w:r>
        <w:rPr>
          <w:rFonts w:eastAsia="Times New Roman"/>
        </w:rPr>
        <w:t xml:space="preserve"> MG, Domingo M, Hartung Jr, Keeling L, et al. Scientific Opinion on Q fever. EFSA Journal. 2010;8(5):1595-1709.</w:t>
      </w:r>
    </w:p>
    <w:p w14:paraId="715340D4"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Cooper A, </w:t>
      </w:r>
      <w:proofErr w:type="spellStart"/>
      <w:r>
        <w:rPr>
          <w:rFonts w:eastAsia="Times New Roman"/>
        </w:rPr>
        <w:t>Goullet</w:t>
      </w:r>
      <w:proofErr w:type="spellEnd"/>
      <w:r>
        <w:rPr>
          <w:rFonts w:eastAsia="Times New Roman"/>
        </w:rPr>
        <w:t xml:space="preserve"> M, Mitchell J, </w:t>
      </w:r>
      <w:proofErr w:type="spellStart"/>
      <w:r>
        <w:rPr>
          <w:rFonts w:eastAsia="Times New Roman"/>
        </w:rPr>
        <w:t>Ketheesan</w:t>
      </w:r>
      <w:proofErr w:type="spellEnd"/>
      <w:r>
        <w:rPr>
          <w:rFonts w:eastAsia="Times New Roman"/>
        </w:rPr>
        <w:t xml:space="preserve"> N, Govan B. Serological evidence of </w:t>
      </w:r>
      <w:r w:rsidRPr="00C66386">
        <w:rPr>
          <w:rStyle w:val="Emphasis"/>
          <w:rFonts w:eastAsia="Times New Roman"/>
          <w:b w:val="0"/>
        </w:rPr>
        <w:t xml:space="preserve">Coxiella </w:t>
      </w:r>
      <w:proofErr w:type="spellStart"/>
      <w:r w:rsidRPr="00C66386">
        <w:rPr>
          <w:rStyle w:val="Emphasis"/>
          <w:rFonts w:eastAsia="Times New Roman"/>
          <w:b w:val="0"/>
        </w:rPr>
        <w:t>burnetii</w:t>
      </w:r>
      <w:proofErr w:type="spellEnd"/>
      <w:r>
        <w:rPr>
          <w:rFonts w:eastAsia="Times New Roman"/>
        </w:rPr>
        <w:t xml:space="preserve"> exposure in native marsupials and introduced animals in Queensland, Australia. Epidemiol Infect. 2012</w:t>
      </w:r>
      <w:r w:rsidR="002F21CD">
        <w:rPr>
          <w:rFonts w:eastAsia="Times New Roman"/>
        </w:rPr>
        <w:t>; 140</w:t>
      </w:r>
      <w:r>
        <w:rPr>
          <w:rFonts w:eastAsia="Times New Roman"/>
        </w:rPr>
        <w:t>(7):1304-1308.</w:t>
      </w:r>
    </w:p>
    <w:p w14:paraId="21EAF230"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Gidding HF, Wallace C, Lawrence GL, McIntyre PB. Australia’s national Q fever vaccination program. Vaccine. 2009</w:t>
      </w:r>
      <w:r w:rsidR="002F21CD">
        <w:rPr>
          <w:rFonts w:eastAsia="Times New Roman"/>
        </w:rPr>
        <w:t>; 27</w:t>
      </w:r>
      <w:r>
        <w:rPr>
          <w:rFonts w:eastAsia="Times New Roman"/>
        </w:rPr>
        <w:t>(14):2037-2041.</w:t>
      </w:r>
    </w:p>
    <w:p w14:paraId="4D59E7F0"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lastRenderedPageBreak/>
        <w:t xml:space="preserve">National Notifiable Disease </w:t>
      </w:r>
      <w:proofErr w:type="spellStart"/>
      <w:r>
        <w:rPr>
          <w:rFonts w:eastAsia="Times New Roman"/>
        </w:rPr>
        <w:t>Surveillane</w:t>
      </w:r>
      <w:proofErr w:type="spellEnd"/>
      <w:r>
        <w:rPr>
          <w:rFonts w:eastAsia="Times New Roman"/>
        </w:rPr>
        <w:t xml:space="preserve"> System. Number of notifications for all diseases by year, Australia, 1991 to 2015 and year-to-date notifications for 2016. 2016.</w:t>
      </w:r>
    </w:p>
    <w:p w14:paraId="0D23CD7D"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Sloan-Gardner TS, Massey P, </w:t>
      </w:r>
      <w:proofErr w:type="spellStart"/>
      <w:r>
        <w:rPr>
          <w:rFonts w:eastAsia="Times New Roman"/>
        </w:rPr>
        <w:t>Knope</w:t>
      </w:r>
      <w:proofErr w:type="spellEnd"/>
      <w:r>
        <w:rPr>
          <w:rFonts w:eastAsia="Times New Roman"/>
        </w:rPr>
        <w:t xml:space="preserve"> K. Understanding Q fever in Australia 1991 to 2013. Communicable Disease and Control Conference 2015; Brisbane2015.</w:t>
      </w:r>
    </w:p>
    <w:p w14:paraId="318EEC15"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Lin M, </w:t>
      </w:r>
      <w:proofErr w:type="spellStart"/>
      <w:r>
        <w:rPr>
          <w:rFonts w:eastAsia="Times New Roman"/>
        </w:rPr>
        <w:t>Delpech</w:t>
      </w:r>
      <w:proofErr w:type="spellEnd"/>
      <w:r>
        <w:rPr>
          <w:rFonts w:eastAsia="Times New Roman"/>
        </w:rPr>
        <w:t xml:space="preserve"> V, McAnulty J, Campbell-Lloyd S. </w:t>
      </w:r>
      <w:proofErr w:type="spellStart"/>
      <w:r>
        <w:rPr>
          <w:rFonts w:eastAsia="Times New Roman"/>
        </w:rPr>
        <w:t>EpiReview</w:t>
      </w:r>
      <w:proofErr w:type="spellEnd"/>
      <w:r>
        <w:rPr>
          <w:rFonts w:eastAsia="Times New Roman"/>
        </w:rPr>
        <w:t>: Notifications of Q Fever in New South Wales, 1991–2000. NSW Public Health Bull. 2001</w:t>
      </w:r>
      <w:r w:rsidR="00BC1303">
        <w:rPr>
          <w:rFonts w:eastAsia="Times New Roman"/>
        </w:rPr>
        <w:t>; 12</w:t>
      </w:r>
      <w:r>
        <w:rPr>
          <w:rFonts w:eastAsia="Times New Roman"/>
        </w:rPr>
        <w:t>(6):172-175.</w:t>
      </w:r>
    </w:p>
    <w:p w14:paraId="5303B9E5" w14:textId="77777777" w:rsidR="00B16F28" w:rsidRDefault="00B16F28" w:rsidP="00B16F28">
      <w:pPr>
        <w:numPr>
          <w:ilvl w:val="0"/>
          <w:numId w:val="7"/>
        </w:numPr>
        <w:spacing w:before="100" w:beforeAutospacing="1" w:after="100" w:afterAutospacing="1" w:line="240" w:lineRule="auto"/>
        <w:rPr>
          <w:rFonts w:eastAsia="Times New Roman"/>
        </w:rPr>
      </w:pPr>
      <w:proofErr w:type="spellStart"/>
      <w:r>
        <w:rPr>
          <w:rFonts w:eastAsia="Times New Roman"/>
        </w:rPr>
        <w:t>Lowbridge</w:t>
      </w:r>
      <w:proofErr w:type="spellEnd"/>
      <w:r>
        <w:rPr>
          <w:rFonts w:eastAsia="Times New Roman"/>
        </w:rPr>
        <w:t xml:space="preserve"> CP, Tobin S, Seale H, Ferson MJ. Notifications of Q fever in NSW, 2001–2010. NSW Public Health Bull. 2012</w:t>
      </w:r>
      <w:r w:rsidR="00BC1303">
        <w:rPr>
          <w:rFonts w:eastAsia="Times New Roman"/>
        </w:rPr>
        <w:t>; 23</w:t>
      </w:r>
      <w:r>
        <w:rPr>
          <w:rFonts w:eastAsia="Times New Roman"/>
        </w:rPr>
        <w:t>(1-2):31-35.</w:t>
      </w:r>
    </w:p>
    <w:p w14:paraId="50FF5EFB"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The Department of Health. Q fever case definition summary 2016 [Available from: </w:t>
      </w:r>
      <w:r>
        <w:rPr>
          <w:rFonts w:eastAsia="Times New Roman"/>
        </w:rPr>
        <w:br/>
        <w:t>http://www.health.gov.au/internet/main/publishing.nsf/content/cda-surveil-nndss-casedefs-cd_qfev.htm</w:t>
      </w:r>
    </w:p>
    <w:p w14:paraId="6FEBA663"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Australian Bureau of Statistics. Australian Demographic Statistics. 2005-2015;cat. no. 3101.0.</w:t>
      </w:r>
    </w:p>
    <w:p w14:paraId="3E5B10B0"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Division of Local Government. Comparative Information on NSW Local </w:t>
      </w:r>
      <w:proofErr w:type="spellStart"/>
      <w:r>
        <w:rPr>
          <w:rFonts w:eastAsia="Times New Roman"/>
        </w:rPr>
        <w:t>Governement</w:t>
      </w:r>
      <w:proofErr w:type="spellEnd"/>
      <w:r>
        <w:rPr>
          <w:rFonts w:eastAsia="Times New Roman"/>
        </w:rPr>
        <w:t xml:space="preserve"> Councils 2010/11. Department of the Premier and Cabinet; 2012.</w:t>
      </w:r>
    </w:p>
    <w:p w14:paraId="469BF8FE"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Sloan-Gardner TS, Massey PD, Hutchinson P, </w:t>
      </w:r>
      <w:proofErr w:type="spellStart"/>
      <w:r>
        <w:rPr>
          <w:rFonts w:eastAsia="Times New Roman"/>
        </w:rPr>
        <w:t>Knope</w:t>
      </w:r>
      <w:proofErr w:type="spellEnd"/>
      <w:r>
        <w:rPr>
          <w:rFonts w:eastAsia="Times New Roman"/>
        </w:rPr>
        <w:t xml:space="preserve"> K, </w:t>
      </w:r>
      <w:proofErr w:type="spellStart"/>
      <w:r>
        <w:rPr>
          <w:rFonts w:eastAsia="Times New Roman"/>
        </w:rPr>
        <w:t>Fearnley</w:t>
      </w:r>
      <w:proofErr w:type="spellEnd"/>
      <w:r>
        <w:rPr>
          <w:rFonts w:eastAsia="Times New Roman"/>
        </w:rPr>
        <w:t xml:space="preserve"> E. </w:t>
      </w:r>
      <w:proofErr w:type="gramStart"/>
      <w:r>
        <w:rPr>
          <w:rFonts w:eastAsia="Times New Roman"/>
        </w:rPr>
        <w:t>Trends</w:t>
      </w:r>
      <w:proofErr w:type="gramEnd"/>
      <w:r>
        <w:rPr>
          <w:rFonts w:eastAsia="Times New Roman"/>
        </w:rPr>
        <w:t xml:space="preserve"> and risk factors for human Q fever in Australia, 1991-2014. Epidemiology and infection. 2016</w:t>
      </w:r>
      <w:r w:rsidR="00BC1303">
        <w:rPr>
          <w:rFonts w:eastAsia="Times New Roman"/>
        </w:rPr>
        <w:t>; 145:787</w:t>
      </w:r>
      <w:r>
        <w:rPr>
          <w:rFonts w:eastAsia="Times New Roman"/>
        </w:rPr>
        <w:t>-795.</w:t>
      </w:r>
    </w:p>
    <w:p w14:paraId="68AC05EF"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Marmion BP, </w:t>
      </w:r>
      <w:proofErr w:type="spellStart"/>
      <w:r>
        <w:rPr>
          <w:rFonts w:eastAsia="Times New Roman"/>
        </w:rPr>
        <w:t>Ormsbee</w:t>
      </w:r>
      <w:proofErr w:type="spellEnd"/>
      <w:r>
        <w:rPr>
          <w:rFonts w:eastAsia="Times New Roman"/>
        </w:rPr>
        <w:t xml:space="preserve"> RA, </w:t>
      </w:r>
      <w:proofErr w:type="spellStart"/>
      <w:r>
        <w:rPr>
          <w:rFonts w:eastAsia="Times New Roman"/>
        </w:rPr>
        <w:t>Kyrkou</w:t>
      </w:r>
      <w:proofErr w:type="spellEnd"/>
      <w:r>
        <w:rPr>
          <w:rFonts w:eastAsia="Times New Roman"/>
        </w:rPr>
        <w:t xml:space="preserve"> M, Wright J, </w:t>
      </w:r>
      <w:proofErr w:type="spellStart"/>
      <w:r>
        <w:rPr>
          <w:rFonts w:eastAsia="Times New Roman"/>
        </w:rPr>
        <w:t>Worswick</w:t>
      </w:r>
      <w:proofErr w:type="spellEnd"/>
      <w:r>
        <w:rPr>
          <w:rFonts w:eastAsia="Times New Roman"/>
        </w:rPr>
        <w:t xml:space="preserve"> DA, Izzo AA, et al. Vaccine prophylaxis of abattoir-associated Q fever: eight years’ experience in Australian abattoirs. Epidemiol Infect. 1990</w:t>
      </w:r>
      <w:r w:rsidR="002F21CD">
        <w:rPr>
          <w:rFonts w:eastAsia="Times New Roman"/>
        </w:rPr>
        <w:t>; 104</w:t>
      </w:r>
      <w:r>
        <w:rPr>
          <w:rFonts w:eastAsia="Times New Roman"/>
        </w:rPr>
        <w:t>(2):275-287.</w:t>
      </w:r>
    </w:p>
    <w:p w14:paraId="2A6C7D9D"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Ackland JR, </w:t>
      </w:r>
      <w:proofErr w:type="spellStart"/>
      <w:r>
        <w:rPr>
          <w:rFonts w:eastAsia="Times New Roman"/>
        </w:rPr>
        <w:t>Worswick</w:t>
      </w:r>
      <w:proofErr w:type="spellEnd"/>
      <w:r>
        <w:rPr>
          <w:rFonts w:eastAsia="Times New Roman"/>
        </w:rPr>
        <w:t xml:space="preserve"> DA, Marmion BP. Vaccine prophylaxis of Q fever. A follow-up study of the efficacy of Q-Vax (CSL) 1985-1990. Med J Aust. 1994</w:t>
      </w:r>
      <w:r w:rsidR="00BC1303">
        <w:rPr>
          <w:rFonts w:eastAsia="Times New Roman"/>
        </w:rPr>
        <w:t>; 160</w:t>
      </w:r>
      <w:r>
        <w:rPr>
          <w:rFonts w:eastAsia="Times New Roman"/>
        </w:rPr>
        <w:t>(11):704-708.</w:t>
      </w:r>
    </w:p>
    <w:p w14:paraId="1F1BB712"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Karki S, Gidding HF, Newall AT, McIntyre PB, Liu BC. Risk factors and burden of acute Q fever in older adults in New South Wales: a prospective cohort study. Med J Aust. 2015</w:t>
      </w:r>
      <w:r w:rsidR="00BC1303">
        <w:rPr>
          <w:rFonts w:eastAsia="Times New Roman"/>
        </w:rPr>
        <w:t>; 203</w:t>
      </w:r>
      <w:r>
        <w:rPr>
          <w:rFonts w:eastAsia="Times New Roman"/>
        </w:rPr>
        <w:t>(11):438.</w:t>
      </w:r>
    </w:p>
    <w:p w14:paraId="054AE883"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Graves SR, Islam A. Endemic Q Fever in New South Wales, Australia: A Case Series (2005-2013). Am J Trop Med </w:t>
      </w:r>
      <w:proofErr w:type="spellStart"/>
      <w:r>
        <w:rPr>
          <w:rFonts w:eastAsia="Times New Roman"/>
        </w:rPr>
        <w:t>Hyg</w:t>
      </w:r>
      <w:proofErr w:type="spellEnd"/>
      <w:r>
        <w:rPr>
          <w:rFonts w:eastAsia="Times New Roman"/>
        </w:rPr>
        <w:t>. 2016</w:t>
      </w:r>
      <w:r w:rsidR="00BC1303">
        <w:rPr>
          <w:rFonts w:eastAsia="Times New Roman"/>
        </w:rPr>
        <w:t>; 95</w:t>
      </w:r>
      <w:r>
        <w:rPr>
          <w:rFonts w:eastAsia="Times New Roman"/>
        </w:rPr>
        <w:t>(1):55-59.</w:t>
      </w:r>
    </w:p>
    <w:p w14:paraId="25C69B32"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 xml:space="preserve">Stevenson S, </w:t>
      </w:r>
      <w:proofErr w:type="spellStart"/>
      <w:r>
        <w:rPr>
          <w:rFonts w:eastAsia="Times New Roman"/>
        </w:rPr>
        <w:t>Gowardman</w:t>
      </w:r>
      <w:proofErr w:type="spellEnd"/>
      <w:r>
        <w:rPr>
          <w:rFonts w:eastAsia="Times New Roman"/>
        </w:rPr>
        <w:t xml:space="preserve"> J, Tozer S, Woods M. Life-threatening Q fever infection following exposure to kangaroos and wallabies. BMJ Case Rep. 2015.</w:t>
      </w:r>
    </w:p>
    <w:p w14:paraId="4F3C8A15" w14:textId="77777777" w:rsidR="00B16F28" w:rsidRDefault="00B16F28" w:rsidP="00B16F28">
      <w:pPr>
        <w:numPr>
          <w:ilvl w:val="0"/>
          <w:numId w:val="7"/>
        </w:numPr>
        <w:spacing w:before="100" w:beforeAutospacing="1" w:after="100" w:afterAutospacing="1" w:line="240" w:lineRule="auto"/>
        <w:rPr>
          <w:rFonts w:eastAsia="Times New Roman"/>
        </w:rPr>
      </w:pPr>
      <w:r>
        <w:rPr>
          <w:rFonts w:eastAsia="Times New Roman"/>
        </w:rPr>
        <w:t>Flint J, Dalton CB, Merritt TD, Graves S, Ferguson JK, Osbourn M, et al. Q fever and contact with kangaroos in New South Wales. Commun Dis Intell Q Rep. 2016</w:t>
      </w:r>
      <w:r w:rsidR="00BC1303">
        <w:rPr>
          <w:rFonts w:eastAsia="Times New Roman"/>
        </w:rPr>
        <w:t>; 40</w:t>
      </w:r>
      <w:r>
        <w:rPr>
          <w:rFonts w:eastAsia="Times New Roman"/>
        </w:rPr>
        <w:t>(2): E202-203.</w:t>
      </w:r>
    </w:p>
    <w:p w14:paraId="608A14F4" w14:textId="77777777" w:rsidR="00B16F28" w:rsidRDefault="00B16F28" w:rsidP="00332900">
      <w:pPr>
        <w:pStyle w:val="CDIFigures"/>
      </w:pPr>
      <w:r>
        <w:t xml:space="preserve">Supplementary table 1: NCIMS field aggregation and definitions used for classification of </w:t>
      </w:r>
      <w:proofErr w:type="gramStart"/>
      <w:r>
        <w:t>content</w:t>
      </w:r>
      <w:proofErr w:type="gramEnd"/>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pplementary table 1: NCIMS field aggregation and definitions used for classification of content"/>
      </w:tblPr>
      <w:tblGrid>
        <w:gridCol w:w="1323"/>
        <w:gridCol w:w="2307"/>
        <w:gridCol w:w="1614"/>
        <w:gridCol w:w="5462"/>
      </w:tblGrid>
      <w:tr w:rsidR="00BC1303" w:rsidRPr="00BC1303" w14:paraId="2AAE4B98" w14:textId="77777777" w:rsidTr="00332900">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2C52BFDD" w14:textId="77777777" w:rsidR="00B16F28" w:rsidRPr="00BC1303" w:rsidRDefault="00B16F28">
            <w:pPr>
              <w:rPr>
                <w:rFonts w:eastAsia="Times New Roman"/>
                <w:color w:val="FFFFFF" w:themeColor="background1"/>
                <w:sz w:val="24"/>
                <w:szCs w:val="24"/>
              </w:rPr>
            </w:pPr>
            <w:r w:rsidRPr="00BC1303">
              <w:rPr>
                <w:rFonts w:eastAsia="Times New Roman"/>
                <w:color w:val="FFFFFF" w:themeColor="background1"/>
              </w:rPr>
              <w:t>New field</w:t>
            </w:r>
          </w:p>
        </w:tc>
        <w:tc>
          <w:tcPr>
            <w:tcW w:w="0" w:type="auto"/>
            <w:hideMark/>
          </w:tcPr>
          <w:p w14:paraId="7D975859" w14:textId="77777777" w:rsidR="00B16F28" w:rsidRPr="00BC1303" w:rsidRDefault="00B16F28">
            <w:pPr>
              <w:rPr>
                <w:rFonts w:eastAsia="Times New Roman"/>
                <w:color w:val="FFFFFF" w:themeColor="background1"/>
                <w:sz w:val="24"/>
                <w:szCs w:val="24"/>
              </w:rPr>
            </w:pPr>
            <w:r w:rsidRPr="00BC1303">
              <w:rPr>
                <w:rFonts w:eastAsia="Times New Roman"/>
                <w:color w:val="FFFFFF" w:themeColor="background1"/>
              </w:rPr>
              <w:t>NCIMS fields included</w:t>
            </w:r>
          </w:p>
        </w:tc>
        <w:tc>
          <w:tcPr>
            <w:tcW w:w="0" w:type="auto"/>
            <w:hideMark/>
          </w:tcPr>
          <w:p w14:paraId="32255115" w14:textId="77777777" w:rsidR="00B16F28" w:rsidRPr="00BC1303" w:rsidRDefault="00B16F28">
            <w:pPr>
              <w:rPr>
                <w:rFonts w:eastAsia="Times New Roman"/>
                <w:color w:val="FFFFFF" w:themeColor="background1"/>
                <w:sz w:val="24"/>
                <w:szCs w:val="24"/>
              </w:rPr>
            </w:pPr>
            <w:r w:rsidRPr="00BC1303">
              <w:rPr>
                <w:rFonts w:eastAsia="Times New Roman"/>
                <w:color w:val="FFFFFF" w:themeColor="background1"/>
              </w:rPr>
              <w:t>Classification</w:t>
            </w:r>
          </w:p>
        </w:tc>
        <w:tc>
          <w:tcPr>
            <w:tcW w:w="0" w:type="auto"/>
            <w:hideMark/>
          </w:tcPr>
          <w:p w14:paraId="5CA46B1E" w14:textId="77777777" w:rsidR="00B16F28" w:rsidRPr="00BC1303" w:rsidRDefault="00B16F28">
            <w:pPr>
              <w:rPr>
                <w:rFonts w:eastAsia="Times New Roman"/>
                <w:color w:val="FFFFFF" w:themeColor="background1"/>
                <w:sz w:val="24"/>
                <w:szCs w:val="24"/>
              </w:rPr>
            </w:pPr>
            <w:r w:rsidRPr="00BC1303">
              <w:rPr>
                <w:rFonts w:eastAsia="Times New Roman"/>
                <w:color w:val="FFFFFF" w:themeColor="background1"/>
              </w:rPr>
              <w:t>Definition used in this study</w:t>
            </w:r>
          </w:p>
        </w:tc>
      </w:tr>
      <w:tr w:rsidR="00B16F28" w14:paraId="7F72711D" w14:textId="77777777" w:rsidTr="00332900">
        <w:tblPrEx>
          <w:tblCellMar>
            <w:top w:w="0" w:type="dxa"/>
            <w:left w:w="108" w:type="dxa"/>
            <w:bottom w:w="0" w:type="dxa"/>
            <w:right w:w="108" w:type="dxa"/>
          </w:tblCellMar>
        </w:tblPrEx>
        <w:tc>
          <w:tcPr>
            <w:tcW w:w="0" w:type="auto"/>
            <w:vMerge w:val="restart"/>
            <w:shd w:val="clear" w:color="auto" w:fill="auto"/>
            <w:hideMark/>
          </w:tcPr>
          <w:p w14:paraId="7B96DD0F" w14:textId="77777777" w:rsidR="00B16F28" w:rsidRDefault="00B16F28">
            <w:pPr>
              <w:rPr>
                <w:rFonts w:eastAsia="Times New Roman"/>
                <w:sz w:val="24"/>
                <w:szCs w:val="24"/>
              </w:rPr>
            </w:pPr>
            <w:r>
              <w:rPr>
                <w:rFonts w:eastAsia="Times New Roman"/>
              </w:rPr>
              <w:t>Occupation</w:t>
            </w:r>
          </w:p>
        </w:tc>
        <w:tc>
          <w:tcPr>
            <w:tcW w:w="0" w:type="auto"/>
            <w:vMerge w:val="restart"/>
            <w:shd w:val="clear" w:color="auto" w:fill="auto"/>
            <w:hideMark/>
          </w:tcPr>
          <w:p w14:paraId="65AB764B" w14:textId="77777777" w:rsidR="00B16F28" w:rsidRDefault="00B16F28">
            <w:pPr>
              <w:rPr>
                <w:rFonts w:eastAsia="Times New Roman"/>
                <w:sz w:val="24"/>
                <w:szCs w:val="24"/>
              </w:rPr>
            </w:pPr>
            <w:r>
              <w:rPr>
                <w:rFonts w:eastAsia="Times New Roman"/>
              </w:rPr>
              <w:t xml:space="preserve">High risk occupation </w:t>
            </w:r>
            <w:proofErr w:type="spellStart"/>
            <w:r>
              <w:rPr>
                <w:rFonts w:eastAsia="Times New Roman"/>
              </w:rPr>
              <w:t>Occupation</w:t>
            </w:r>
            <w:proofErr w:type="spellEnd"/>
            <w:r>
              <w:rPr>
                <w:rFonts w:eastAsia="Times New Roman"/>
              </w:rPr>
              <w:t xml:space="preserve"> Free text Notes</w:t>
            </w:r>
          </w:p>
        </w:tc>
        <w:tc>
          <w:tcPr>
            <w:tcW w:w="0" w:type="auto"/>
            <w:shd w:val="clear" w:color="auto" w:fill="auto"/>
            <w:hideMark/>
          </w:tcPr>
          <w:p w14:paraId="7DE6002C" w14:textId="77777777" w:rsidR="00B16F28" w:rsidRDefault="00B16F28">
            <w:pPr>
              <w:rPr>
                <w:rFonts w:eastAsia="Times New Roman"/>
                <w:sz w:val="24"/>
                <w:szCs w:val="24"/>
              </w:rPr>
            </w:pPr>
            <w:r>
              <w:rPr>
                <w:rFonts w:eastAsia="Times New Roman"/>
              </w:rPr>
              <w:t>High risk occupation</w:t>
            </w:r>
          </w:p>
        </w:tc>
        <w:tc>
          <w:tcPr>
            <w:tcW w:w="0" w:type="auto"/>
            <w:shd w:val="clear" w:color="auto" w:fill="auto"/>
            <w:hideMark/>
          </w:tcPr>
          <w:p w14:paraId="7BA18B85" w14:textId="77777777" w:rsidR="00B16F28" w:rsidRDefault="00B16F28">
            <w:pPr>
              <w:rPr>
                <w:rFonts w:eastAsia="Times New Roman"/>
                <w:sz w:val="24"/>
                <w:szCs w:val="24"/>
              </w:rPr>
            </w:pPr>
            <w:r>
              <w:rPr>
                <w:rFonts w:eastAsia="Times New Roman"/>
              </w:rPr>
              <w:t xml:space="preserve">Occupation involving direct contact with farmed livestock or their products (cattle, sheep, goats, farmed deer), </w:t>
            </w:r>
            <w:proofErr w:type="gramStart"/>
            <w:r>
              <w:rPr>
                <w:rFonts w:eastAsia="Times New Roman"/>
              </w:rPr>
              <w:t>including:</w:t>
            </w:r>
            <w:proofErr w:type="gramEnd"/>
            <w:r>
              <w:rPr>
                <w:rFonts w:eastAsia="Times New Roman"/>
              </w:rPr>
              <w:t xml:space="preserve"> abattoir worker, farmer/grazier, livestock carrier/handler/transporter/breeder, </w:t>
            </w:r>
            <w:proofErr w:type="spellStart"/>
            <w:r>
              <w:rPr>
                <w:rFonts w:eastAsia="Times New Roman"/>
              </w:rPr>
              <w:t>rouseabout</w:t>
            </w:r>
            <w:proofErr w:type="spellEnd"/>
            <w:r>
              <w:rPr>
                <w:rFonts w:eastAsia="Times New Roman"/>
              </w:rPr>
              <w:t>/shearer/wool classer, farm manager, stockyard worker, tannery worker, veterinarian/veterinary student/veterinary nurse, contractors attending livestock facilities</w:t>
            </w:r>
          </w:p>
        </w:tc>
      </w:tr>
      <w:tr w:rsidR="00B16F28" w14:paraId="3538B837" w14:textId="77777777" w:rsidTr="003329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646A52DB" w14:textId="77777777" w:rsidR="00B16F28" w:rsidRDefault="00B16F28">
            <w:pPr>
              <w:rPr>
                <w:rFonts w:eastAsia="Times New Roman"/>
                <w:sz w:val="24"/>
                <w:szCs w:val="24"/>
              </w:rPr>
            </w:pPr>
          </w:p>
        </w:tc>
        <w:tc>
          <w:tcPr>
            <w:tcW w:w="0" w:type="auto"/>
            <w:vMerge/>
            <w:shd w:val="clear" w:color="auto" w:fill="auto"/>
            <w:hideMark/>
          </w:tcPr>
          <w:p w14:paraId="5DF975FF" w14:textId="77777777" w:rsidR="00B16F28" w:rsidRDefault="00B16F28">
            <w:pPr>
              <w:rPr>
                <w:rFonts w:eastAsia="Times New Roman"/>
                <w:sz w:val="24"/>
                <w:szCs w:val="24"/>
              </w:rPr>
            </w:pPr>
          </w:p>
        </w:tc>
        <w:tc>
          <w:tcPr>
            <w:tcW w:w="0" w:type="auto"/>
            <w:shd w:val="clear" w:color="auto" w:fill="auto"/>
            <w:hideMark/>
          </w:tcPr>
          <w:p w14:paraId="46309AB1" w14:textId="77777777" w:rsidR="00B16F28" w:rsidRDefault="00B16F28">
            <w:pPr>
              <w:rPr>
                <w:rFonts w:eastAsia="Times New Roman"/>
                <w:sz w:val="24"/>
                <w:szCs w:val="24"/>
              </w:rPr>
            </w:pPr>
            <w:r>
              <w:rPr>
                <w:rFonts w:eastAsia="Times New Roman"/>
              </w:rPr>
              <w:t>Other occupation</w:t>
            </w:r>
          </w:p>
        </w:tc>
        <w:tc>
          <w:tcPr>
            <w:tcW w:w="0" w:type="auto"/>
            <w:shd w:val="clear" w:color="auto" w:fill="auto"/>
            <w:hideMark/>
          </w:tcPr>
          <w:p w14:paraId="51AB5716" w14:textId="77777777" w:rsidR="00B16F28" w:rsidRDefault="00B16F28">
            <w:pPr>
              <w:rPr>
                <w:rFonts w:eastAsia="Times New Roman"/>
                <w:sz w:val="24"/>
                <w:szCs w:val="24"/>
              </w:rPr>
            </w:pPr>
            <w:r>
              <w:rPr>
                <w:rFonts w:eastAsia="Times New Roman"/>
              </w:rPr>
              <w:t>All other noted occupations</w:t>
            </w:r>
          </w:p>
        </w:tc>
      </w:tr>
      <w:tr w:rsidR="00B16F28" w14:paraId="7058D7F4" w14:textId="77777777" w:rsidTr="00332900">
        <w:tblPrEx>
          <w:tblCellMar>
            <w:top w:w="0" w:type="dxa"/>
            <w:left w:w="108" w:type="dxa"/>
            <w:bottom w:w="0" w:type="dxa"/>
            <w:right w:w="108" w:type="dxa"/>
          </w:tblCellMar>
        </w:tblPrEx>
        <w:tc>
          <w:tcPr>
            <w:tcW w:w="0" w:type="auto"/>
            <w:vMerge w:val="restart"/>
            <w:shd w:val="clear" w:color="auto" w:fill="auto"/>
            <w:hideMark/>
          </w:tcPr>
          <w:p w14:paraId="5BFFEBEC" w14:textId="77777777" w:rsidR="00B16F28" w:rsidRDefault="00B16F28">
            <w:pPr>
              <w:rPr>
                <w:rFonts w:eastAsia="Times New Roman"/>
                <w:sz w:val="24"/>
                <w:szCs w:val="24"/>
              </w:rPr>
            </w:pPr>
            <w:r>
              <w:rPr>
                <w:rFonts w:eastAsia="Times New Roman"/>
              </w:rPr>
              <w:t>Nature of animal contact</w:t>
            </w:r>
          </w:p>
        </w:tc>
        <w:tc>
          <w:tcPr>
            <w:tcW w:w="0" w:type="auto"/>
            <w:vMerge w:val="restart"/>
            <w:shd w:val="clear" w:color="auto" w:fill="auto"/>
            <w:hideMark/>
          </w:tcPr>
          <w:p w14:paraId="040AA3B1" w14:textId="77777777" w:rsidR="00B16F28" w:rsidRDefault="00B16F28">
            <w:pPr>
              <w:rPr>
                <w:rFonts w:eastAsia="Times New Roman"/>
                <w:sz w:val="24"/>
                <w:szCs w:val="24"/>
              </w:rPr>
            </w:pPr>
            <w:r>
              <w:rPr>
                <w:rFonts w:eastAsia="Times New Roman"/>
              </w:rPr>
              <w:t xml:space="preserve">Animal exposure setting Animal contact Animal </w:t>
            </w:r>
            <w:proofErr w:type="spellStart"/>
            <w:r>
              <w:rPr>
                <w:rFonts w:eastAsia="Times New Roman"/>
              </w:rPr>
              <w:t>contact_calving</w:t>
            </w:r>
            <w:proofErr w:type="spellEnd"/>
            <w:r>
              <w:rPr>
                <w:rFonts w:eastAsia="Times New Roman"/>
              </w:rPr>
              <w:t xml:space="preserve"> Animal contact description Animal </w:t>
            </w:r>
            <w:proofErr w:type="spellStart"/>
            <w:r>
              <w:rPr>
                <w:rFonts w:eastAsia="Times New Roman"/>
              </w:rPr>
              <w:t>Contact_notes</w:t>
            </w:r>
            <w:proofErr w:type="spellEnd"/>
            <w:r>
              <w:rPr>
                <w:rFonts w:eastAsia="Times New Roman"/>
              </w:rPr>
              <w:t xml:space="preserve"> Free text notes</w:t>
            </w:r>
          </w:p>
        </w:tc>
        <w:tc>
          <w:tcPr>
            <w:tcW w:w="0" w:type="auto"/>
            <w:shd w:val="clear" w:color="auto" w:fill="auto"/>
            <w:hideMark/>
          </w:tcPr>
          <w:p w14:paraId="27366072" w14:textId="77777777" w:rsidR="00B16F28" w:rsidRDefault="00B16F28">
            <w:pPr>
              <w:rPr>
                <w:rFonts w:eastAsia="Times New Roman"/>
                <w:sz w:val="24"/>
                <w:szCs w:val="24"/>
              </w:rPr>
            </w:pPr>
            <w:r>
              <w:rPr>
                <w:rFonts w:eastAsia="Times New Roman"/>
              </w:rPr>
              <w:t xml:space="preserve">Livestock - direct </w:t>
            </w:r>
          </w:p>
        </w:tc>
        <w:tc>
          <w:tcPr>
            <w:tcW w:w="0" w:type="auto"/>
            <w:shd w:val="clear" w:color="auto" w:fill="auto"/>
            <w:hideMark/>
          </w:tcPr>
          <w:p w14:paraId="6C1EB028" w14:textId="77777777" w:rsidR="00B16F28" w:rsidRDefault="00B16F28">
            <w:pPr>
              <w:rPr>
                <w:rFonts w:eastAsia="Times New Roman"/>
                <w:sz w:val="24"/>
                <w:szCs w:val="24"/>
              </w:rPr>
            </w:pPr>
            <w:r>
              <w:rPr>
                <w:rFonts w:eastAsia="Times New Roman"/>
              </w:rPr>
              <w:t xml:space="preserve">Direct contact with cattle, sheep, goats and farmed deer or their birthing products or vaginal fluids, skins or fleeces, </w:t>
            </w:r>
            <w:proofErr w:type="gramStart"/>
            <w:r>
              <w:rPr>
                <w:rFonts w:eastAsia="Times New Roman"/>
              </w:rPr>
              <w:t>meat</w:t>
            </w:r>
            <w:proofErr w:type="gramEnd"/>
            <w:r>
              <w:rPr>
                <w:rFonts w:eastAsia="Times New Roman"/>
              </w:rPr>
              <w:t xml:space="preserve"> or products (e.g. slaughtering, assisting with calving)</w:t>
            </w:r>
          </w:p>
        </w:tc>
      </w:tr>
      <w:tr w:rsidR="00B16F28" w14:paraId="3F48BD11" w14:textId="77777777" w:rsidTr="003329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1B619B5C" w14:textId="77777777" w:rsidR="00B16F28" w:rsidRDefault="00B16F28">
            <w:pPr>
              <w:rPr>
                <w:rFonts w:eastAsia="Times New Roman"/>
                <w:sz w:val="24"/>
                <w:szCs w:val="24"/>
              </w:rPr>
            </w:pPr>
          </w:p>
        </w:tc>
        <w:tc>
          <w:tcPr>
            <w:tcW w:w="0" w:type="auto"/>
            <w:vMerge/>
            <w:shd w:val="clear" w:color="auto" w:fill="auto"/>
            <w:hideMark/>
          </w:tcPr>
          <w:p w14:paraId="0A91EBAC" w14:textId="77777777" w:rsidR="00B16F28" w:rsidRDefault="00B16F28">
            <w:pPr>
              <w:rPr>
                <w:rFonts w:eastAsia="Times New Roman"/>
                <w:sz w:val="24"/>
                <w:szCs w:val="24"/>
              </w:rPr>
            </w:pPr>
          </w:p>
        </w:tc>
        <w:tc>
          <w:tcPr>
            <w:tcW w:w="0" w:type="auto"/>
            <w:shd w:val="clear" w:color="auto" w:fill="auto"/>
            <w:hideMark/>
          </w:tcPr>
          <w:p w14:paraId="1B0AD165" w14:textId="77777777" w:rsidR="00B16F28" w:rsidRDefault="00B16F28">
            <w:pPr>
              <w:rPr>
                <w:rFonts w:eastAsia="Times New Roman"/>
                <w:sz w:val="24"/>
                <w:szCs w:val="24"/>
              </w:rPr>
            </w:pPr>
            <w:r>
              <w:rPr>
                <w:rFonts w:eastAsia="Times New Roman"/>
              </w:rPr>
              <w:t>Livestock - indirect</w:t>
            </w:r>
          </w:p>
        </w:tc>
        <w:tc>
          <w:tcPr>
            <w:tcW w:w="0" w:type="auto"/>
            <w:shd w:val="clear" w:color="auto" w:fill="auto"/>
            <w:hideMark/>
          </w:tcPr>
          <w:p w14:paraId="090FD41B" w14:textId="77777777" w:rsidR="00B16F28" w:rsidRDefault="00B16F28">
            <w:pPr>
              <w:rPr>
                <w:rFonts w:eastAsia="Times New Roman"/>
                <w:sz w:val="24"/>
                <w:szCs w:val="24"/>
              </w:rPr>
            </w:pPr>
            <w:r>
              <w:rPr>
                <w:rFonts w:eastAsia="Times New Roman"/>
              </w:rPr>
              <w:t xml:space="preserve">Indirect contact with cattle, sheep, </w:t>
            </w:r>
            <w:proofErr w:type="gramStart"/>
            <w:r>
              <w:rPr>
                <w:rFonts w:eastAsia="Times New Roman"/>
              </w:rPr>
              <w:t>goats</w:t>
            </w:r>
            <w:proofErr w:type="gramEnd"/>
            <w:r>
              <w:rPr>
                <w:rFonts w:eastAsia="Times New Roman"/>
              </w:rPr>
              <w:t xml:space="preserve"> and farmed deer (e.g. proximity to livestock or livestock facilities, launders clothes contaminated by livestock faeces)</w:t>
            </w:r>
          </w:p>
        </w:tc>
      </w:tr>
      <w:tr w:rsidR="00B16F28" w14:paraId="2E98AA5A" w14:textId="77777777" w:rsidTr="00332900">
        <w:tblPrEx>
          <w:tblCellMar>
            <w:top w:w="0" w:type="dxa"/>
            <w:left w:w="108" w:type="dxa"/>
            <w:bottom w:w="0" w:type="dxa"/>
            <w:right w:w="108" w:type="dxa"/>
          </w:tblCellMar>
        </w:tblPrEx>
        <w:tc>
          <w:tcPr>
            <w:tcW w:w="0" w:type="auto"/>
            <w:vMerge/>
            <w:shd w:val="clear" w:color="auto" w:fill="auto"/>
            <w:hideMark/>
          </w:tcPr>
          <w:p w14:paraId="648A03EC" w14:textId="77777777" w:rsidR="00B16F28" w:rsidRDefault="00B16F28">
            <w:pPr>
              <w:rPr>
                <w:rFonts w:eastAsia="Times New Roman"/>
                <w:sz w:val="24"/>
                <w:szCs w:val="24"/>
              </w:rPr>
            </w:pPr>
          </w:p>
        </w:tc>
        <w:tc>
          <w:tcPr>
            <w:tcW w:w="0" w:type="auto"/>
            <w:vMerge/>
            <w:shd w:val="clear" w:color="auto" w:fill="auto"/>
            <w:hideMark/>
          </w:tcPr>
          <w:p w14:paraId="1DC57145" w14:textId="77777777" w:rsidR="00B16F28" w:rsidRDefault="00B16F28">
            <w:pPr>
              <w:rPr>
                <w:rFonts w:eastAsia="Times New Roman"/>
                <w:sz w:val="24"/>
                <w:szCs w:val="24"/>
              </w:rPr>
            </w:pPr>
          </w:p>
        </w:tc>
        <w:tc>
          <w:tcPr>
            <w:tcW w:w="0" w:type="auto"/>
            <w:shd w:val="clear" w:color="auto" w:fill="auto"/>
            <w:hideMark/>
          </w:tcPr>
          <w:p w14:paraId="3A971332" w14:textId="77777777" w:rsidR="00B16F28" w:rsidRDefault="00B16F28">
            <w:pPr>
              <w:rPr>
                <w:rFonts w:eastAsia="Times New Roman"/>
                <w:sz w:val="24"/>
                <w:szCs w:val="24"/>
              </w:rPr>
            </w:pPr>
            <w:r>
              <w:rPr>
                <w:rFonts w:eastAsia="Times New Roman"/>
              </w:rPr>
              <w:t>Livestock - contact not specified</w:t>
            </w:r>
          </w:p>
        </w:tc>
        <w:tc>
          <w:tcPr>
            <w:tcW w:w="0" w:type="auto"/>
            <w:shd w:val="clear" w:color="auto" w:fill="auto"/>
            <w:hideMark/>
          </w:tcPr>
          <w:p w14:paraId="50C848AB" w14:textId="77777777" w:rsidR="00B16F28" w:rsidRDefault="00B16F28">
            <w:pPr>
              <w:rPr>
                <w:rFonts w:eastAsia="Times New Roman"/>
                <w:sz w:val="24"/>
                <w:szCs w:val="24"/>
              </w:rPr>
            </w:pPr>
            <w:r>
              <w:rPr>
                <w:rFonts w:eastAsia="Times New Roman"/>
              </w:rPr>
              <w:t>No contact situation noted</w:t>
            </w:r>
          </w:p>
        </w:tc>
      </w:tr>
      <w:tr w:rsidR="00B16F28" w14:paraId="4F8BD358" w14:textId="77777777" w:rsidTr="003329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31CC1D8E" w14:textId="77777777" w:rsidR="00B16F28" w:rsidRDefault="00B16F28">
            <w:pPr>
              <w:rPr>
                <w:rFonts w:eastAsia="Times New Roman"/>
                <w:sz w:val="24"/>
                <w:szCs w:val="24"/>
              </w:rPr>
            </w:pPr>
          </w:p>
        </w:tc>
        <w:tc>
          <w:tcPr>
            <w:tcW w:w="0" w:type="auto"/>
            <w:vMerge/>
            <w:shd w:val="clear" w:color="auto" w:fill="auto"/>
            <w:hideMark/>
          </w:tcPr>
          <w:p w14:paraId="7E96A8C6" w14:textId="77777777" w:rsidR="00B16F28" w:rsidRDefault="00B16F28">
            <w:pPr>
              <w:rPr>
                <w:rFonts w:eastAsia="Times New Roman"/>
                <w:sz w:val="24"/>
                <w:szCs w:val="24"/>
              </w:rPr>
            </w:pPr>
          </w:p>
        </w:tc>
        <w:tc>
          <w:tcPr>
            <w:tcW w:w="0" w:type="auto"/>
            <w:shd w:val="clear" w:color="auto" w:fill="auto"/>
            <w:hideMark/>
          </w:tcPr>
          <w:p w14:paraId="74D5AC1D" w14:textId="77777777" w:rsidR="00B16F28" w:rsidRDefault="00B16F28">
            <w:pPr>
              <w:rPr>
                <w:rFonts w:eastAsia="Times New Roman"/>
                <w:sz w:val="24"/>
                <w:szCs w:val="24"/>
              </w:rPr>
            </w:pPr>
            <w:r>
              <w:rPr>
                <w:rFonts w:eastAsia="Times New Roman"/>
              </w:rPr>
              <w:t>Native/feral animal - direct</w:t>
            </w:r>
          </w:p>
        </w:tc>
        <w:tc>
          <w:tcPr>
            <w:tcW w:w="0" w:type="auto"/>
            <w:shd w:val="clear" w:color="auto" w:fill="auto"/>
            <w:hideMark/>
          </w:tcPr>
          <w:p w14:paraId="4438BBDD" w14:textId="77777777" w:rsidR="00B16F28" w:rsidRDefault="00B16F28">
            <w:pPr>
              <w:rPr>
                <w:rFonts w:eastAsia="Times New Roman"/>
                <w:sz w:val="24"/>
                <w:szCs w:val="24"/>
              </w:rPr>
            </w:pPr>
            <w:r>
              <w:rPr>
                <w:rFonts w:eastAsia="Times New Roman"/>
              </w:rPr>
              <w:t>Direct contact with tissues or blood of native/feral animals e.g. hunting, butchering</w:t>
            </w:r>
          </w:p>
        </w:tc>
      </w:tr>
      <w:tr w:rsidR="00B16F28" w14:paraId="4DE76E54" w14:textId="77777777" w:rsidTr="00332900">
        <w:tblPrEx>
          <w:tblCellMar>
            <w:top w:w="0" w:type="dxa"/>
            <w:left w:w="108" w:type="dxa"/>
            <w:bottom w:w="0" w:type="dxa"/>
            <w:right w:w="108" w:type="dxa"/>
          </w:tblCellMar>
        </w:tblPrEx>
        <w:tc>
          <w:tcPr>
            <w:tcW w:w="0" w:type="auto"/>
            <w:vMerge/>
            <w:shd w:val="clear" w:color="auto" w:fill="auto"/>
            <w:hideMark/>
          </w:tcPr>
          <w:p w14:paraId="4237AA70" w14:textId="77777777" w:rsidR="00B16F28" w:rsidRDefault="00B16F28">
            <w:pPr>
              <w:rPr>
                <w:rFonts w:eastAsia="Times New Roman"/>
                <w:sz w:val="24"/>
                <w:szCs w:val="24"/>
              </w:rPr>
            </w:pPr>
          </w:p>
        </w:tc>
        <w:tc>
          <w:tcPr>
            <w:tcW w:w="0" w:type="auto"/>
            <w:vMerge/>
            <w:shd w:val="clear" w:color="auto" w:fill="auto"/>
            <w:hideMark/>
          </w:tcPr>
          <w:p w14:paraId="6C9271DD" w14:textId="77777777" w:rsidR="00B16F28" w:rsidRDefault="00B16F28">
            <w:pPr>
              <w:rPr>
                <w:rFonts w:eastAsia="Times New Roman"/>
                <w:sz w:val="24"/>
                <w:szCs w:val="24"/>
              </w:rPr>
            </w:pPr>
          </w:p>
        </w:tc>
        <w:tc>
          <w:tcPr>
            <w:tcW w:w="0" w:type="auto"/>
            <w:shd w:val="clear" w:color="auto" w:fill="auto"/>
            <w:hideMark/>
          </w:tcPr>
          <w:p w14:paraId="492709B2" w14:textId="77777777" w:rsidR="00B16F28" w:rsidRDefault="00B16F28">
            <w:pPr>
              <w:rPr>
                <w:rFonts w:eastAsia="Times New Roman"/>
                <w:sz w:val="24"/>
                <w:szCs w:val="24"/>
              </w:rPr>
            </w:pPr>
            <w:r>
              <w:rPr>
                <w:rFonts w:eastAsia="Times New Roman"/>
              </w:rPr>
              <w:t>Native/feral animal - indirect</w:t>
            </w:r>
          </w:p>
        </w:tc>
        <w:tc>
          <w:tcPr>
            <w:tcW w:w="0" w:type="auto"/>
            <w:shd w:val="clear" w:color="auto" w:fill="auto"/>
            <w:hideMark/>
          </w:tcPr>
          <w:p w14:paraId="79ABC668" w14:textId="77777777" w:rsidR="00B16F28" w:rsidRDefault="00B16F28">
            <w:pPr>
              <w:rPr>
                <w:rFonts w:eastAsia="Times New Roman"/>
                <w:sz w:val="24"/>
                <w:szCs w:val="24"/>
              </w:rPr>
            </w:pPr>
            <w:r>
              <w:rPr>
                <w:rFonts w:eastAsia="Times New Roman"/>
              </w:rPr>
              <w:t>Indirect contact with native/feral animals e.g. hiking, mowing areas contaminated by faeces</w:t>
            </w:r>
          </w:p>
        </w:tc>
      </w:tr>
      <w:tr w:rsidR="00B16F28" w14:paraId="04B65C15" w14:textId="77777777" w:rsidTr="003329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428071BE" w14:textId="77777777" w:rsidR="00B16F28" w:rsidRDefault="00B16F28">
            <w:pPr>
              <w:rPr>
                <w:rFonts w:eastAsia="Times New Roman"/>
                <w:sz w:val="24"/>
                <w:szCs w:val="24"/>
              </w:rPr>
            </w:pPr>
          </w:p>
        </w:tc>
        <w:tc>
          <w:tcPr>
            <w:tcW w:w="0" w:type="auto"/>
            <w:vMerge/>
            <w:shd w:val="clear" w:color="auto" w:fill="auto"/>
            <w:hideMark/>
          </w:tcPr>
          <w:p w14:paraId="54986F12" w14:textId="77777777" w:rsidR="00B16F28" w:rsidRDefault="00B16F28">
            <w:pPr>
              <w:rPr>
                <w:rFonts w:eastAsia="Times New Roman"/>
                <w:sz w:val="24"/>
                <w:szCs w:val="24"/>
              </w:rPr>
            </w:pPr>
          </w:p>
        </w:tc>
        <w:tc>
          <w:tcPr>
            <w:tcW w:w="0" w:type="auto"/>
            <w:shd w:val="clear" w:color="auto" w:fill="auto"/>
            <w:hideMark/>
          </w:tcPr>
          <w:p w14:paraId="76E9F8B3" w14:textId="77777777" w:rsidR="00B16F28" w:rsidRDefault="00B16F28">
            <w:pPr>
              <w:rPr>
                <w:rFonts w:eastAsia="Times New Roman"/>
                <w:sz w:val="24"/>
                <w:szCs w:val="24"/>
              </w:rPr>
            </w:pPr>
            <w:r>
              <w:rPr>
                <w:rFonts w:eastAsia="Times New Roman"/>
              </w:rPr>
              <w:t>Native/feral animal - contact not specified</w:t>
            </w:r>
          </w:p>
        </w:tc>
        <w:tc>
          <w:tcPr>
            <w:tcW w:w="0" w:type="auto"/>
            <w:shd w:val="clear" w:color="auto" w:fill="auto"/>
            <w:hideMark/>
          </w:tcPr>
          <w:p w14:paraId="08F6F234" w14:textId="77777777" w:rsidR="00B16F28" w:rsidRDefault="00B16F28">
            <w:pPr>
              <w:rPr>
                <w:rFonts w:eastAsia="Times New Roman"/>
                <w:sz w:val="24"/>
                <w:szCs w:val="24"/>
              </w:rPr>
            </w:pPr>
            <w:r>
              <w:rPr>
                <w:rFonts w:eastAsia="Times New Roman"/>
              </w:rPr>
              <w:t>No contact situation noted</w:t>
            </w:r>
          </w:p>
        </w:tc>
      </w:tr>
      <w:tr w:rsidR="00B16F28" w14:paraId="1B40BF60" w14:textId="77777777" w:rsidTr="00332900">
        <w:tblPrEx>
          <w:tblCellMar>
            <w:top w:w="0" w:type="dxa"/>
            <w:left w:w="108" w:type="dxa"/>
            <w:bottom w:w="0" w:type="dxa"/>
            <w:right w:w="108" w:type="dxa"/>
          </w:tblCellMar>
        </w:tblPrEx>
        <w:tc>
          <w:tcPr>
            <w:tcW w:w="0" w:type="auto"/>
            <w:vMerge/>
            <w:shd w:val="clear" w:color="auto" w:fill="auto"/>
            <w:hideMark/>
          </w:tcPr>
          <w:p w14:paraId="62F74507" w14:textId="77777777" w:rsidR="00B16F28" w:rsidRDefault="00B16F28">
            <w:pPr>
              <w:rPr>
                <w:rFonts w:eastAsia="Times New Roman"/>
                <w:sz w:val="24"/>
                <w:szCs w:val="24"/>
              </w:rPr>
            </w:pPr>
          </w:p>
        </w:tc>
        <w:tc>
          <w:tcPr>
            <w:tcW w:w="0" w:type="auto"/>
            <w:vMerge/>
            <w:shd w:val="clear" w:color="auto" w:fill="auto"/>
            <w:hideMark/>
          </w:tcPr>
          <w:p w14:paraId="43200E9C" w14:textId="77777777" w:rsidR="00B16F28" w:rsidRDefault="00B16F28">
            <w:pPr>
              <w:rPr>
                <w:rFonts w:eastAsia="Times New Roman"/>
                <w:sz w:val="24"/>
                <w:szCs w:val="24"/>
              </w:rPr>
            </w:pPr>
          </w:p>
        </w:tc>
        <w:tc>
          <w:tcPr>
            <w:tcW w:w="0" w:type="auto"/>
            <w:shd w:val="clear" w:color="auto" w:fill="auto"/>
            <w:hideMark/>
          </w:tcPr>
          <w:p w14:paraId="3FDD542F" w14:textId="77777777" w:rsidR="00B16F28" w:rsidRDefault="00B16F28">
            <w:pPr>
              <w:rPr>
                <w:rFonts w:eastAsia="Times New Roman"/>
                <w:sz w:val="24"/>
                <w:szCs w:val="24"/>
              </w:rPr>
            </w:pPr>
            <w:r>
              <w:rPr>
                <w:rFonts w:eastAsia="Times New Roman"/>
              </w:rPr>
              <w:t>Companion animal</w:t>
            </w:r>
          </w:p>
        </w:tc>
        <w:tc>
          <w:tcPr>
            <w:tcW w:w="0" w:type="auto"/>
            <w:shd w:val="clear" w:color="auto" w:fill="auto"/>
            <w:hideMark/>
          </w:tcPr>
          <w:p w14:paraId="28F35CED" w14:textId="77777777" w:rsidR="00B16F28" w:rsidRDefault="00B16F28">
            <w:pPr>
              <w:rPr>
                <w:rFonts w:eastAsia="Times New Roman"/>
                <w:sz w:val="24"/>
                <w:szCs w:val="24"/>
              </w:rPr>
            </w:pPr>
            <w:r>
              <w:rPr>
                <w:rFonts w:eastAsia="Times New Roman"/>
              </w:rPr>
              <w:t>Direct or in direct contact with dogs, cats, horses,</w:t>
            </w:r>
          </w:p>
        </w:tc>
      </w:tr>
      <w:tr w:rsidR="00B16F28" w14:paraId="7D704E61" w14:textId="77777777" w:rsidTr="0033290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auto"/>
            <w:hideMark/>
          </w:tcPr>
          <w:p w14:paraId="1DFA8019" w14:textId="77777777" w:rsidR="00B16F28" w:rsidRDefault="00B16F28">
            <w:pPr>
              <w:rPr>
                <w:rFonts w:eastAsia="Times New Roman"/>
                <w:sz w:val="24"/>
                <w:szCs w:val="24"/>
              </w:rPr>
            </w:pPr>
          </w:p>
        </w:tc>
        <w:tc>
          <w:tcPr>
            <w:tcW w:w="0" w:type="auto"/>
            <w:vMerge/>
            <w:shd w:val="clear" w:color="auto" w:fill="auto"/>
            <w:hideMark/>
          </w:tcPr>
          <w:p w14:paraId="2E10F7BB" w14:textId="77777777" w:rsidR="00B16F28" w:rsidRDefault="00B16F28">
            <w:pPr>
              <w:rPr>
                <w:rFonts w:eastAsia="Times New Roman"/>
                <w:sz w:val="24"/>
                <w:szCs w:val="24"/>
              </w:rPr>
            </w:pPr>
          </w:p>
        </w:tc>
        <w:tc>
          <w:tcPr>
            <w:tcW w:w="0" w:type="auto"/>
            <w:shd w:val="clear" w:color="auto" w:fill="auto"/>
            <w:hideMark/>
          </w:tcPr>
          <w:p w14:paraId="5BFC80B2" w14:textId="77777777" w:rsidR="00B16F28" w:rsidRDefault="00B16F28">
            <w:pPr>
              <w:rPr>
                <w:rFonts w:eastAsia="Times New Roman"/>
                <w:sz w:val="24"/>
                <w:szCs w:val="24"/>
              </w:rPr>
            </w:pPr>
            <w:r>
              <w:rPr>
                <w:rFonts w:eastAsia="Times New Roman"/>
              </w:rPr>
              <w:t>Other</w:t>
            </w:r>
          </w:p>
        </w:tc>
        <w:tc>
          <w:tcPr>
            <w:tcW w:w="0" w:type="auto"/>
            <w:shd w:val="clear" w:color="auto" w:fill="auto"/>
            <w:hideMark/>
          </w:tcPr>
          <w:p w14:paraId="00E21C9C" w14:textId="77777777" w:rsidR="00B16F28" w:rsidRDefault="00B16F28">
            <w:pPr>
              <w:rPr>
                <w:rFonts w:eastAsia="Times New Roman"/>
                <w:sz w:val="24"/>
                <w:szCs w:val="24"/>
              </w:rPr>
            </w:pPr>
            <w:r>
              <w:rPr>
                <w:rFonts w:eastAsia="Times New Roman"/>
              </w:rPr>
              <w:t>Other animal exposure not otherwise classified (e.g. ticks)</w:t>
            </w:r>
          </w:p>
        </w:tc>
      </w:tr>
      <w:tr w:rsidR="00B16F28" w14:paraId="650527A2" w14:textId="77777777" w:rsidTr="00332900">
        <w:tblPrEx>
          <w:tblCellMar>
            <w:top w:w="0" w:type="dxa"/>
            <w:left w:w="108" w:type="dxa"/>
            <w:bottom w:w="0" w:type="dxa"/>
            <w:right w:w="108" w:type="dxa"/>
          </w:tblCellMar>
        </w:tblPrEx>
        <w:tc>
          <w:tcPr>
            <w:tcW w:w="0" w:type="auto"/>
            <w:vMerge/>
            <w:shd w:val="clear" w:color="auto" w:fill="auto"/>
            <w:hideMark/>
          </w:tcPr>
          <w:p w14:paraId="587BEAE8" w14:textId="77777777" w:rsidR="00B16F28" w:rsidRDefault="00B16F28">
            <w:pPr>
              <w:rPr>
                <w:rFonts w:eastAsia="Times New Roman"/>
                <w:sz w:val="24"/>
                <w:szCs w:val="24"/>
              </w:rPr>
            </w:pPr>
          </w:p>
        </w:tc>
        <w:tc>
          <w:tcPr>
            <w:tcW w:w="0" w:type="auto"/>
            <w:vMerge/>
            <w:shd w:val="clear" w:color="auto" w:fill="auto"/>
            <w:hideMark/>
          </w:tcPr>
          <w:p w14:paraId="24EF9B7A" w14:textId="77777777" w:rsidR="00B16F28" w:rsidRDefault="00B16F28">
            <w:pPr>
              <w:rPr>
                <w:rFonts w:eastAsia="Times New Roman"/>
                <w:sz w:val="24"/>
                <w:szCs w:val="24"/>
              </w:rPr>
            </w:pPr>
          </w:p>
        </w:tc>
        <w:tc>
          <w:tcPr>
            <w:tcW w:w="0" w:type="auto"/>
            <w:shd w:val="clear" w:color="auto" w:fill="auto"/>
            <w:hideMark/>
          </w:tcPr>
          <w:p w14:paraId="172C5EF4" w14:textId="77777777" w:rsidR="00B16F28" w:rsidRDefault="00B16F28">
            <w:pPr>
              <w:rPr>
                <w:rFonts w:eastAsia="Times New Roman"/>
                <w:sz w:val="24"/>
                <w:szCs w:val="24"/>
              </w:rPr>
            </w:pPr>
            <w:r>
              <w:rPr>
                <w:rFonts w:eastAsia="Times New Roman"/>
              </w:rPr>
              <w:t>Multiple</w:t>
            </w:r>
          </w:p>
        </w:tc>
        <w:tc>
          <w:tcPr>
            <w:tcW w:w="0" w:type="auto"/>
            <w:shd w:val="clear" w:color="auto" w:fill="auto"/>
            <w:hideMark/>
          </w:tcPr>
          <w:p w14:paraId="1C4382FF" w14:textId="77777777" w:rsidR="00B16F28" w:rsidRDefault="00B16F28">
            <w:pPr>
              <w:rPr>
                <w:rFonts w:eastAsia="Times New Roman"/>
                <w:sz w:val="24"/>
                <w:szCs w:val="24"/>
              </w:rPr>
            </w:pPr>
            <w:r>
              <w:rPr>
                <w:rFonts w:eastAsia="Times New Roman"/>
              </w:rPr>
              <w:t>More than one of the above categories</w:t>
            </w:r>
          </w:p>
        </w:tc>
      </w:tr>
    </w:tbl>
    <w:p w14:paraId="11CE5822" w14:textId="77777777" w:rsidR="00B16F28" w:rsidRDefault="00B16F28">
      <w:pPr>
        <w:pStyle w:val="NormalWeb"/>
      </w:pPr>
      <w:r>
        <w:t> </w:t>
      </w:r>
    </w:p>
    <w:p w14:paraId="3417C181"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001AC911" wp14:editId="403178D2">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0E6751B3"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7B0D04">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2CB5FFB8"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5D1FF874"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2E8B6657"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34E1D62C"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56E22329" w14:textId="77777777" w:rsidR="007C56A1" w:rsidRPr="00786329" w:rsidRDefault="007C56A1" w:rsidP="007C56A1">
      <w:pPr>
        <w:pBdr>
          <w:bottom w:val="single" w:sz="6" w:space="1" w:color="auto"/>
        </w:pBdr>
        <w:rPr>
          <w:rStyle w:val="A11"/>
          <w:sz w:val="20"/>
          <w:szCs w:val="20"/>
          <w:u w:val="none"/>
        </w:rPr>
      </w:pPr>
    </w:p>
    <w:p w14:paraId="3C6BB92E"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0BABF906"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5F7D1074" w14:textId="77777777" w:rsidR="007C56A1" w:rsidRPr="0006264A" w:rsidRDefault="007C56A1" w:rsidP="007C56A1">
      <w:pPr>
        <w:pBdr>
          <w:bottom w:val="single" w:sz="6" w:space="1" w:color="auto"/>
        </w:pBdr>
        <w:rPr>
          <w:sz w:val="20"/>
          <w:szCs w:val="20"/>
        </w:rPr>
      </w:pPr>
    </w:p>
    <w:p w14:paraId="5BED1199"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30C90428"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2AB149C0"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51C1">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CA84" w14:textId="77777777" w:rsidR="007A64AB" w:rsidRDefault="007A64AB" w:rsidP="00E54DBA">
      <w:r>
        <w:separator/>
      </w:r>
    </w:p>
    <w:p w14:paraId="43E505D1" w14:textId="77777777" w:rsidR="007A64AB" w:rsidRDefault="007A64AB"/>
    <w:p w14:paraId="441CF0ED" w14:textId="77777777" w:rsidR="007A64AB" w:rsidRDefault="007A64AB" w:rsidP="008714B0"/>
  </w:endnote>
  <w:endnote w:type="continuationSeparator" w:id="0">
    <w:p w14:paraId="11FA5C0B" w14:textId="77777777" w:rsidR="007A64AB" w:rsidRDefault="007A64AB" w:rsidP="00E54DBA">
      <w:r>
        <w:continuationSeparator/>
      </w:r>
    </w:p>
    <w:p w14:paraId="4CA9CB64" w14:textId="77777777" w:rsidR="007A64AB" w:rsidRDefault="007A64AB"/>
    <w:p w14:paraId="28EC9A6A" w14:textId="77777777" w:rsidR="007A64AB" w:rsidRDefault="007A64AB"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6EC7" w14:textId="77777777" w:rsidR="00402344" w:rsidRDefault="00402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947C8" w14:textId="4494B91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3578C">
      <w:rPr>
        <w:noProof/>
        <w:sz w:val="18"/>
      </w:rPr>
      <w:t>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33578C">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402344" w:rsidRPr="00402344">
      <w:rPr>
        <w:sz w:val="18"/>
      </w:rPr>
      <w:t>Commun Dis Intell (2018) 2018;42 https://doi.org/10.33321/cdi.2018.42.1</w:t>
    </w:r>
    <w:r w:rsidR="00402344">
      <w:rPr>
        <w:sz w:val="18"/>
      </w:rPr>
      <w:t>0</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E80A" w14:textId="5B9F7CA2" w:rsidR="00BB5378" w:rsidRPr="00BB5378" w:rsidRDefault="00BB5378" w:rsidP="00242AB1">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3578C">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33578C">
      <w:rPr>
        <w:noProof/>
        <w:sz w:val="18"/>
      </w:rPr>
      <w:t>1</w:t>
    </w:r>
    <w:r w:rsidR="00B132DB">
      <w:rPr>
        <w:noProof/>
        <w:sz w:val="18"/>
      </w:rPr>
      <w:fldChar w:fldCharType="end"/>
    </w:r>
    <w:r>
      <w:rPr>
        <w:noProof/>
        <w:sz w:val="18"/>
      </w:rPr>
      <w:t xml:space="preserve"> </w:t>
    </w:r>
    <w:r>
      <w:rPr>
        <w:noProof/>
        <w:sz w:val="18"/>
      </w:rPr>
      <w:ptab w:relativeTo="margin" w:alignment="center" w:leader="none"/>
    </w:r>
    <w:r w:rsidR="00402344" w:rsidRPr="00402344">
      <w:rPr>
        <w:sz w:val="18"/>
      </w:rPr>
      <w:t>Commun Dis Intell (2018) 2018;42 https://doi.org/10.33321/cdi.2018.42.1</w:t>
    </w:r>
    <w:r w:rsidR="00402344">
      <w:rPr>
        <w:sz w:val="18"/>
      </w:rPr>
      <w:t>0</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3D76" w14:textId="77777777" w:rsidR="007A64AB" w:rsidRDefault="007A64AB" w:rsidP="00E54DBA">
      <w:r>
        <w:separator/>
      </w:r>
    </w:p>
    <w:p w14:paraId="046298C3" w14:textId="77777777" w:rsidR="007A64AB" w:rsidRDefault="007A64AB"/>
    <w:p w14:paraId="558B17E0" w14:textId="77777777" w:rsidR="007A64AB" w:rsidRDefault="007A64AB" w:rsidP="008714B0"/>
  </w:footnote>
  <w:footnote w:type="continuationSeparator" w:id="0">
    <w:p w14:paraId="65AA339F" w14:textId="77777777" w:rsidR="007A64AB" w:rsidRDefault="007A64AB" w:rsidP="00E54DBA">
      <w:r>
        <w:continuationSeparator/>
      </w:r>
    </w:p>
    <w:p w14:paraId="4D8B3786" w14:textId="77777777" w:rsidR="007A64AB" w:rsidRDefault="007A64AB"/>
    <w:p w14:paraId="70DDE492" w14:textId="77777777" w:rsidR="007A64AB" w:rsidRDefault="007A64AB"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CDD1" w14:textId="77777777" w:rsidR="00402344" w:rsidRDefault="00402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5EFB" w14:textId="77777777" w:rsidR="00257484" w:rsidRDefault="00402344"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77FA6">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11BB" w14:textId="77777777" w:rsidR="00402344" w:rsidRDefault="0040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1D9D"/>
    <w:multiLevelType w:val="multilevel"/>
    <w:tmpl w:val="9A2A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270CD4"/>
    <w:multiLevelType w:val="multilevel"/>
    <w:tmpl w:val="AE9C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6161319">
    <w:abstractNumId w:val="2"/>
  </w:num>
  <w:num w:numId="2" w16cid:durableId="1393653088">
    <w:abstractNumId w:val="3"/>
  </w:num>
  <w:num w:numId="3" w16cid:durableId="887227924">
    <w:abstractNumId w:val="4"/>
  </w:num>
  <w:num w:numId="4" w16cid:durableId="1447893483">
    <w:abstractNumId w:val="1"/>
  </w:num>
  <w:num w:numId="5" w16cid:durableId="167409549">
    <w:abstractNumId w:val="5"/>
  </w:num>
  <w:num w:numId="6" w16cid:durableId="184828170">
    <w:abstractNumId w:val="0"/>
  </w:num>
  <w:num w:numId="7" w16cid:durableId="1055466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7A64AB"/>
    <w:rsid w:val="00000B5B"/>
    <w:rsid w:val="00001611"/>
    <w:rsid w:val="000104A8"/>
    <w:rsid w:val="0001246E"/>
    <w:rsid w:val="000124B1"/>
    <w:rsid w:val="00016FE6"/>
    <w:rsid w:val="00031064"/>
    <w:rsid w:val="00032531"/>
    <w:rsid w:val="00041FEE"/>
    <w:rsid w:val="000471BF"/>
    <w:rsid w:val="00052600"/>
    <w:rsid w:val="0005643C"/>
    <w:rsid w:val="0006264A"/>
    <w:rsid w:val="00073D77"/>
    <w:rsid w:val="00081655"/>
    <w:rsid w:val="000864E0"/>
    <w:rsid w:val="00087246"/>
    <w:rsid w:val="000969B3"/>
    <w:rsid w:val="000D4B4D"/>
    <w:rsid w:val="00112B90"/>
    <w:rsid w:val="00113D58"/>
    <w:rsid w:val="00155582"/>
    <w:rsid w:val="00161590"/>
    <w:rsid w:val="00162117"/>
    <w:rsid w:val="00171CC0"/>
    <w:rsid w:val="00175494"/>
    <w:rsid w:val="00175629"/>
    <w:rsid w:val="001830EC"/>
    <w:rsid w:val="00183534"/>
    <w:rsid w:val="001A4A96"/>
    <w:rsid w:val="001A5D05"/>
    <w:rsid w:val="001A796C"/>
    <w:rsid w:val="001B2614"/>
    <w:rsid w:val="001B37B8"/>
    <w:rsid w:val="001B552F"/>
    <w:rsid w:val="001B6A4D"/>
    <w:rsid w:val="001C0893"/>
    <w:rsid w:val="001C1303"/>
    <w:rsid w:val="001C70B2"/>
    <w:rsid w:val="001D6888"/>
    <w:rsid w:val="002276DC"/>
    <w:rsid w:val="00227E00"/>
    <w:rsid w:val="002307CB"/>
    <w:rsid w:val="00231046"/>
    <w:rsid w:val="00242659"/>
    <w:rsid w:val="002428F7"/>
    <w:rsid w:val="00242AB1"/>
    <w:rsid w:val="0024315F"/>
    <w:rsid w:val="00252C9A"/>
    <w:rsid w:val="00256309"/>
    <w:rsid w:val="00257484"/>
    <w:rsid w:val="00260636"/>
    <w:rsid w:val="00280594"/>
    <w:rsid w:val="00281EE3"/>
    <w:rsid w:val="00284E4A"/>
    <w:rsid w:val="002A3799"/>
    <w:rsid w:val="002A3BCC"/>
    <w:rsid w:val="002A4516"/>
    <w:rsid w:val="002A569F"/>
    <w:rsid w:val="002A7066"/>
    <w:rsid w:val="002B001E"/>
    <w:rsid w:val="002B09B7"/>
    <w:rsid w:val="002C21B0"/>
    <w:rsid w:val="002E2FB3"/>
    <w:rsid w:val="002F21CD"/>
    <w:rsid w:val="002F327B"/>
    <w:rsid w:val="002F56F6"/>
    <w:rsid w:val="00301626"/>
    <w:rsid w:val="00316CCD"/>
    <w:rsid w:val="00324F7E"/>
    <w:rsid w:val="003323BC"/>
    <w:rsid w:val="00332900"/>
    <w:rsid w:val="0033578C"/>
    <w:rsid w:val="00346D42"/>
    <w:rsid w:val="00346E11"/>
    <w:rsid w:val="003601C0"/>
    <w:rsid w:val="003635F5"/>
    <w:rsid w:val="00372A88"/>
    <w:rsid w:val="00381A0F"/>
    <w:rsid w:val="003A1B3A"/>
    <w:rsid w:val="003A40F5"/>
    <w:rsid w:val="003B5B8C"/>
    <w:rsid w:val="003E74EE"/>
    <w:rsid w:val="003F0552"/>
    <w:rsid w:val="003F3BC2"/>
    <w:rsid w:val="00401ED1"/>
    <w:rsid w:val="00402344"/>
    <w:rsid w:val="00412DE2"/>
    <w:rsid w:val="00413EE1"/>
    <w:rsid w:val="004164BB"/>
    <w:rsid w:val="00421ECE"/>
    <w:rsid w:val="0042435E"/>
    <w:rsid w:val="004315F5"/>
    <w:rsid w:val="00433456"/>
    <w:rsid w:val="00433DFA"/>
    <w:rsid w:val="00435D67"/>
    <w:rsid w:val="00464A58"/>
    <w:rsid w:val="00473D2D"/>
    <w:rsid w:val="004858BA"/>
    <w:rsid w:val="004A2125"/>
    <w:rsid w:val="004A38F6"/>
    <w:rsid w:val="004B4EB6"/>
    <w:rsid w:val="004C67C6"/>
    <w:rsid w:val="00510EAC"/>
    <w:rsid w:val="00542A57"/>
    <w:rsid w:val="00572A92"/>
    <w:rsid w:val="005732C0"/>
    <w:rsid w:val="0057336D"/>
    <w:rsid w:val="0058540B"/>
    <w:rsid w:val="00587C87"/>
    <w:rsid w:val="00590B80"/>
    <w:rsid w:val="005B3134"/>
    <w:rsid w:val="005B4E61"/>
    <w:rsid w:val="005B595A"/>
    <w:rsid w:val="005B66C2"/>
    <w:rsid w:val="005D2465"/>
    <w:rsid w:val="005E4229"/>
    <w:rsid w:val="005E540E"/>
    <w:rsid w:val="005E55FB"/>
    <w:rsid w:val="005F16BB"/>
    <w:rsid w:val="00604F48"/>
    <w:rsid w:val="00607115"/>
    <w:rsid w:val="00620768"/>
    <w:rsid w:val="0062594B"/>
    <w:rsid w:val="00631406"/>
    <w:rsid w:val="006324FF"/>
    <w:rsid w:val="006351D6"/>
    <w:rsid w:val="00636E0D"/>
    <w:rsid w:val="0064142F"/>
    <w:rsid w:val="00643CB4"/>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74C49"/>
    <w:rsid w:val="00786329"/>
    <w:rsid w:val="00792C7D"/>
    <w:rsid w:val="00794A4D"/>
    <w:rsid w:val="007A5234"/>
    <w:rsid w:val="007A64AB"/>
    <w:rsid w:val="007B0D04"/>
    <w:rsid w:val="007B7854"/>
    <w:rsid w:val="007C56A1"/>
    <w:rsid w:val="007C6454"/>
    <w:rsid w:val="007E01E0"/>
    <w:rsid w:val="007F0B93"/>
    <w:rsid w:val="00804D19"/>
    <w:rsid w:val="00811708"/>
    <w:rsid w:val="00816B90"/>
    <w:rsid w:val="00817799"/>
    <w:rsid w:val="00822F5F"/>
    <w:rsid w:val="00824FD3"/>
    <w:rsid w:val="00826589"/>
    <w:rsid w:val="008278EC"/>
    <w:rsid w:val="00834BCC"/>
    <w:rsid w:val="00850D54"/>
    <w:rsid w:val="008714B0"/>
    <w:rsid w:val="00876331"/>
    <w:rsid w:val="00877FA6"/>
    <w:rsid w:val="0088072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0F96"/>
    <w:rsid w:val="00912050"/>
    <w:rsid w:val="00912E48"/>
    <w:rsid w:val="0092746F"/>
    <w:rsid w:val="00935DC9"/>
    <w:rsid w:val="009446C0"/>
    <w:rsid w:val="0096082E"/>
    <w:rsid w:val="00967D73"/>
    <w:rsid w:val="0098119A"/>
    <w:rsid w:val="00984AAF"/>
    <w:rsid w:val="00991947"/>
    <w:rsid w:val="00991B09"/>
    <w:rsid w:val="00993CB2"/>
    <w:rsid w:val="009A5166"/>
    <w:rsid w:val="009A76F8"/>
    <w:rsid w:val="009B2B83"/>
    <w:rsid w:val="009C49F8"/>
    <w:rsid w:val="009D77CC"/>
    <w:rsid w:val="009E2423"/>
    <w:rsid w:val="009E55D7"/>
    <w:rsid w:val="009F4150"/>
    <w:rsid w:val="009F5665"/>
    <w:rsid w:val="009F5DAD"/>
    <w:rsid w:val="009F6D3A"/>
    <w:rsid w:val="00A10458"/>
    <w:rsid w:val="00A14CE6"/>
    <w:rsid w:val="00A273C3"/>
    <w:rsid w:val="00A36C65"/>
    <w:rsid w:val="00A41BBE"/>
    <w:rsid w:val="00A45BDD"/>
    <w:rsid w:val="00A46A0A"/>
    <w:rsid w:val="00A553F8"/>
    <w:rsid w:val="00A6708F"/>
    <w:rsid w:val="00A71BF6"/>
    <w:rsid w:val="00A86F9A"/>
    <w:rsid w:val="00A9383F"/>
    <w:rsid w:val="00AA35E6"/>
    <w:rsid w:val="00AA50B6"/>
    <w:rsid w:val="00AB3472"/>
    <w:rsid w:val="00AD0762"/>
    <w:rsid w:val="00AE4452"/>
    <w:rsid w:val="00AE7C38"/>
    <w:rsid w:val="00B01F99"/>
    <w:rsid w:val="00B02B37"/>
    <w:rsid w:val="00B05276"/>
    <w:rsid w:val="00B132DB"/>
    <w:rsid w:val="00B16F28"/>
    <w:rsid w:val="00B31427"/>
    <w:rsid w:val="00B33861"/>
    <w:rsid w:val="00B40DE2"/>
    <w:rsid w:val="00B50210"/>
    <w:rsid w:val="00B51079"/>
    <w:rsid w:val="00B53955"/>
    <w:rsid w:val="00B6408A"/>
    <w:rsid w:val="00B714B8"/>
    <w:rsid w:val="00B76AFF"/>
    <w:rsid w:val="00B82C2C"/>
    <w:rsid w:val="00B8720B"/>
    <w:rsid w:val="00B876EF"/>
    <w:rsid w:val="00BA4697"/>
    <w:rsid w:val="00BB5378"/>
    <w:rsid w:val="00BC0BD3"/>
    <w:rsid w:val="00BC1303"/>
    <w:rsid w:val="00BD0107"/>
    <w:rsid w:val="00BD487E"/>
    <w:rsid w:val="00BE0C33"/>
    <w:rsid w:val="00BE262C"/>
    <w:rsid w:val="00BE6C3D"/>
    <w:rsid w:val="00C07606"/>
    <w:rsid w:val="00C12542"/>
    <w:rsid w:val="00C24725"/>
    <w:rsid w:val="00C30BA9"/>
    <w:rsid w:val="00C3541E"/>
    <w:rsid w:val="00C36A8F"/>
    <w:rsid w:val="00C42FFA"/>
    <w:rsid w:val="00C507D8"/>
    <w:rsid w:val="00C62EAC"/>
    <w:rsid w:val="00C63F9F"/>
    <w:rsid w:val="00C66386"/>
    <w:rsid w:val="00C7723C"/>
    <w:rsid w:val="00CA1AF4"/>
    <w:rsid w:val="00CA6068"/>
    <w:rsid w:val="00CA7D78"/>
    <w:rsid w:val="00CB15E1"/>
    <w:rsid w:val="00CB3D46"/>
    <w:rsid w:val="00CD1A87"/>
    <w:rsid w:val="00CD35F3"/>
    <w:rsid w:val="00CD5C93"/>
    <w:rsid w:val="00CF320C"/>
    <w:rsid w:val="00CF3A4B"/>
    <w:rsid w:val="00D05837"/>
    <w:rsid w:val="00D10512"/>
    <w:rsid w:val="00D12D8A"/>
    <w:rsid w:val="00D13E0C"/>
    <w:rsid w:val="00D25896"/>
    <w:rsid w:val="00D373A1"/>
    <w:rsid w:val="00D37C0F"/>
    <w:rsid w:val="00D45661"/>
    <w:rsid w:val="00D45943"/>
    <w:rsid w:val="00D47D22"/>
    <w:rsid w:val="00D51865"/>
    <w:rsid w:val="00D51D0C"/>
    <w:rsid w:val="00D74140"/>
    <w:rsid w:val="00DA6E56"/>
    <w:rsid w:val="00DC6705"/>
    <w:rsid w:val="00DE38B4"/>
    <w:rsid w:val="00DE5D02"/>
    <w:rsid w:val="00E005A9"/>
    <w:rsid w:val="00E1166E"/>
    <w:rsid w:val="00E24DC0"/>
    <w:rsid w:val="00E2519C"/>
    <w:rsid w:val="00E25F2A"/>
    <w:rsid w:val="00E41455"/>
    <w:rsid w:val="00E42AD2"/>
    <w:rsid w:val="00E50856"/>
    <w:rsid w:val="00E54DBA"/>
    <w:rsid w:val="00E63D7C"/>
    <w:rsid w:val="00E640D5"/>
    <w:rsid w:val="00E67691"/>
    <w:rsid w:val="00E7147D"/>
    <w:rsid w:val="00E92237"/>
    <w:rsid w:val="00E951EF"/>
    <w:rsid w:val="00EA3D54"/>
    <w:rsid w:val="00EA56D9"/>
    <w:rsid w:val="00EA5CE3"/>
    <w:rsid w:val="00EB376C"/>
    <w:rsid w:val="00EB51C1"/>
    <w:rsid w:val="00EB5AE1"/>
    <w:rsid w:val="00EB5E0B"/>
    <w:rsid w:val="00EB6D81"/>
    <w:rsid w:val="00EC2171"/>
    <w:rsid w:val="00ED442D"/>
    <w:rsid w:val="00ED70C2"/>
    <w:rsid w:val="00EE18FF"/>
    <w:rsid w:val="00EE489F"/>
    <w:rsid w:val="00F0647F"/>
    <w:rsid w:val="00F10CE3"/>
    <w:rsid w:val="00F14F3B"/>
    <w:rsid w:val="00F16362"/>
    <w:rsid w:val="00F36B6D"/>
    <w:rsid w:val="00F43FA3"/>
    <w:rsid w:val="00F70046"/>
    <w:rsid w:val="00F748C2"/>
    <w:rsid w:val="00F76C5C"/>
    <w:rsid w:val="00F81EF3"/>
    <w:rsid w:val="00F84496"/>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C4695C4"/>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keith.eastwood@hnehealth.nsw.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85F803-814E-4B14-9ABA-6A9817893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4049</Words>
  <Characters>23082</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2018 - Surveillance system enhancements for Q fever in NSW, 2005-2015</vt:lpstr>
      <vt:lpstr>/Abstract</vt:lpstr>
      <vt:lpstr>Summary</vt:lpstr>
      <vt:lpstr>Introduction </vt:lpstr>
      <vt:lpstr>Methods </vt:lpstr>
      <vt:lpstr>Results </vt:lpstr>
      <vt:lpstr>Discussion </vt:lpstr>
      <vt:lpstr>Acknowledgements</vt:lpstr>
      <vt:lpstr>Authors details</vt:lpstr>
      <vt:lpstr>    Corresponding author</vt:lpstr>
      <vt:lpstr>References</vt:lpstr>
    </vt:vector>
  </TitlesOfParts>
  <Company>Australian Government, Department of Health</Company>
  <LinksUpToDate>false</LinksUpToDate>
  <CharactersWithSpaces>27077</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Surveillance system enhancements for Q fever in NSW, 2005-2015</dc:title>
  <dc:subject>Q fever remains an important notifiable condition in NSW, especially in rural/regional areas but is also being reported in urban settings. Enhanced surveillance initiatives require collection of data that correlate to risk and information related to prevention strategies.</dc:subject>
  <dc:creator>Henry C. M. Clutterbuck;Keith Eastwood;Peter D. Massey;Kirsty Hopef and Siobhan M. Mor</dc:creator>
  <cp:keywords>; Coxiella burnetii; exposure; surveillance; Q fever vaccine</cp:keywords>
  <cp:revision>2</cp:revision>
  <cp:lastPrinted>2018-10-17T01:18:00Z</cp:lastPrinted>
  <dcterms:created xsi:type="dcterms:W3CDTF">2024-08-27T02:08:00Z</dcterms:created>
  <dcterms:modified xsi:type="dcterms:W3CDTF">2024-08-27T02:08:00Z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