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5E3D" w14:textId="77777777" w:rsidR="00387584" w:rsidRPr="00F428EE" w:rsidRDefault="00387584" w:rsidP="0079250B">
      <w:pPr>
        <w:pStyle w:val="Title"/>
        <w:rPr>
          <w:sz w:val="56"/>
        </w:rPr>
      </w:pPr>
      <w:r w:rsidRPr="00F428EE">
        <w:rPr>
          <w:sz w:val="56"/>
        </w:rPr>
        <w:t>Evaluation of Australia’s Enhanced Invasive Pneumococcal Disease (IPD) Surveillance Program</w:t>
      </w:r>
    </w:p>
    <w:p w14:paraId="66CC00B5" w14:textId="77777777" w:rsidR="00387584" w:rsidRDefault="00387584" w:rsidP="0079250B">
      <w:pPr>
        <w:divId w:val="31923996"/>
      </w:pPr>
      <w:r>
        <w:t xml:space="preserve">Alexandra M </w:t>
      </w:r>
      <w:proofErr w:type="spellStart"/>
      <w:r>
        <w:t>Marmor</w:t>
      </w:r>
      <w:proofErr w:type="spellEnd"/>
      <w:r>
        <w:t>, David Harley</w:t>
      </w:r>
    </w:p>
    <w:p w14:paraId="3B440296" w14:textId="77777777" w:rsidR="00387584" w:rsidRDefault="00387584" w:rsidP="0079250B">
      <w:pPr>
        <w:pStyle w:val="Heading1"/>
        <w:divId w:val="31923996"/>
        <w:rPr>
          <w:rFonts w:eastAsia="Times New Roman"/>
        </w:rPr>
      </w:pPr>
      <w:r>
        <w:rPr>
          <w:rFonts w:eastAsia="Times New Roman"/>
        </w:rPr>
        <w:t>Abstract</w:t>
      </w:r>
    </w:p>
    <w:p w14:paraId="3B23FE5F" w14:textId="77777777" w:rsidR="00387584" w:rsidRDefault="00387584" w:rsidP="0079250B">
      <w:pPr>
        <w:divId w:val="31923996"/>
      </w:pPr>
      <w:r>
        <w:t xml:space="preserve">Australia’s Enhanced Invasive Pneumococcal Disease Surveillance Program is part of the National Notifiable Diseases Surveillance </w:t>
      </w:r>
      <w:proofErr w:type="gramStart"/>
      <w:r>
        <w:t>System, and</w:t>
      </w:r>
      <w:proofErr w:type="gramEnd"/>
      <w:r>
        <w:t xml:space="preserve"> is coordinated by the Enhanced Invasive Pneumococcal Disease Surveillance Working Group (EIPDSWG). This first evaluation of the surveillance program aimed to evaluate its performance against a number of attributes, identify ways in which surveillance may be improved, and make recommendations to the EIPDSWG. We conducted literature and document reviews; key informant interviews; an online stakeholder survey; and descriptive analyses of a subset of surveillance data. The program is </w:t>
      </w:r>
      <w:proofErr w:type="gramStart"/>
      <w:r>
        <w:t>complex, but</w:t>
      </w:r>
      <w:proofErr w:type="gramEnd"/>
      <w:r>
        <w:t xml:space="preserve"> has proved useful for detecting serotype replacement in response to the national infant vaccination program—informing a change to the recommended vaccine in 2011. The program is less useful for monitoring targeted programs in other high-risk groups, because complete data for cases aged between five and 50 years are not routinely collected in the largest jurisdictions and data collection is hampered by the absence of accessible electronic health records. Lack of support for reference laboratories for antimicrobial susceptibility testing, and data entry and transmission problems in some jurisdictions, have reduced the utility of the program for surveillance of antimicrobial resistance (AMR). Priority recommendations to the EIPDSWG focus on collecting complete data for all cases, to allow matching of serotypes to vaccines and surveillance of vaccine failures, while ensuring stakeholders can easily access useful surveillance data at the level of detail they require. Efforts should also be made to improve AMR data completeness, and to explore the feasibility of whole-genome sequencing methods for monitoring resistance.</w:t>
      </w:r>
    </w:p>
    <w:p w14:paraId="6EE26018" w14:textId="77777777" w:rsidR="00387584" w:rsidRDefault="00387584" w:rsidP="0079250B">
      <w:pPr>
        <w:divId w:val="31923996"/>
      </w:pPr>
      <w:r>
        <w:t>Keywords: Invasive Pneumococcal Disease, evaluation, disease surveillance</w:t>
      </w:r>
    </w:p>
    <w:p w14:paraId="7D8D73E6" w14:textId="77777777" w:rsidR="00387584" w:rsidRDefault="00387584" w:rsidP="00E504F5">
      <w:pPr>
        <w:pStyle w:val="Heading2"/>
        <w:divId w:val="31923996"/>
        <w:rPr>
          <w:rFonts w:eastAsia="Times New Roman"/>
        </w:rPr>
      </w:pPr>
      <w:r>
        <w:rPr>
          <w:rFonts w:eastAsia="Times New Roman"/>
        </w:rPr>
        <w:t>Introduction</w:t>
      </w:r>
    </w:p>
    <w:p w14:paraId="36A43012" w14:textId="77777777" w:rsidR="00387584" w:rsidRDefault="00387584" w:rsidP="00267CDD">
      <w:pPr>
        <w:divId w:val="31923996"/>
      </w:pPr>
      <w:r>
        <w:t xml:space="preserve">Invasive pneumococcal disease (IPD) is caused when the respiratory pathogen </w:t>
      </w:r>
      <w:r w:rsidRPr="00F428EE">
        <w:rPr>
          <w:rStyle w:val="Emphasis"/>
          <w:b w:val="0"/>
        </w:rPr>
        <w:t>Streptococcus pneumoniae</w:t>
      </w:r>
      <w:r>
        <w:t xml:space="preserve"> invades a normally sterile site.</w:t>
      </w:r>
      <w:r>
        <w:rPr>
          <w:vertAlign w:val="superscript"/>
        </w:rPr>
        <w:t>1</w:t>
      </w:r>
      <w:r>
        <w:t xml:space="preserve"> This gram-positive bacterium is transmitted person-to-person via respiratory droplets and colonises the nasopharynx of many children within the first year of life.</w:t>
      </w:r>
      <w:r>
        <w:rPr>
          <w:vertAlign w:val="superscript"/>
        </w:rPr>
        <w:t>2</w:t>
      </w:r>
      <w:r>
        <w:t xml:space="preserve"> Determinants of colonisation include overcrowding, childcare attendance, and exposure to tobacco smoke.</w:t>
      </w:r>
      <w:r>
        <w:rPr>
          <w:vertAlign w:val="superscript"/>
        </w:rPr>
        <w:t>3</w:t>
      </w:r>
      <w:r>
        <w:t xml:space="preserve"> The pathogen can cause non-invasive infections such as otitis media, sinusitis and non-bacteraemic pneumonia</w:t>
      </w:r>
      <w:r>
        <w:rPr>
          <w:vertAlign w:val="superscript"/>
        </w:rPr>
        <w:t>4</w:t>
      </w:r>
      <w:r>
        <w:t>, but in susceptible people may migrate to the bloodstream and other sterile sites, leading to invasive disease.</w:t>
      </w:r>
      <w:r>
        <w:rPr>
          <w:vertAlign w:val="superscript"/>
        </w:rPr>
        <w:t>5</w:t>
      </w:r>
      <w:r w:rsidR="00302136">
        <w:t xml:space="preserve"> T</w:t>
      </w:r>
      <w:r>
        <w:t>he most common types of IPD are bacteraemic pneumonia, bacteraemia without focus, and meningitis.</w:t>
      </w:r>
      <w:r>
        <w:rPr>
          <w:vertAlign w:val="superscript"/>
        </w:rPr>
        <w:t>6</w:t>
      </w:r>
      <w:r>
        <w:t xml:space="preserve"> Over 90 serotypes of </w:t>
      </w:r>
      <w:r w:rsidRPr="00F428EE">
        <w:rPr>
          <w:rStyle w:val="Emphasis"/>
          <w:b w:val="0"/>
        </w:rPr>
        <w:t>S. pneumoniae</w:t>
      </w:r>
      <w:r>
        <w:t xml:space="preserve"> have been identified, although not all serotypes cause disease, and some are more likely than others to be associated with IPD and poorer outcomes following infection.</w:t>
      </w:r>
      <w:r>
        <w:rPr>
          <w:vertAlign w:val="superscript"/>
        </w:rPr>
        <w:t>7</w:t>
      </w:r>
      <w:r>
        <w:t xml:space="preserve"> IPD cases tend to be sporadic and epidemics—occurring mainly in institutions</w:t>
      </w:r>
      <w:r>
        <w:rPr>
          <w:vertAlign w:val="superscript"/>
        </w:rPr>
        <w:t>8</w:t>
      </w:r>
      <w:r>
        <w:t xml:space="preserve"> and disadvantaged populations, including in Aboriginal and Torres Strait Islander communities</w:t>
      </w:r>
      <w:r>
        <w:rPr>
          <w:vertAlign w:val="superscript"/>
        </w:rPr>
        <w:t>9,10</w:t>
      </w:r>
      <w:r>
        <w:t>—are rare since the advent of antibiotics.</w:t>
      </w:r>
      <w:r>
        <w:rPr>
          <w:vertAlign w:val="superscript"/>
        </w:rPr>
        <w:t>8</w:t>
      </w:r>
    </w:p>
    <w:p w14:paraId="53D50392" w14:textId="77777777" w:rsidR="001C59FE" w:rsidRDefault="00387584" w:rsidP="00267CDD">
      <w:pPr>
        <w:divId w:val="31923996"/>
        <w:rPr>
          <w:vertAlign w:val="superscript"/>
        </w:rPr>
      </w:pPr>
      <w:r>
        <w:t>Invasive pneumococcal disease remains a disease of public health importance in Australia. It is relatively uncommon, with an incidence rate of 6.9 per 100</w:t>
      </w:r>
      <w:r w:rsidR="00783ECB">
        <w:t>,</w:t>
      </w:r>
      <w:r>
        <w:t>000 in 2016 and similar incidence in the previous four years.</w:t>
      </w:r>
      <w:r>
        <w:rPr>
          <w:vertAlign w:val="superscript"/>
        </w:rPr>
        <w:t>11</w:t>
      </w:r>
      <w:r>
        <w:t xml:space="preserve"> However, disease can be severe. The case fatality rate for invasive pneumococcal pneumonia is just under 20%</w:t>
      </w:r>
      <w:r>
        <w:rPr>
          <w:vertAlign w:val="superscript"/>
        </w:rPr>
        <w:t>12,13</w:t>
      </w:r>
      <w:r>
        <w:t>; for pneumococcal meningitis up to 37%</w:t>
      </w:r>
      <w:r>
        <w:rPr>
          <w:vertAlign w:val="superscript"/>
        </w:rPr>
        <w:t>14</w:t>
      </w:r>
      <w:r>
        <w:t>,and serious disabilities in meningitis survivors are common.</w:t>
      </w:r>
      <w:r w:rsidRPr="009D450F">
        <w:rPr>
          <w:vertAlign w:val="superscript"/>
        </w:rPr>
        <w:t>5,15</w:t>
      </w:r>
      <w:r>
        <w:rPr>
          <w:vertAlign w:val="superscript"/>
        </w:rPr>
        <w:t xml:space="preserve"> </w:t>
      </w:r>
      <w:r>
        <w:t>Despite the positive impact of targeted vaccination programs, significant disparities in the incidence of IPD persist, with relatively higher rates among those aged under five and over 65 years, and among Aboriginal and Torres Strait Islander people.</w:t>
      </w:r>
      <w:r>
        <w:rPr>
          <w:vertAlign w:val="superscript"/>
        </w:rPr>
        <w:t>11</w:t>
      </w:r>
      <w:r>
        <w:t xml:space="preserve"> Invasive disease is a relatively small proportion of pneumococcal illness; there are three cases of non-bacteraemic pneumonia for each case of invasive pneumonia notified</w:t>
      </w:r>
      <w:r w:rsidR="00596ACC">
        <w:t>.</w:t>
      </w:r>
      <w:r>
        <w:rPr>
          <w:vertAlign w:val="superscript"/>
        </w:rPr>
        <w:t>19</w:t>
      </w:r>
    </w:p>
    <w:p w14:paraId="2DF6DA7F" w14:textId="77777777" w:rsidR="00387584" w:rsidRDefault="00387584" w:rsidP="00267CDD">
      <w:pPr>
        <w:divId w:val="31923996"/>
      </w:pPr>
      <w:r>
        <w:lastRenderedPageBreak/>
        <w:t>Costs of pneumococcal vaccination and disease treatment are substantial</w:t>
      </w:r>
      <w:r w:rsidR="00596ACC">
        <w:t>.</w:t>
      </w:r>
      <w:r>
        <w:rPr>
          <w:vertAlign w:val="superscript"/>
        </w:rPr>
        <w:t>15-</w:t>
      </w:r>
      <w:r w:rsidR="00012401">
        <w:rPr>
          <w:vertAlign w:val="superscript"/>
        </w:rPr>
        <w:t>18</w:t>
      </w:r>
      <w:r w:rsidR="00012401">
        <w:t xml:space="preserve"> For</w:t>
      </w:r>
      <w:r>
        <w:t xml:space="preserve"> example, the estimated cost of treating pneumococcal pneumonia and invasive bacteraemia and meningitis in people aged 65 years and over was $56.9 million in </w:t>
      </w:r>
      <w:proofErr w:type="gramStart"/>
      <w:r>
        <w:t>2012.</w:t>
      </w:r>
      <w:r>
        <w:rPr>
          <w:vertAlign w:val="superscript"/>
        </w:rPr>
        <w:t>16</w:t>
      </w:r>
      <w:proofErr w:type="gramEnd"/>
    </w:p>
    <w:p w14:paraId="72290789" w14:textId="77777777" w:rsidR="00387584" w:rsidRDefault="00387584" w:rsidP="00267CDD">
      <w:pPr>
        <w:divId w:val="31923996"/>
      </w:pPr>
      <w:r>
        <w:t>Treatment costs for otitis media, the most common non-invasive pneumococcal disease in children</w:t>
      </w:r>
      <w:r>
        <w:rPr>
          <w:vertAlign w:val="superscript"/>
        </w:rPr>
        <w:t>19</w:t>
      </w:r>
      <w:r w:rsidR="00D24AEF">
        <w:t>, were</w:t>
      </w:r>
      <w:r>
        <w:t xml:space="preserve"> estimated to be between $100 million and $400 million in 2008.</w:t>
      </w:r>
      <w:r>
        <w:rPr>
          <w:vertAlign w:val="superscript"/>
        </w:rPr>
        <w:t>20</w:t>
      </w:r>
      <w:r>
        <w:t xml:space="preserve"> Therefore, it is vital that enhanced surveillance of IPD continues in order to detect changes in serotype and resistance profiles, and to monitor and inform vaccination and treatment strategies.</w:t>
      </w:r>
    </w:p>
    <w:p w14:paraId="2B1304F6" w14:textId="77777777" w:rsidR="00387584" w:rsidRDefault="00387584" w:rsidP="00267CDD">
      <w:pPr>
        <w:divId w:val="31923996"/>
      </w:pPr>
      <w:r>
        <w:t>Invasive pneumococcal disease has been a notifiable condition nationally since 2001, and enhanced passive surveillance is conducted in all jurisdictions.</w:t>
      </w:r>
      <w:r>
        <w:rPr>
          <w:vertAlign w:val="superscript"/>
        </w:rPr>
        <w:t xml:space="preserve">21 </w:t>
      </w:r>
      <w:r>
        <w:t>This surveillance is a part of the National Notifiable Diseases Surveillance System (NNDSS) and is coordinated by the Enhanced Invasive Pneumococcal Disease Surveillance Working Group (EIPDSWG), a subcommittee of the Communicable Diseases Network Australia (CDNA).Although the NNDSS as a whole was evaluated in 2004,</w:t>
      </w:r>
      <w:r>
        <w:rPr>
          <w:vertAlign w:val="superscript"/>
        </w:rPr>
        <w:t>22</w:t>
      </w:r>
      <w:r>
        <w:t xml:space="preserve"> an evaluation focused on the IPD Surveillance Program has not been conducted. The purpose of this evaluation is to:</w:t>
      </w:r>
    </w:p>
    <w:p w14:paraId="13B22451" w14:textId="77777777" w:rsidR="00387584" w:rsidRPr="00267CDD" w:rsidRDefault="00387584" w:rsidP="00267CDD">
      <w:pPr>
        <w:pStyle w:val="ListParagraph"/>
        <w:numPr>
          <w:ilvl w:val="0"/>
          <w:numId w:val="17"/>
        </w:numPr>
        <w:divId w:val="31923996"/>
        <w:rPr>
          <w:rFonts w:eastAsia="Times New Roman"/>
        </w:rPr>
      </w:pPr>
      <w:r w:rsidRPr="00267CDD">
        <w:rPr>
          <w:rFonts w:eastAsia="Times New Roman"/>
        </w:rPr>
        <w:t xml:space="preserve">assess the performance of the </w:t>
      </w:r>
      <w:proofErr w:type="gramStart"/>
      <w:r w:rsidRPr="00267CDD">
        <w:rPr>
          <w:rFonts w:eastAsia="Times New Roman"/>
        </w:rPr>
        <w:t>program;</w:t>
      </w:r>
      <w:proofErr w:type="gramEnd"/>
    </w:p>
    <w:p w14:paraId="3427EDD3" w14:textId="77777777" w:rsidR="00387584" w:rsidRPr="00267CDD" w:rsidRDefault="00387584" w:rsidP="00267CDD">
      <w:pPr>
        <w:pStyle w:val="ListParagraph"/>
        <w:numPr>
          <w:ilvl w:val="0"/>
          <w:numId w:val="17"/>
        </w:numPr>
        <w:divId w:val="31923996"/>
        <w:rPr>
          <w:rFonts w:eastAsia="Times New Roman"/>
        </w:rPr>
      </w:pPr>
      <w:r w:rsidRPr="00267CDD">
        <w:rPr>
          <w:rFonts w:eastAsia="Times New Roman"/>
        </w:rPr>
        <w:t>identify ways in which surveillance may be improved; and</w:t>
      </w:r>
    </w:p>
    <w:p w14:paraId="7ADB8C8B" w14:textId="77777777" w:rsidR="00387584" w:rsidRPr="00267CDD" w:rsidRDefault="00387584" w:rsidP="00267CDD">
      <w:pPr>
        <w:pStyle w:val="ListParagraph"/>
        <w:numPr>
          <w:ilvl w:val="0"/>
          <w:numId w:val="17"/>
        </w:numPr>
        <w:divId w:val="31923996"/>
        <w:rPr>
          <w:rFonts w:eastAsia="Times New Roman"/>
        </w:rPr>
      </w:pPr>
      <w:r w:rsidRPr="00267CDD">
        <w:rPr>
          <w:rFonts w:eastAsia="Times New Roman"/>
        </w:rPr>
        <w:t>make recommendations to the EIPDSWG.</w:t>
      </w:r>
    </w:p>
    <w:p w14:paraId="53ABA8FB" w14:textId="77777777" w:rsidR="00387584" w:rsidRDefault="00387584" w:rsidP="00E504F5">
      <w:pPr>
        <w:pStyle w:val="Heading2"/>
        <w:divId w:val="31923996"/>
        <w:rPr>
          <w:rFonts w:eastAsia="Times New Roman"/>
        </w:rPr>
      </w:pPr>
      <w:r>
        <w:rPr>
          <w:rFonts w:eastAsia="Times New Roman"/>
        </w:rPr>
        <w:t>Methods</w:t>
      </w:r>
    </w:p>
    <w:p w14:paraId="7B7E8204" w14:textId="77777777" w:rsidR="00EE1EC7" w:rsidRDefault="00387584" w:rsidP="00C85D3C">
      <w:pPr>
        <w:divId w:val="31923996"/>
      </w:pPr>
      <w:r w:rsidRPr="00C85D3C">
        <w:t>We</w:t>
      </w:r>
      <w:r>
        <w:t xml:space="preserve"> followed the framework outlined in the </w:t>
      </w:r>
      <w:proofErr w:type="spellStart"/>
      <w:r>
        <w:t>Centers</w:t>
      </w:r>
      <w:proofErr w:type="spellEnd"/>
      <w:r>
        <w:t xml:space="preserve"> for Disease Control and Prevention (CDC) </w:t>
      </w:r>
      <w:r w:rsidRPr="00F428EE">
        <w:rPr>
          <w:rStyle w:val="Emphasis"/>
          <w:b w:val="0"/>
        </w:rPr>
        <w:t>Updated Guidelines for Evaluating Public Health Surveillance Systems</w:t>
      </w:r>
      <w:r>
        <w:t>.</w:t>
      </w:r>
      <w:r>
        <w:rPr>
          <w:vertAlign w:val="superscript"/>
        </w:rPr>
        <w:t>23</w:t>
      </w:r>
      <w:r w:rsidR="009601E6">
        <w:t xml:space="preserve"> W</w:t>
      </w:r>
      <w:r>
        <w:t xml:space="preserve">e described the program’s operation and collected evidence regarding usefulness and performance against a number of attributes (Box 1). We used literature and document reviews, key informant interviews, and descriptive analyses of surveillance data for cases notified between 1 July 2013 and 30 June 2016. We emailed a link to an anonymous online survey to individuals and groups identified as surveillance stakeholders (Table 1). Stakeholders were asked to assess the usefulness and performance of the program, to rate and describe their experience of notifying cases or using surveillance data (if applicable), and to make suggestions for </w:t>
      </w:r>
      <w:r w:rsidR="00CE3AD3">
        <w:t>improvement. Respondents</w:t>
      </w:r>
      <w:r>
        <w:t xml:space="preserve"> indicated their informed consent in the online survey. The stakeholder survey and surveillance data analysis were reviewed and approved by the Australian National University Human Research Ethics Committee. An interim summary of the findings and recommendations was presented to the EIPDSWG for correction and comment.</w:t>
      </w:r>
    </w:p>
    <w:p w14:paraId="3F4ED5AE" w14:textId="77777777" w:rsidR="00EE1EC7" w:rsidRDefault="00EE1EC7" w:rsidP="00EE1EC7">
      <w:r>
        <w:br w:type="page"/>
      </w:r>
    </w:p>
    <w:p w14:paraId="4E68425C" w14:textId="77777777" w:rsidR="00BC6E86" w:rsidRDefault="00BC6E86" w:rsidP="00C85D3C">
      <w:pPr>
        <w:divId w:val="31923996"/>
      </w:pPr>
    </w:p>
    <w:p w14:paraId="10C6AE93" w14:textId="77777777" w:rsidR="00387584" w:rsidRDefault="00387584" w:rsidP="00C85D3C">
      <w:pPr>
        <w:pStyle w:val="CDIFigures"/>
        <w:divId w:val="31923996"/>
      </w:pPr>
      <w:r>
        <w:t>Box 1 Surveillance system attributes defined in the CDC guidelines.</w:t>
      </w:r>
      <w:r>
        <w:rPr>
          <w:vertAlign w:val="superscript"/>
        </w:rPr>
        <w:t>23</w:t>
      </w:r>
    </w:p>
    <w:p w14:paraId="3123E723"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Usefulness</w:t>
      </w:r>
      <w:r w:rsidRPr="00C85D3C">
        <w:rPr>
          <w:rFonts w:eastAsia="Times New Roman"/>
        </w:rPr>
        <w:t>: contribution to prevention and control of IPD</w:t>
      </w:r>
    </w:p>
    <w:p w14:paraId="49670A39"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Simplicity</w:t>
      </w:r>
      <w:r w:rsidRPr="00C85D3C">
        <w:rPr>
          <w:rFonts w:eastAsia="Times New Roman"/>
        </w:rPr>
        <w:t>: simplicity of structure and ease of operation</w:t>
      </w:r>
    </w:p>
    <w:p w14:paraId="110004C0"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Data Completeness &amp; Quality</w:t>
      </w:r>
      <w:r w:rsidRPr="00C85D3C">
        <w:rPr>
          <w:rFonts w:eastAsia="Times New Roman"/>
        </w:rPr>
        <w:t xml:space="preserve">: the completeness and validity of the data </w:t>
      </w:r>
      <w:proofErr w:type="gramStart"/>
      <w:r w:rsidRPr="00C85D3C">
        <w:rPr>
          <w:rFonts w:eastAsia="Times New Roman"/>
        </w:rPr>
        <w:t>collected</w:t>
      </w:r>
      <w:proofErr w:type="gramEnd"/>
    </w:p>
    <w:p w14:paraId="48C2FDA3"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Flexibility</w:t>
      </w:r>
      <w:r w:rsidRPr="00C85D3C">
        <w:rPr>
          <w:rFonts w:eastAsia="Times New Roman"/>
        </w:rPr>
        <w:t>: ability to adapt to changing information needs or operating conditions</w:t>
      </w:r>
    </w:p>
    <w:p w14:paraId="7B891F6B"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Acceptability</w:t>
      </w:r>
      <w:r w:rsidRPr="00C85D3C">
        <w:rPr>
          <w:rFonts w:eastAsia="Times New Roman"/>
        </w:rPr>
        <w:t>: willingness of persons and organisations to participate in the surveillance system</w:t>
      </w:r>
    </w:p>
    <w:p w14:paraId="56873778"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Sensitivity</w:t>
      </w:r>
      <w:r w:rsidRPr="00C85D3C">
        <w:rPr>
          <w:rFonts w:eastAsia="Times New Roman"/>
        </w:rPr>
        <w:t>: proportion of incident cases detected and the ability of the system to detect outbreaks</w:t>
      </w:r>
    </w:p>
    <w:p w14:paraId="1C67CA24"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Positive Predictive Value</w:t>
      </w:r>
      <w:r w:rsidRPr="00C85D3C">
        <w:rPr>
          <w:rFonts w:eastAsia="Times New Roman"/>
        </w:rPr>
        <w:t xml:space="preserve">: proportion of notified cases that truly have </w:t>
      </w:r>
      <w:proofErr w:type="gramStart"/>
      <w:r w:rsidRPr="00C85D3C">
        <w:rPr>
          <w:rFonts w:eastAsia="Times New Roman"/>
        </w:rPr>
        <w:t>IPD</w:t>
      </w:r>
      <w:proofErr w:type="gramEnd"/>
    </w:p>
    <w:p w14:paraId="54C28EDC"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Representativeness</w:t>
      </w:r>
      <w:r w:rsidRPr="00C85D3C">
        <w:rPr>
          <w:rFonts w:eastAsia="Times New Roman"/>
        </w:rPr>
        <w:t>: ability to accurately describe the occurrence of IPD over time and its distribution in the population by place and person</w:t>
      </w:r>
    </w:p>
    <w:p w14:paraId="46EF6836"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Timeliness</w:t>
      </w:r>
      <w:r w:rsidRPr="00C85D3C">
        <w:rPr>
          <w:rFonts w:eastAsia="Times New Roman"/>
        </w:rPr>
        <w:t>: time between steps in the system, production of useful data and timeliness for public health intervention</w:t>
      </w:r>
    </w:p>
    <w:p w14:paraId="697DB4BC" w14:textId="77777777" w:rsidR="00387584" w:rsidRPr="00C85D3C" w:rsidRDefault="00387584" w:rsidP="001F3456">
      <w:pPr>
        <w:pStyle w:val="ListParagraph"/>
        <w:numPr>
          <w:ilvl w:val="0"/>
          <w:numId w:val="18"/>
        </w:numPr>
        <w:pBdr>
          <w:top w:val="single" w:sz="2" w:space="12" w:color="808080" w:themeColor="background1" w:themeShade="80"/>
          <w:left w:val="single" w:sz="2" w:space="12" w:color="808080" w:themeColor="background1" w:themeShade="80"/>
          <w:bottom w:val="single" w:sz="2" w:space="12" w:color="808080" w:themeColor="background1" w:themeShade="80"/>
          <w:right w:val="single" w:sz="2" w:space="12" w:color="808080" w:themeColor="background1" w:themeShade="80"/>
        </w:pBdr>
        <w:shd w:val="clear" w:color="auto" w:fill="FFFFE1"/>
        <w:divId w:val="31923996"/>
        <w:rPr>
          <w:rFonts w:eastAsia="Times New Roman"/>
        </w:rPr>
      </w:pPr>
      <w:r w:rsidRPr="00C85D3C">
        <w:rPr>
          <w:rStyle w:val="Strong"/>
          <w:rFonts w:eastAsia="Times New Roman"/>
        </w:rPr>
        <w:t xml:space="preserve">Stability: </w:t>
      </w:r>
      <w:r w:rsidRPr="00C85D3C">
        <w:rPr>
          <w:rFonts w:eastAsia="Times New Roman"/>
        </w:rPr>
        <w:t>ability to collect, manage and provide data properly without failure; and the ability to be operational when it is needed</w:t>
      </w:r>
    </w:p>
    <w:p w14:paraId="168B7753" w14:textId="77777777" w:rsidR="00387584" w:rsidRDefault="00387584" w:rsidP="00C85D3C">
      <w:pPr>
        <w:pStyle w:val="CDIFigures"/>
        <w:divId w:val="31923996"/>
      </w:pPr>
      <w:r>
        <w:t>Table 1 Stakeholder groups and their interest in the IPD surveillance program.</w:t>
      </w:r>
    </w:p>
    <w:tbl>
      <w:tblPr>
        <w:tblStyle w:val="CDI-StandardTable"/>
        <w:tblW w:w="0" w:type="auto"/>
        <w:tblLook w:val="04A0" w:firstRow="1" w:lastRow="0" w:firstColumn="1" w:lastColumn="0" w:noHBand="0" w:noVBand="1"/>
        <w:tblCaption w:val="Table 1 Stakeholder groups and their interest in the IPD surveillance program."/>
        <w:tblDescription w:val="Table 1 lists the groups identified as stakeholders that were targeted for the online survey.  Each group’s interest in IPD surveillance is also listed. "/>
      </w:tblPr>
      <w:tblGrid>
        <w:gridCol w:w="4467"/>
        <w:gridCol w:w="6239"/>
      </w:tblGrid>
      <w:tr w:rsidR="00D24AEF" w:rsidRPr="00D24AEF" w14:paraId="1521CA0C" w14:textId="77777777" w:rsidTr="006B122D">
        <w:trPr>
          <w:cnfStyle w:val="100000000000" w:firstRow="1" w:lastRow="0" w:firstColumn="0" w:lastColumn="0" w:oddVBand="0" w:evenVBand="0" w:oddHBand="0" w:evenHBand="0" w:firstRowFirstColumn="0" w:firstRowLastColumn="0" w:lastRowFirstColumn="0" w:lastRowLastColumn="0"/>
          <w:divId w:val="31923996"/>
          <w:tblHeader/>
        </w:trPr>
        <w:tc>
          <w:tcPr>
            <w:tcW w:w="0" w:type="auto"/>
            <w:tcMar>
              <w:top w:w="142" w:type="dxa"/>
              <w:bottom w:w="142" w:type="dxa"/>
            </w:tcMar>
            <w:hideMark/>
          </w:tcPr>
          <w:p w14:paraId="7F6D7B9F" w14:textId="77777777" w:rsidR="00387584" w:rsidRPr="00D24AEF" w:rsidRDefault="00387584" w:rsidP="00D24AEF">
            <w:pPr>
              <w:pStyle w:val="NormalWeb"/>
              <w:rPr>
                <w:bCs/>
                <w:color w:val="FFFFFF" w:themeColor="background1"/>
              </w:rPr>
            </w:pPr>
            <w:r w:rsidRPr="00D24AEF">
              <w:rPr>
                <w:bCs/>
                <w:color w:val="FFFFFF" w:themeColor="background1"/>
              </w:rPr>
              <w:t>Stakeholder Group</w:t>
            </w:r>
          </w:p>
        </w:tc>
        <w:tc>
          <w:tcPr>
            <w:tcW w:w="0" w:type="auto"/>
            <w:tcMar>
              <w:top w:w="142" w:type="dxa"/>
              <w:bottom w:w="142" w:type="dxa"/>
            </w:tcMar>
            <w:hideMark/>
          </w:tcPr>
          <w:p w14:paraId="262C861D" w14:textId="77777777" w:rsidR="00387584" w:rsidRPr="00D24AEF" w:rsidRDefault="00387584" w:rsidP="00D24AEF">
            <w:pPr>
              <w:pStyle w:val="NormalWeb"/>
              <w:rPr>
                <w:bCs/>
                <w:color w:val="FFFFFF" w:themeColor="background1"/>
              </w:rPr>
            </w:pPr>
            <w:r w:rsidRPr="00D24AEF">
              <w:rPr>
                <w:bCs/>
                <w:color w:val="FFFFFF" w:themeColor="background1"/>
              </w:rPr>
              <w:t>Interest in the IPD Surveillance Program</w:t>
            </w:r>
          </w:p>
        </w:tc>
      </w:tr>
      <w:tr w:rsidR="00387584" w14:paraId="4F6C410D" w14:textId="77777777" w:rsidTr="006B122D">
        <w:tblPrEx>
          <w:tblCellMar>
            <w:top w:w="0" w:type="dxa"/>
            <w:left w:w="108" w:type="dxa"/>
            <w:bottom w:w="0" w:type="dxa"/>
            <w:right w:w="108" w:type="dxa"/>
          </w:tblCellMar>
        </w:tblPrEx>
        <w:trPr>
          <w:divId w:val="31923996"/>
        </w:trPr>
        <w:tc>
          <w:tcPr>
            <w:tcW w:w="0" w:type="auto"/>
            <w:tcMar>
              <w:top w:w="142" w:type="dxa"/>
              <w:bottom w:w="142" w:type="dxa"/>
            </w:tcMar>
            <w:hideMark/>
          </w:tcPr>
          <w:p w14:paraId="4C50FB16" w14:textId="77777777" w:rsidR="00387584" w:rsidRDefault="00387584">
            <w:pPr>
              <w:pStyle w:val="NormalWeb"/>
            </w:pPr>
            <w:r>
              <w:t>Australian Technical Advisory Group on Immunisation (ATAGI)</w:t>
            </w:r>
          </w:p>
        </w:tc>
        <w:tc>
          <w:tcPr>
            <w:tcW w:w="0" w:type="auto"/>
            <w:tcMar>
              <w:top w:w="142" w:type="dxa"/>
              <w:bottom w:w="142" w:type="dxa"/>
            </w:tcMar>
            <w:hideMark/>
          </w:tcPr>
          <w:p w14:paraId="59BD54D4" w14:textId="77777777" w:rsidR="00387584" w:rsidRDefault="00387584" w:rsidP="000B0B20">
            <w:pPr>
              <w:pStyle w:val="NormalWeb"/>
            </w:pPr>
            <w:r>
              <w:t xml:space="preserve">Advises the Minister for Health on vaccines and advises the Pharmaceutical Benefits Advisory Committee on the strength of evidence for existing, </w:t>
            </w:r>
            <w:proofErr w:type="gramStart"/>
            <w:r>
              <w:t>new</w:t>
            </w:r>
            <w:proofErr w:type="gramEnd"/>
            <w:r>
              <w:t xml:space="preserve"> and emerging vaccines</w:t>
            </w:r>
            <w:r>
              <w:rPr>
                <w:vertAlign w:val="superscript"/>
              </w:rPr>
              <w:t>24</w:t>
            </w:r>
          </w:p>
        </w:tc>
      </w:tr>
      <w:tr w:rsidR="00387584" w14:paraId="0E284399" w14:textId="77777777" w:rsidTr="006B122D">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tcMar>
              <w:top w:w="142" w:type="dxa"/>
              <w:bottom w:w="142" w:type="dxa"/>
            </w:tcMar>
            <w:hideMark/>
          </w:tcPr>
          <w:p w14:paraId="0708691E" w14:textId="77777777" w:rsidR="00387584" w:rsidRDefault="00387584">
            <w:pPr>
              <w:pStyle w:val="NormalWeb"/>
            </w:pPr>
            <w:r>
              <w:t>Pneumococcal vaccine manufacturers (Pfizer, Seqirus, GlaxoSmithKline)</w:t>
            </w:r>
          </w:p>
        </w:tc>
        <w:tc>
          <w:tcPr>
            <w:tcW w:w="0" w:type="auto"/>
            <w:tcMar>
              <w:top w:w="142" w:type="dxa"/>
              <w:bottom w:w="142" w:type="dxa"/>
            </w:tcMar>
            <w:hideMark/>
          </w:tcPr>
          <w:p w14:paraId="68B54BC2" w14:textId="77777777" w:rsidR="00387584" w:rsidRDefault="00387584">
            <w:pPr>
              <w:pStyle w:val="NormalWeb"/>
            </w:pPr>
            <w:r>
              <w:t>Use serotype data to monitor vaccine failure and develop new multivalent vaccines for the Australian market</w:t>
            </w:r>
          </w:p>
        </w:tc>
      </w:tr>
      <w:tr w:rsidR="00387584" w14:paraId="2B25DDE1" w14:textId="77777777" w:rsidTr="006B122D">
        <w:tblPrEx>
          <w:tblCellMar>
            <w:top w:w="0" w:type="dxa"/>
            <w:left w:w="108" w:type="dxa"/>
            <w:bottom w:w="0" w:type="dxa"/>
            <w:right w:w="108" w:type="dxa"/>
          </w:tblCellMar>
        </w:tblPrEx>
        <w:trPr>
          <w:divId w:val="31923996"/>
        </w:trPr>
        <w:tc>
          <w:tcPr>
            <w:tcW w:w="0" w:type="auto"/>
            <w:tcMar>
              <w:top w:w="142" w:type="dxa"/>
              <w:bottom w:w="142" w:type="dxa"/>
            </w:tcMar>
            <w:hideMark/>
          </w:tcPr>
          <w:p w14:paraId="39B5EA32" w14:textId="77777777" w:rsidR="00387584" w:rsidRDefault="00387584">
            <w:pPr>
              <w:pStyle w:val="NormalWeb"/>
            </w:pPr>
            <w:r>
              <w:t>Antimicrobial Resistance (AMR) Coordination Unit, Australian Commission on Safety and Quality in Health Care</w:t>
            </w:r>
          </w:p>
        </w:tc>
        <w:tc>
          <w:tcPr>
            <w:tcW w:w="0" w:type="auto"/>
            <w:tcMar>
              <w:top w:w="142" w:type="dxa"/>
              <w:bottom w:w="142" w:type="dxa"/>
            </w:tcMar>
            <w:hideMark/>
          </w:tcPr>
          <w:p w14:paraId="12E6610D" w14:textId="77777777" w:rsidR="00387584" w:rsidRDefault="00387584" w:rsidP="00874C16">
            <w:pPr>
              <w:pStyle w:val="NormalWeb"/>
            </w:pPr>
            <w:r>
              <w:t>Undertaking the Antimicrobial Use and Resistance in Australia (AURA) Project (development of an antimicrobial resistance surveillance system)</w:t>
            </w:r>
            <w:r>
              <w:rPr>
                <w:vertAlign w:val="superscript"/>
              </w:rPr>
              <w:t>25</w:t>
            </w:r>
          </w:p>
        </w:tc>
      </w:tr>
      <w:tr w:rsidR="00387584" w14:paraId="04494534" w14:textId="77777777" w:rsidTr="006B122D">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tcMar>
              <w:top w:w="142" w:type="dxa"/>
              <w:bottom w:w="142" w:type="dxa"/>
            </w:tcMar>
            <w:hideMark/>
          </w:tcPr>
          <w:p w14:paraId="66BDD661" w14:textId="77777777" w:rsidR="00387584" w:rsidRDefault="00387584">
            <w:pPr>
              <w:pStyle w:val="NormalWeb"/>
            </w:pPr>
            <w:r>
              <w:t xml:space="preserve">Infectious Diseases Physicians, </w:t>
            </w:r>
            <w:proofErr w:type="gramStart"/>
            <w:r>
              <w:t>Paediatricians</w:t>
            </w:r>
            <w:proofErr w:type="gramEnd"/>
            <w:r>
              <w:t xml:space="preserve"> and other medical officers</w:t>
            </w:r>
          </w:p>
        </w:tc>
        <w:tc>
          <w:tcPr>
            <w:tcW w:w="0" w:type="auto"/>
            <w:tcMar>
              <w:top w:w="142" w:type="dxa"/>
              <w:bottom w:w="142" w:type="dxa"/>
            </w:tcMar>
            <w:hideMark/>
          </w:tcPr>
          <w:p w14:paraId="1BD638AF" w14:textId="77777777" w:rsidR="00387584" w:rsidRDefault="00387584">
            <w:pPr>
              <w:pStyle w:val="NormalWeb"/>
            </w:pPr>
            <w:r>
              <w:t>Make diagnoses of IPD and may notify; may use antimicrobial resistance data to guide treatment decisions</w:t>
            </w:r>
          </w:p>
        </w:tc>
      </w:tr>
      <w:tr w:rsidR="00387584" w14:paraId="35DD5D43" w14:textId="77777777" w:rsidTr="006B122D">
        <w:tblPrEx>
          <w:tblCellMar>
            <w:top w:w="0" w:type="dxa"/>
            <w:left w:w="108" w:type="dxa"/>
            <w:bottom w:w="0" w:type="dxa"/>
            <w:right w:w="108" w:type="dxa"/>
          </w:tblCellMar>
        </w:tblPrEx>
        <w:trPr>
          <w:divId w:val="31923996"/>
        </w:trPr>
        <w:tc>
          <w:tcPr>
            <w:tcW w:w="0" w:type="auto"/>
            <w:tcMar>
              <w:top w:w="142" w:type="dxa"/>
              <w:bottom w:w="142" w:type="dxa"/>
            </w:tcMar>
            <w:hideMark/>
          </w:tcPr>
          <w:p w14:paraId="09F09524" w14:textId="77777777" w:rsidR="00387584" w:rsidRDefault="00387584">
            <w:pPr>
              <w:pStyle w:val="NormalWeb"/>
            </w:pPr>
            <w:r>
              <w:t xml:space="preserve">Commonwealth, </w:t>
            </w:r>
            <w:proofErr w:type="gramStart"/>
            <w:r>
              <w:t>state</w:t>
            </w:r>
            <w:proofErr w:type="gramEnd"/>
            <w:r>
              <w:t xml:space="preserve"> and territory health departments</w:t>
            </w:r>
          </w:p>
        </w:tc>
        <w:tc>
          <w:tcPr>
            <w:tcW w:w="0" w:type="auto"/>
            <w:tcMar>
              <w:top w:w="142" w:type="dxa"/>
              <w:bottom w:w="142" w:type="dxa"/>
            </w:tcMar>
            <w:hideMark/>
          </w:tcPr>
          <w:p w14:paraId="6D9630DC" w14:textId="77777777" w:rsidR="00387584" w:rsidRDefault="00387584">
            <w:pPr>
              <w:pStyle w:val="NormalWeb"/>
            </w:pPr>
            <w:r>
              <w:t>Conduct surveillance and responsible for vaccination policy and programs</w:t>
            </w:r>
          </w:p>
        </w:tc>
      </w:tr>
      <w:tr w:rsidR="00387584" w14:paraId="2D8CAA9B" w14:textId="77777777" w:rsidTr="006B122D">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tcMar>
              <w:top w:w="142" w:type="dxa"/>
              <w:bottom w:w="142" w:type="dxa"/>
            </w:tcMar>
            <w:hideMark/>
          </w:tcPr>
          <w:p w14:paraId="084F9834" w14:textId="77777777" w:rsidR="00387584" w:rsidRDefault="00387584">
            <w:pPr>
              <w:pStyle w:val="NormalWeb"/>
            </w:pPr>
            <w:r>
              <w:t>Public and private laboratories</w:t>
            </w:r>
          </w:p>
        </w:tc>
        <w:tc>
          <w:tcPr>
            <w:tcW w:w="0" w:type="auto"/>
            <w:tcMar>
              <w:top w:w="142" w:type="dxa"/>
              <w:bottom w:w="142" w:type="dxa"/>
            </w:tcMar>
            <w:hideMark/>
          </w:tcPr>
          <w:p w14:paraId="708EB397" w14:textId="77777777" w:rsidR="00387584" w:rsidRDefault="00387584">
            <w:pPr>
              <w:pStyle w:val="NormalWeb"/>
            </w:pPr>
            <w:r>
              <w:t>Notify IPD cases</w:t>
            </w:r>
          </w:p>
        </w:tc>
      </w:tr>
      <w:tr w:rsidR="00387584" w14:paraId="33FE4CAE" w14:textId="77777777" w:rsidTr="006B122D">
        <w:tblPrEx>
          <w:tblCellMar>
            <w:top w:w="0" w:type="dxa"/>
            <w:left w:w="108" w:type="dxa"/>
            <w:bottom w:w="0" w:type="dxa"/>
            <w:right w:w="108" w:type="dxa"/>
          </w:tblCellMar>
        </w:tblPrEx>
        <w:trPr>
          <w:divId w:val="31923996"/>
        </w:trPr>
        <w:tc>
          <w:tcPr>
            <w:tcW w:w="0" w:type="auto"/>
            <w:tcMar>
              <w:top w:w="142" w:type="dxa"/>
              <w:bottom w:w="142" w:type="dxa"/>
            </w:tcMar>
            <w:hideMark/>
          </w:tcPr>
          <w:p w14:paraId="0879D4CD" w14:textId="77777777" w:rsidR="00387584" w:rsidRDefault="00387584">
            <w:pPr>
              <w:pStyle w:val="NormalWeb"/>
            </w:pPr>
            <w:r>
              <w:t>Researchers and academics active in field of pneumococcal disease</w:t>
            </w:r>
          </w:p>
        </w:tc>
        <w:tc>
          <w:tcPr>
            <w:tcW w:w="0" w:type="auto"/>
            <w:tcMar>
              <w:top w:w="142" w:type="dxa"/>
              <w:bottom w:w="142" w:type="dxa"/>
            </w:tcMar>
            <w:hideMark/>
          </w:tcPr>
          <w:p w14:paraId="44E583CE" w14:textId="77777777" w:rsidR="00387584" w:rsidRDefault="00387584">
            <w:pPr>
              <w:pStyle w:val="NormalWeb"/>
            </w:pPr>
            <w:r>
              <w:t>Use data to explore changes in pneumococcal disease epidemiology and vaccine effectiveness</w:t>
            </w:r>
          </w:p>
        </w:tc>
      </w:tr>
    </w:tbl>
    <w:p w14:paraId="3DD076B1" w14:textId="77777777" w:rsidR="006B122D" w:rsidRDefault="006B122D" w:rsidP="006B122D">
      <w:pPr>
        <w:rPr>
          <w:rFonts w:asciiTheme="majorHAnsi" w:eastAsiaTheme="majorEastAsia" w:hAnsiTheme="majorHAnsi" w:cstheme="majorBidi"/>
          <w:sz w:val="26"/>
          <w:szCs w:val="26"/>
        </w:rPr>
      </w:pPr>
      <w:r>
        <w:br w:type="page"/>
      </w:r>
    </w:p>
    <w:p w14:paraId="01664915" w14:textId="77777777" w:rsidR="00387584" w:rsidRPr="003B0701" w:rsidRDefault="00387584" w:rsidP="00E504F5">
      <w:pPr>
        <w:pStyle w:val="Heading2"/>
        <w:divId w:val="31923996"/>
      </w:pPr>
      <w:r w:rsidRPr="003B0701">
        <w:lastRenderedPageBreak/>
        <w:t>Results</w:t>
      </w:r>
    </w:p>
    <w:p w14:paraId="4C0E69DE" w14:textId="77777777" w:rsidR="00387584" w:rsidRDefault="00387584" w:rsidP="003B0701">
      <w:pPr>
        <w:divId w:val="31923996"/>
      </w:pPr>
      <w:r>
        <w:t>Twenty interviews were conducted with EIPDSWG members and data managers from the Australian Government Department of Health. All jurisdictions and reference laboratories were represented. On average, members had over seven years of experience on the Working Group, and six were founder members. There were 28 responses to the stakeholder survey. Most respondents were academic researchers, or from diagnostic laboratories or vaccine companies (Table 2). None of the respondents indicated an affiliation with the Australian Technical Advisory Group on Immunisation (ATAGI) or the Antimicrobial Resistance (AMR) Coordination Unit.</w:t>
      </w:r>
    </w:p>
    <w:p w14:paraId="60004F2D" w14:textId="77777777" w:rsidR="00387584" w:rsidRDefault="00387584" w:rsidP="003B0701">
      <w:pPr>
        <w:pStyle w:val="CDIFigures"/>
        <w:divId w:val="31923996"/>
      </w:pPr>
      <w:r>
        <w:t>Table 2 Affiliation of stakeholder survey respondents.</w:t>
      </w:r>
    </w:p>
    <w:tbl>
      <w:tblPr>
        <w:tblStyle w:val="CDI-StandardTable"/>
        <w:tblW w:w="0" w:type="auto"/>
        <w:tblLook w:val="04A0" w:firstRow="1" w:lastRow="0" w:firstColumn="1" w:lastColumn="0" w:noHBand="0" w:noVBand="1"/>
        <w:tblCaption w:val="Table 2 Affiliation of stakeholder survey respondents."/>
        <w:tblDescription w:val="Table 2 summarises the affiliations of respondents to the online stakeholder survey, in terms of numbers and percentage of respondents in each category.  Most respondents were researchers/academics, or from public or private diagnostic laboratories"/>
      </w:tblPr>
      <w:tblGrid>
        <w:gridCol w:w="8909"/>
        <w:gridCol w:w="1797"/>
      </w:tblGrid>
      <w:tr w:rsidR="003A7D30" w:rsidRPr="003A7D30" w14:paraId="51855DF2" w14:textId="77777777" w:rsidTr="00487860">
        <w:trPr>
          <w:cnfStyle w:val="100000000000" w:firstRow="1" w:lastRow="0" w:firstColumn="0" w:lastColumn="0" w:oddVBand="0" w:evenVBand="0" w:oddHBand="0" w:evenHBand="0" w:firstRowFirstColumn="0" w:firstRowLastColumn="0" w:lastRowFirstColumn="0" w:lastRowLastColumn="0"/>
          <w:divId w:val="31923996"/>
          <w:tblHeader/>
        </w:trPr>
        <w:tc>
          <w:tcPr>
            <w:tcW w:w="8909" w:type="dxa"/>
            <w:vAlign w:val="center"/>
            <w:hideMark/>
          </w:tcPr>
          <w:p w14:paraId="06EA5B60" w14:textId="77777777" w:rsidR="00387584" w:rsidRPr="003A7D30" w:rsidRDefault="00387584" w:rsidP="00487860">
            <w:pPr>
              <w:pStyle w:val="NormalWeb"/>
              <w:rPr>
                <w:bCs/>
                <w:color w:val="FFFFFF" w:themeColor="background1"/>
              </w:rPr>
            </w:pPr>
            <w:r w:rsidRPr="003A7D30">
              <w:rPr>
                <w:bCs/>
                <w:color w:val="FFFFFF" w:themeColor="background1"/>
              </w:rPr>
              <w:t>Group</w:t>
            </w:r>
          </w:p>
        </w:tc>
        <w:tc>
          <w:tcPr>
            <w:tcW w:w="1797" w:type="dxa"/>
            <w:vAlign w:val="center"/>
            <w:hideMark/>
          </w:tcPr>
          <w:p w14:paraId="67C0262C" w14:textId="77777777" w:rsidR="00387584" w:rsidRPr="003A7D30" w:rsidRDefault="00387584" w:rsidP="00487860">
            <w:pPr>
              <w:pStyle w:val="NormalWeb"/>
              <w:rPr>
                <w:bCs/>
                <w:color w:val="FFFFFF" w:themeColor="background1"/>
              </w:rPr>
            </w:pPr>
            <w:r w:rsidRPr="003A7D30">
              <w:rPr>
                <w:bCs/>
                <w:color w:val="FFFFFF" w:themeColor="background1"/>
              </w:rPr>
              <w:t>Number of respondents</w:t>
            </w:r>
          </w:p>
        </w:tc>
      </w:tr>
      <w:tr w:rsidR="00387584" w14:paraId="3463443C" w14:textId="77777777" w:rsidTr="00487860">
        <w:tblPrEx>
          <w:tblCellMar>
            <w:top w:w="0" w:type="dxa"/>
            <w:left w:w="108" w:type="dxa"/>
            <w:bottom w:w="0" w:type="dxa"/>
            <w:right w:w="108" w:type="dxa"/>
          </w:tblCellMar>
        </w:tblPrEx>
        <w:trPr>
          <w:divId w:val="31923996"/>
          <w:trHeight w:val="537"/>
        </w:trPr>
        <w:tc>
          <w:tcPr>
            <w:tcW w:w="8909" w:type="dxa"/>
            <w:vAlign w:val="center"/>
            <w:hideMark/>
          </w:tcPr>
          <w:p w14:paraId="0471DF57" w14:textId="77777777" w:rsidR="00387584" w:rsidRDefault="00387584" w:rsidP="00487860">
            <w:pPr>
              <w:pStyle w:val="NormalWeb"/>
            </w:pPr>
            <w:r>
              <w:t>Diagnostic laboratory (public or private)</w:t>
            </w:r>
          </w:p>
        </w:tc>
        <w:tc>
          <w:tcPr>
            <w:tcW w:w="1797" w:type="dxa"/>
            <w:vAlign w:val="center"/>
            <w:hideMark/>
          </w:tcPr>
          <w:p w14:paraId="1F91B897" w14:textId="77777777" w:rsidR="00387584" w:rsidRDefault="00387584" w:rsidP="00487860">
            <w:pPr>
              <w:pStyle w:val="NormalWeb"/>
            </w:pPr>
            <w:r>
              <w:t>7</w:t>
            </w:r>
          </w:p>
        </w:tc>
      </w:tr>
      <w:tr w:rsidR="00387584" w14:paraId="78E671F1" w14:textId="77777777" w:rsidTr="0048786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Height w:val="537"/>
        </w:trPr>
        <w:tc>
          <w:tcPr>
            <w:tcW w:w="8909" w:type="dxa"/>
            <w:vAlign w:val="center"/>
            <w:hideMark/>
          </w:tcPr>
          <w:p w14:paraId="5F3D814B" w14:textId="77777777" w:rsidR="00387584" w:rsidRDefault="00387584" w:rsidP="00487860">
            <w:pPr>
              <w:pStyle w:val="NormalWeb"/>
            </w:pPr>
            <w:r>
              <w:t>Researcher / academic</w:t>
            </w:r>
          </w:p>
        </w:tc>
        <w:tc>
          <w:tcPr>
            <w:tcW w:w="1797" w:type="dxa"/>
            <w:vAlign w:val="center"/>
            <w:hideMark/>
          </w:tcPr>
          <w:p w14:paraId="55960FBC" w14:textId="77777777" w:rsidR="00387584" w:rsidRDefault="00387584" w:rsidP="00487860">
            <w:pPr>
              <w:pStyle w:val="NormalWeb"/>
            </w:pPr>
            <w:r>
              <w:t>6</w:t>
            </w:r>
          </w:p>
        </w:tc>
      </w:tr>
      <w:tr w:rsidR="00387584" w14:paraId="00919D90" w14:textId="77777777" w:rsidTr="00487860">
        <w:tblPrEx>
          <w:tblCellMar>
            <w:top w:w="0" w:type="dxa"/>
            <w:left w:w="108" w:type="dxa"/>
            <w:bottom w:w="0" w:type="dxa"/>
            <w:right w:w="108" w:type="dxa"/>
          </w:tblCellMar>
        </w:tblPrEx>
        <w:trPr>
          <w:divId w:val="31923996"/>
          <w:trHeight w:val="537"/>
        </w:trPr>
        <w:tc>
          <w:tcPr>
            <w:tcW w:w="8909" w:type="dxa"/>
            <w:vAlign w:val="center"/>
            <w:hideMark/>
          </w:tcPr>
          <w:p w14:paraId="3BAE11CD" w14:textId="77777777" w:rsidR="00387584" w:rsidRDefault="00387584" w:rsidP="00487860">
            <w:pPr>
              <w:pStyle w:val="NormalWeb"/>
            </w:pPr>
            <w:r>
              <w:t>Vaccine manufacturer</w:t>
            </w:r>
          </w:p>
        </w:tc>
        <w:tc>
          <w:tcPr>
            <w:tcW w:w="1797" w:type="dxa"/>
            <w:vAlign w:val="center"/>
            <w:hideMark/>
          </w:tcPr>
          <w:p w14:paraId="1FEDCB01" w14:textId="77777777" w:rsidR="00387584" w:rsidRDefault="00387584" w:rsidP="00487860">
            <w:pPr>
              <w:pStyle w:val="NormalWeb"/>
            </w:pPr>
            <w:r>
              <w:t>4</w:t>
            </w:r>
          </w:p>
        </w:tc>
      </w:tr>
      <w:tr w:rsidR="00387584" w14:paraId="7569F81C" w14:textId="77777777" w:rsidTr="0048786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Height w:val="537"/>
        </w:trPr>
        <w:tc>
          <w:tcPr>
            <w:tcW w:w="8909" w:type="dxa"/>
            <w:vAlign w:val="center"/>
            <w:hideMark/>
          </w:tcPr>
          <w:p w14:paraId="6D5659A1" w14:textId="77777777" w:rsidR="00387584" w:rsidRDefault="00387584" w:rsidP="00487860">
            <w:pPr>
              <w:pStyle w:val="NormalWeb"/>
            </w:pPr>
            <w:r>
              <w:t>State/territory policy and programs</w:t>
            </w:r>
          </w:p>
        </w:tc>
        <w:tc>
          <w:tcPr>
            <w:tcW w:w="1797" w:type="dxa"/>
            <w:vAlign w:val="center"/>
            <w:hideMark/>
          </w:tcPr>
          <w:p w14:paraId="24B957CC" w14:textId="77777777" w:rsidR="00387584" w:rsidRDefault="00387584" w:rsidP="00487860">
            <w:pPr>
              <w:pStyle w:val="NormalWeb"/>
            </w:pPr>
            <w:r>
              <w:t>3</w:t>
            </w:r>
          </w:p>
        </w:tc>
      </w:tr>
      <w:tr w:rsidR="00387584" w14:paraId="07F02E47" w14:textId="77777777" w:rsidTr="00487860">
        <w:tblPrEx>
          <w:tblCellMar>
            <w:top w:w="0" w:type="dxa"/>
            <w:left w:w="108" w:type="dxa"/>
            <w:bottom w:w="0" w:type="dxa"/>
            <w:right w:w="108" w:type="dxa"/>
          </w:tblCellMar>
        </w:tblPrEx>
        <w:trPr>
          <w:divId w:val="31923996"/>
          <w:trHeight w:val="537"/>
        </w:trPr>
        <w:tc>
          <w:tcPr>
            <w:tcW w:w="8909" w:type="dxa"/>
            <w:vAlign w:val="center"/>
            <w:hideMark/>
          </w:tcPr>
          <w:p w14:paraId="7D60438D" w14:textId="77777777" w:rsidR="00387584" w:rsidRDefault="00387584" w:rsidP="00487860">
            <w:pPr>
              <w:pStyle w:val="NormalWeb"/>
            </w:pPr>
            <w:r>
              <w:t>Infectious Disease Physician</w:t>
            </w:r>
          </w:p>
        </w:tc>
        <w:tc>
          <w:tcPr>
            <w:tcW w:w="1797" w:type="dxa"/>
            <w:vAlign w:val="center"/>
            <w:hideMark/>
          </w:tcPr>
          <w:p w14:paraId="710C8250" w14:textId="77777777" w:rsidR="00387584" w:rsidRDefault="00387584" w:rsidP="00487860">
            <w:pPr>
              <w:pStyle w:val="NormalWeb"/>
            </w:pPr>
            <w:r>
              <w:t>2</w:t>
            </w:r>
          </w:p>
        </w:tc>
      </w:tr>
      <w:tr w:rsidR="00387584" w14:paraId="4898417D" w14:textId="77777777" w:rsidTr="0048786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Height w:val="537"/>
        </w:trPr>
        <w:tc>
          <w:tcPr>
            <w:tcW w:w="8909" w:type="dxa"/>
            <w:vAlign w:val="center"/>
            <w:hideMark/>
          </w:tcPr>
          <w:p w14:paraId="242C0CF9" w14:textId="77777777" w:rsidR="00387584" w:rsidRDefault="00387584" w:rsidP="00487860">
            <w:pPr>
              <w:pStyle w:val="NormalWeb"/>
            </w:pPr>
            <w:r>
              <w:t>Researcher / academic and National Centre for Immunisation Research and surveillance (NCIRS)</w:t>
            </w:r>
          </w:p>
        </w:tc>
        <w:tc>
          <w:tcPr>
            <w:tcW w:w="1797" w:type="dxa"/>
            <w:vAlign w:val="center"/>
            <w:hideMark/>
          </w:tcPr>
          <w:p w14:paraId="48FA6241" w14:textId="77777777" w:rsidR="00387584" w:rsidRDefault="00387584" w:rsidP="00487860">
            <w:pPr>
              <w:pStyle w:val="NormalWeb"/>
            </w:pPr>
            <w:r>
              <w:t>2</w:t>
            </w:r>
          </w:p>
        </w:tc>
      </w:tr>
      <w:tr w:rsidR="00387584" w14:paraId="1C2FDE43" w14:textId="77777777" w:rsidTr="00487860">
        <w:tblPrEx>
          <w:tblCellMar>
            <w:top w:w="0" w:type="dxa"/>
            <w:left w:w="108" w:type="dxa"/>
            <w:bottom w:w="0" w:type="dxa"/>
            <w:right w:w="108" w:type="dxa"/>
          </w:tblCellMar>
        </w:tblPrEx>
        <w:trPr>
          <w:divId w:val="31923996"/>
          <w:trHeight w:val="537"/>
        </w:trPr>
        <w:tc>
          <w:tcPr>
            <w:tcW w:w="8909" w:type="dxa"/>
            <w:vAlign w:val="center"/>
            <w:hideMark/>
          </w:tcPr>
          <w:p w14:paraId="14152524" w14:textId="77777777" w:rsidR="00387584" w:rsidRDefault="00387584" w:rsidP="00487860">
            <w:pPr>
              <w:pStyle w:val="NormalWeb"/>
            </w:pPr>
            <w:r>
              <w:t>NCIRS</w:t>
            </w:r>
          </w:p>
        </w:tc>
        <w:tc>
          <w:tcPr>
            <w:tcW w:w="1797" w:type="dxa"/>
            <w:vAlign w:val="center"/>
            <w:hideMark/>
          </w:tcPr>
          <w:p w14:paraId="0A3E898F" w14:textId="77777777" w:rsidR="00387584" w:rsidRDefault="00387584" w:rsidP="00487860">
            <w:pPr>
              <w:pStyle w:val="NormalWeb"/>
            </w:pPr>
            <w:r>
              <w:t>1</w:t>
            </w:r>
          </w:p>
        </w:tc>
      </w:tr>
      <w:tr w:rsidR="00387584" w14:paraId="6F7ABDA0" w14:textId="77777777" w:rsidTr="0048786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Height w:val="537"/>
        </w:trPr>
        <w:tc>
          <w:tcPr>
            <w:tcW w:w="8909" w:type="dxa"/>
            <w:vAlign w:val="center"/>
            <w:hideMark/>
          </w:tcPr>
          <w:p w14:paraId="736E635D" w14:textId="77777777" w:rsidR="00387584" w:rsidRDefault="00387584" w:rsidP="00487860">
            <w:pPr>
              <w:pStyle w:val="NormalWeb"/>
            </w:pPr>
            <w:r>
              <w:t>Researcher / academic and Public Health Practitioner</w:t>
            </w:r>
          </w:p>
        </w:tc>
        <w:tc>
          <w:tcPr>
            <w:tcW w:w="1797" w:type="dxa"/>
            <w:vAlign w:val="center"/>
            <w:hideMark/>
          </w:tcPr>
          <w:p w14:paraId="6CE6DB5F" w14:textId="77777777" w:rsidR="00387584" w:rsidRDefault="00387584" w:rsidP="00487860">
            <w:pPr>
              <w:pStyle w:val="NormalWeb"/>
            </w:pPr>
            <w:r>
              <w:t>1</w:t>
            </w:r>
          </w:p>
        </w:tc>
      </w:tr>
      <w:tr w:rsidR="00387584" w14:paraId="70CD91D0" w14:textId="77777777" w:rsidTr="00487860">
        <w:tblPrEx>
          <w:tblCellMar>
            <w:top w:w="0" w:type="dxa"/>
            <w:left w:w="108" w:type="dxa"/>
            <w:bottom w:w="0" w:type="dxa"/>
            <w:right w:w="108" w:type="dxa"/>
          </w:tblCellMar>
        </w:tblPrEx>
        <w:trPr>
          <w:divId w:val="31923996"/>
          <w:trHeight w:val="537"/>
        </w:trPr>
        <w:tc>
          <w:tcPr>
            <w:tcW w:w="8909" w:type="dxa"/>
            <w:vAlign w:val="center"/>
            <w:hideMark/>
          </w:tcPr>
          <w:p w14:paraId="52C9958A" w14:textId="77777777" w:rsidR="00387584" w:rsidRDefault="00387584" w:rsidP="00487860">
            <w:pPr>
              <w:pStyle w:val="NormalWeb"/>
            </w:pPr>
            <w:r>
              <w:t>Researcher / academic and paediatrician</w:t>
            </w:r>
          </w:p>
        </w:tc>
        <w:tc>
          <w:tcPr>
            <w:tcW w:w="1797" w:type="dxa"/>
            <w:vAlign w:val="center"/>
            <w:hideMark/>
          </w:tcPr>
          <w:p w14:paraId="1A7AB710" w14:textId="77777777" w:rsidR="00387584" w:rsidRDefault="00387584" w:rsidP="00487860">
            <w:pPr>
              <w:pStyle w:val="NormalWeb"/>
            </w:pPr>
            <w:r>
              <w:t>1</w:t>
            </w:r>
          </w:p>
        </w:tc>
      </w:tr>
      <w:tr w:rsidR="00387584" w14:paraId="6A357A39" w14:textId="77777777" w:rsidTr="0048786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Height w:val="537"/>
        </w:trPr>
        <w:tc>
          <w:tcPr>
            <w:tcW w:w="8909" w:type="dxa"/>
            <w:vAlign w:val="center"/>
            <w:hideMark/>
          </w:tcPr>
          <w:p w14:paraId="195FD0D3" w14:textId="77777777" w:rsidR="00387584" w:rsidRDefault="00387584" w:rsidP="00487860">
            <w:pPr>
              <w:pStyle w:val="NormalWeb"/>
            </w:pPr>
            <w:r>
              <w:t>Researcher / academic and policy and programs</w:t>
            </w:r>
          </w:p>
        </w:tc>
        <w:tc>
          <w:tcPr>
            <w:tcW w:w="1797" w:type="dxa"/>
            <w:vAlign w:val="center"/>
            <w:hideMark/>
          </w:tcPr>
          <w:p w14:paraId="0BDAF6A9" w14:textId="77777777" w:rsidR="00387584" w:rsidRDefault="00387584" w:rsidP="00487860">
            <w:pPr>
              <w:pStyle w:val="NormalWeb"/>
            </w:pPr>
            <w:r>
              <w:t>1</w:t>
            </w:r>
          </w:p>
        </w:tc>
      </w:tr>
      <w:tr w:rsidR="00387584" w:rsidRPr="00905805" w14:paraId="63C8B5BE" w14:textId="77777777" w:rsidTr="00487860">
        <w:tblPrEx>
          <w:tblCellMar>
            <w:top w:w="0" w:type="dxa"/>
            <w:left w:w="108" w:type="dxa"/>
            <w:bottom w:w="0" w:type="dxa"/>
            <w:right w:w="108" w:type="dxa"/>
          </w:tblCellMar>
        </w:tblPrEx>
        <w:trPr>
          <w:divId w:val="31923996"/>
          <w:trHeight w:val="537"/>
        </w:trPr>
        <w:tc>
          <w:tcPr>
            <w:tcW w:w="8909" w:type="dxa"/>
            <w:shd w:val="clear" w:color="auto" w:fill="FFFFE1"/>
            <w:vAlign w:val="center"/>
            <w:hideMark/>
          </w:tcPr>
          <w:p w14:paraId="209ECBD4" w14:textId="77777777" w:rsidR="00387584" w:rsidRPr="00905805" w:rsidRDefault="00387584" w:rsidP="00487860">
            <w:r w:rsidRPr="00905805">
              <w:t>Total</w:t>
            </w:r>
          </w:p>
        </w:tc>
        <w:tc>
          <w:tcPr>
            <w:tcW w:w="1797" w:type="dxa"/>
            <w:shd w:val="clear" w:color="auto" w:fill="FFFFE1"/>
            <w:vAlign w:val="center"/>
            <w:hideMark/>
          </w:tcPr>
          <w:p w14:paraId="06FE45CE" w14:textId="77777777" w:rsidR="00387584" w:rsidRPr="00905805" w:rsidRDefault="00387584" w:rsidP="00487860">
            <w:r w:rsidRPr="00905805">
              <w:t>28</w:t>
            </w:r>
          </w:p>
        </w:tc>
      </w:tr>
    </w:tbl>
    <w:p w14:paraId="25F125EC" w14:textId="77777777" w:rsidR="00387584" w:rsidRDefault="00387584" w:rsidP="00386C31">
      <w:pPr>
        <w:pStyle w:val="Heading1"/>
        <w:divId w:val="31923996"/>
        <w:rPr>
          <w:rFonts w:eastAsia="Times New Roman"/>
        </w:rPr>
      </w:pPr>
      <w:r>
        <w:rPr>
          <w:rFonts w:eastAsia="Times New Roman"/>
        </w:rPr>
        <w:t>Program Operation</w:t>
      </w:r>
    </w:p>
    <w:p w14:paraId="2F4897CA" w14:textId="77777777" w:rsidR="00CE3AD3" w:rsidRDefault="00387584" w:rsidP="00BA5F95">
      <w:pPr>
        <w:divId w:val="31923996"/>
      </w:pPr>
      <w:r>
        <w:t>The program is complex, with variation in notification processes, follow-up, data entry and transmission from the jurisdictions to the NNDSS. The case definition for IPD involves laboratory confirmation (Box 2), requiring the participation of a large number of public and private diagnostic laboratories, as well as four public health reference laboratories and the communicable disease branches in each jurisdiction (Figure 1).</w:t>
      </w:r>
    </w:p>
    <w:p w14:paraId="0EF3FE0C" w14:textId="77777777" w:rsidR="00CE3AD3" w:rsidRDefault="00CE3AD3" w:rsidP="00CE3AD3">
      <w:r>
        <w:br w:type="page"/>
      </w:r>
    </w:p>
    <w:p w14:paraId="4165C7C9" w14:textId="77777777" w:rsidR="00CE3AD3" w:rsidRDefault="00CE3AD3" w:rsidP="00CE3AD3">
      <w:pPr>
        <w:pStyle w:val="CDIFigures"/>
        <w:divId w:val="31923996"/>
      </w:pPr>
      <w:r>
        <w:lastRenderedPageBreak/>
        <w:t>Figure 1 Simple representation of the operation of Australia’s Enhanced Invasive Pn</w:t>
      </w:r>
      <w:r w:rsidR="00065E5A">
        <w:t xml:space="preserve">eumococcal Disease </w:t>
      </w:r>
      <w:r>
        <w:t>Surveillance Program, 2017.</w:t>
      </w:r>
    </w:p>
    <w:p w14:paraId="78AE310C" w14:textId="77777777" w:rsidR="00387584" w:rsidRDefault="00387584" w:rsidP="002B7253">
      <w:pPr>
        <w:pStyle w:val="NormalWeb"/>
        <w:jc w:val="center"/>
        <w:divId w:val="31923996"/>
      </w:pPr>
      <w:r>
        <w:rPr>
          <w:noProof/>
        </w:rPr>
        <w:drawing>
          <wp:inline distT="0" distB="0" distL="0" distR="0" wp14:anchorId="690C64C9" wp14:editId="098BA32D">
            <wp:extent cx="5356410" cy="7442421"/>
            <wp:effectExtent l="0" t="0" r="0" b="6350"/>
            <wp:docPr id="1" name="Picture 1" descr="Figure 1 &#10;Flow chart showing how IPD data flows from a case presentation at a hospital or general practitioner, through primary and reference laboratories, and via State/Territory Communicable Diseases branches to the National Notifiable Diseases Surveillance System.  The Enhanced Invasive Pneumococcal Disease Surveillance Working Group reports on the data from the NNDSS.  Specimens are transported from case presentation to the primary laboratory and then to the reference laboratory. &#10;" title="Figur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10;Flow chart showing how IPD data flows from a case presentation at a hospital or general practitioner, through primary and reference laboratories, and via State/Territory Communicable Diseases branches to the National Notifiable Diseases Surveillance System.  The Enhanced Invasive Pneumococcal Disease Surveillance Working Group reports on the data from the NNDSS.  Specimens are transported from case presentation to the primary laboratory and then to the reference laboratory.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8741" cy="7445660"/>
                    </a:xfrm>
                    <a:prstGeom prst="rect">
                      <a:avLst/>
                    </a:prstGeom>
                    <a:noFill/>
                    <a:ln>
                      <a:noFill/>
                    </a:ln>
                  </pic:spPr>
                </pic:pic>
              </a:graphicData>
            </a:graphic>
          </wp:inline>
        </w:drawing>
      </w:r>
    </w:p>
    <w:p w14:paraId="4D9CA10E" w14:textId="77777777" w:rsidR="00CE3AD3" w:rsidRDefault="00CE3AD3">
      <w:pPr>
        <w:rPr>
          <w:b/>
        </w:rPr>
      </w:pPr>
      <w:r>
        <w:br w:type="page"/>
      </w:r>
    </w:p>
    <w:p w14:paraId="0CDB6E21" w14:textId="77777777" w:rsidR="00387584" w:rsidRDefault="00387584" w:rsidP="00125276">
      <w:pPr>
        <w:pStyle w:val="CDIFigures"/>
        <w:divId w:val="31923996"/>
      </w:pPr>
      <w:r>
        <w:lastRenderedPageBreak/>
        <w:t>Box 2 The case definition for a confirmed case of invasive pneumococcal disease (IPD), Australia, 2017.Only confirmed cases are notified.</w:t>
      </w:r>
      <w:r w:rsidR="00734D00" w:rsidRPr="00734D00">
        <w:rPr>
          <w:noProof/>
        </w:rPr>
        <w:t xml:space="preserve"> </w:t>
      </w:r>
      <w:r w:rsidR="00734D00">
        <w:rPr>
          <w:noProof/>
        </w:rPr>
        <mc:AlternateContent>
          <mc:Choice Requires="wps">
            <w:drawing>
              <wp:inline distT="0" distB="0" distL="0" distR="0" wp14:anchorId="1B835A0C" wp14:editId="08750763">
                <wp:extent cx="6528021" cy="1403985"/>
                <wp:effectExtent l="0" t="0" r="25400"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1" cy="1403985"/>
                        </a:xfrm>
                        <a:prstGeom prst="rect">
                          <a:avLst/>
                        </a:prstGeom>
                        <a:solidFill>
                          <a:srgbClr val="FFFFE1"/>
                        </a:solidFill>
                        <a:ln w="3175">
                          <a:solidFill>
                            <a:schemeClr val="bg1">
                              <a:lumMod val="50000"/>
                            </a:schemeClr>
                          </a:solidFill>
                          <a:miter lim="800000"/>
                          <a:headEnd/>
                          <a:tailEnd/>
                        </a:ln>
                      </wps:spPr>
                      <wps:txbx>
                        <w:txbxContent>
                          <w:p w14:paraId="3A7A7CD2" w14:textId="77777777" w:rsidR="00734D00" w:rsidRPr="004429B0" w:rsidRDefault="00734D00" w:rsidP="00734D00">
                            <w:pPr>
                              <w:pStyle w:val="ListParagraph"/>
                              <w:numPr>
                                <w:ilvl w:val="0"/>
                                <w:numId w:val="19"/>
                              </w:numPr>
                              <w:rPr>
                                <w:rFonts w:eastAsia="Times New Roman"/>
                              </w:rPr>
                            </w:pPr>
                            <w:r w:rsidRPr="004429B0">
                              <w:rPr>
                                <w:rFonts w:eastAsia="Times New Roman"/>
                              </w:rPr>
                              <w:t xml:space="preserve">Isolation of </w:t>
                            </w:r>
                            <w:r w:rsidRPr="00F428EE">
                              <w:rPr>
                                <w:rStyle w:val="Emphasis"/>
                                <w:rFonts w:eastAsia="Times New Roman"/>
                                <w:b w:val="0"/>
                              </w:rPr>
                              <w:t>S. pneumoniae</w:t>
                            </w:r>
                            <w:r w:rsidRPr="004429B0">
                              <w:rPr>
                                <w:rFonts w:eastAsia="Times New Roman"/>
                              </w:rPr>
                              <w:t xml:space="preserve"> from a normally sterile site by culture</w:t>
                            </w:r>
                          </w:p>
                          <w:p w14:paraId="081350CB" w14:textId="77777777" w:rsidR="00734D00" w:rsidRDefault="00734D00" w:rsidP="00734D00">
                            <w:r>
                              <w:t>OR</w:t>
                            </w:r>
                          </w:p>
                          <w:p w14:paraId="680F40AE" w14:textId="77777777" w:rsidR="00734D00" w:rsidRPr="00734D00" w:rsidRDefault="00734D00" w:rsidP="00734D00">
                            <w:pPr>
                              <w:pStyle w:val="ListParagraph"/>
                              <w:numPr>
                                <w:ilvl w:val="0"/>
                                <w:numId w:val="19"/>
                              </w:numPr>
                              <w:rPr>
                                <w:rFonts w:eastAsia="Times New Roman"/>
                              </w:rPr>
                            </w:pPr>
                            <w:r w:rsidRPr="00065E5A">
                              <w:rPr>
                                <w:rFonts w:eastAsia="Times New Roman"/>
                              </w:rPr>
                              <w:t xml:space="preserve">Detection of </w:t>
                            </w:r>
                            <w:r w:rsidRPr="00F428EE">
                              <w:rPr>
                                <w:rStyle w:val="Emphasis"/>
                                <w:rFonts w:eastAsia="Times New Roman"/>
                                <w:b w:val="0"/>
                              </w:rPr>
                              <w:t>S. pneumoniae</w:t>
                            </w:r>
                            <w:r w:rsidRPr="00065E5A">
                              <w:rPr>
                                <w:rFonts w:eastAsia="Times New Roman"/>
                              </w:rPr>
                              <w:t xml:space="preserve"> from a normally sterile site by nucleic acid testing</w:t>
                            </w:r>
                          </w:p>
                        </w:txbxContent>
                      </wps:txbx>
                      <wps:bodyPr rot="0" vert="horz" wrap="square" lIns="91440" tIns="45720" rIns="91440" bIns="45720" anchor="t" anchorCtr="0">
                        <a:spAutoFit/>
                      </wps:bodyPr>
                    </wps:wsp>
                  </a:graphicData>
                </a:graphic>
              </wp:inline>
            </w:drawing>
          </mc:Choice>
          <mc:Fallback>
            <w:pict>
              <v:shapetype w14:anchorId="1B835A0C" id="_x0000_t202" coordsize="21600,21600" o:spt="202" path="m,l,21600r21600,l21600,xe">
                <v:stroke joinstyle="miter"/>
                <v:path gradientshapeok="t" o:connecttype="rect"/>
              </v:shapetype>
              <v:shape id="Text Box 2" o:spid="_x0000_s1026" type="#_x0000_t202" style="width:51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" fillcolor="#ffffe1" strokecolor="#7f7f7f [1612]" strokeweight=".25pt">
                <v:textbox style="mso-fit-shape-to-text:t">
                  <w:txbxContent>
                    <w:p w14:paraId="3A7A7CD2" w14:textId="77777777" w:rsidR="00734D00" w:rsidRPr="004429B0" w:rsidRDefault="00734D00" w:rsidP="00734D00">
                      <w:pPr>
                        <w:pStyle w:val="ListParagraph"/>
                        <w:numPr>
                          <w:ilvl w:val="0"/>
                          <w:numId w:val="19"/>
                        </w:numPr>
                        <w:rPr>
                          <w:rFonts w:eastAsia="Times New Roman"/>
                        </w:rPr>
                      </w:pPr>
                      <w:r w:rsidRPr="004429B0">
                        <w:rPr>
                          <w:rFonts w:eastAsia="Times New Roman"/>
                        </w:rPr>
                        <w:t xml:space="preserve">Isolation of </w:t>
                      </w:r>
                      <w:r w:rsidRPr="00F428EE">
                        <w:rPr>
                          <w:rStyle w:val="Emphasis"/>
                          <w:rFonts w:eastAsia="Times New Roman"/>
                          <w:b w:val="0"/>
                        </w:rPr>
                        <w:t>S. pneumoniae</w:t>
                      </w:r>
                      <w:r w:rsidRPr="004429B0">
                        <w:rPr>
                          <w:rFonts w:eastAsia="Times New Roman"/>
                        </w:rPr>
                        <w:t xml:space="preserve"> from a normally sterile site by culture</w:t>
                      </w:r>
                    </w:p>
                    <w:p w14:paraId="081350CB" w14:textId="77777777" w:rsidR="00734D00" w:rsidRDefault="00734D00" w:rsidP="00734D00">
                      <w:r>
                        <w:t>OR</w:t>
                      </w:r>
                    </w:p>
                    <w:p w14:paraId="680F40AE" w14:textId="77777777" w:rsidR="00734D00" w:rsidRPr="00734D00" w:rsidRDefault="00734D00" w:rsidP="00734D00">
                      <w:pPr>
                        <w:pStyle w:val="ListParagraph"/>
                        <w:numPr>
                          <w:ilvl w:val="0"/>
                          <w:numId w:val="19"/>
                        </w:numPr>
                        <w:rPr>
                          <w:rFonts w:eastAsia="Times New Roman"/>
                        </w:rPr>
                      </w:pPr>
                      <w:r w:rsidRPr="00065E5A">
                        <w:rPr>
                          <w:rFonts w:eastAsia="Times New Roman"/>
                        </w:rPr>
                        <w:t xml:space="preserve">Detection of </w:t>
                      </w:r>
                      <w:r w:rsidRPr="00F428EE">
                        <w:rPr>
                          <w:rStyle w:val="Emphasis"/>
                          <w:rFonts w:eastAsia="Times New Roman"/>
                          <w:b w:val="0"/>
                        </w:rPr>
                        <w:t>S. pneumoniae</w:t>
                      </w:r>
                      <w:r w:rsidRPr="00065E5A">
                        <w:rPr>
                          <w:rFonts w:eastAsia="Times New Roman"/>
                        </w:rPr>
                        <w:t xml:space="preserve"> from a normally sterile site by nucleic acid testing</w:t>
                      </w:r>
                    </w:p>
                  </w:txbxContent>
                </v:textbox>
                <w10:anchorlock/>
              </v:shape>
            </w:pict>
          </mc:Fallback>
        </mc:AlternateContent>
      </w:r>
    </w:p>
    <w:p w14:paraId="591CABDF" w14:textId="77777777" w:rsidR="00387584" w:rsidRDefault="00387584" w:rsidP="004429B0">
      <w:pPr>
        <w:divId w:val="31923996"/>
      </w:pPr>
      <w:r>
        <w:t xml:space="preserve">While data are collected for all notified cases, the largest jurisdictions do not routinely collect data on Indigenous status, vaccination history or enhanced data (including risk factors) for cases aged between five and 50 years. Data collection in some jurisdictions is hampered by the absence of accessible electronic health records. Summaries of surveillance data are published in regular IPD </w:t>
      </w:r>
      <w:r w:rsidR="00643D4D">
        <w:t>reports and</w:t>
      </w:r>
      <w:r>
        <w:t xml:space="preserve"> NNDSS Annual </w:t>
      </w:r>
      <w:r w:rsidR="00643D4D">
        <w:t>Reports, and</w:t>
      </w:r>
      <w:r>
        <w:t xml:space="preserve"> selected variables of the IPD dataset from 2009 to 2015 are </w:t>
      </w:r>
      <w:proofErr w:type="spellStart"/>
      <w:r>
        <w:t>publically</w:t>
      </w:r>
      <w:proofErr w:type="spellEnd"/>
      <w:r>
        <w:t xml:space="preserve"> available on the Australian Government Department of Health website.</w:t>
      </w:r>
      <w:r>
        <w:rPr>
          <w:vertAlign w:val="superscript"/>
        </w:rPr>
        <w:t>26</w:t>
      </w:r>
    </w:p>
    <w:p w14:paraId="3BFA7995" w14:textId="77777777" w:rsidR="00387584" w:rsidRDefault="00387584" w:rsidP="004429B0">
      <w:pPr>
        <w:divId w:val="31923996"/>
      </w:pPr>
      <w:r>
        <w:t>Nearly 200 jurisdictional and reference laboratory staff are involved in IPD surveillance data collection nationally, but all have other duties. Testing, data entry and reporting of a case by reference laboratories takes an average 30, but up to 60, minutes. Data collection in jurisdictions with electronic access to clinical records takes 90 minutes or less per case, but three to 10 hours per case in jurisdictions without electronic access.</w:t>
      </w:r>
    </w:p>
    <w:p w14:paraId="13170E5E" w14:textId="77777777" w:rsidR="008F28B4" w:rsidRDefault="00387584" w:rsidP="004429B0">
      <w:pPr>
        <w:divId w:val="31923996"/>
      </w:pPr>
      <w:r>
        <w:t>There are five objectives for the surveillance program published on the Department of Health’s website (Table 3).</w:t>
      </w:r>
      <w:r>
        <w:rPr>
          <w:vertAlign w:val="superscript"/>
        </w:rPr>
        <w:t>27</w:t>
      </w:r>
    </w:p>
    <w:p w14:paraId="768ED954" w14:textId="77777777" w:rsidR="0059047A" w:rsidRDefault="00387584" w:rsidP="004429B0">
      <w:pPr>
        <w:divId w:val="31923996"/>
      </w:pPr>
      <w:r>
        <w:t>These have not been endorsed by the EIPDSWG. Overall, EIPDSWG members thought that the objectives were appropriate, although not all were currently being met.</w:t>
      </w:r>
    </w:p>
    <w:p w14:paraId="613459A9" w14:textId="77777777" w:rsidR="0059047A" w:rsidRDefault="0059047A">
      <w:r>
        <w:br w:type="page"/>
      </w:r>
    </w:p>
    <w:p w14:paraId="306082D6" w14:textId="77777777" w:rsidR="00387584" w:rsidRDefault="00387584" w:rsidP="004429B0">
      <w:pPr>
        <w:divId w:val="31923996"/>
      </w:pPr>
    </w:p>
    <w:p w14:paraId="01880870" w14:textId="77777777" w:rsidR="00387584" w:rsidRDefault="00387584" w:rsidP="00642158">
      <w:pPr>
        <w:pStyle w:val="CDIFigures"/>
        <w:divId w:val="31923996"/>
      </w:pPr>
      <w:r>
        <w:t>Table 3 EIPDSWG members’ assessment of the stated objectives of the surveillance program, 2016.</w:t>
      </w:r>
    </w:p>
    <w:tbl>
      <w:tblPr>
        <w:tblStyle w:val="CDI-StandardTable"/>
        <w:tblW w:w="10773" w:type="dxa"/>
        <w:tblCellMar>
          <w:top w:w="284" w:type="dxa"/>
          <w:left w:w="284" w:type="dxa"/>
          <w:bottom w:w="284" w:type="dxa"/>
          <w:right w:w="284" w:type="dxa"/>
        </w:tblCellMar>
        <w:tblLook w:val="04A0" w:firstRow="1" w:lastRow="0" w:firstColumn="1" w:lastColumn="0" w:noHBand="0" w:noVBand="1"/>
        <w:tblCaption w:val="Table 3 EIPDSWG members’ assessment of the stated objectives of the surveillance program, 2016."/>
        <w:tblDescription w:val="Table 3 lists the objectives of the surveillance program. It also indicates the proportion of EIPDSWG members who thought that the each objective was relevant and being met.  Key issues identified by EIPDSWG members related to each objective are also listed."/>
      </w:tblPr>
      <w:tblGrid>
        <w:gridCol w:w="3036"/>
        <w:gridCol w:w="1643"/>
        <w:gridCol w:w="2030"/>
        <w:gridCol w:w="4064"/>
      </w:tblGrid>
      <w:tr w:rsidR="00530FEE" w14:paraId="0C0A7A05" w14:textId="77777777" w:rsidTr="00530FEE">
        <w:trPr>
          <w:cnfStyle w:val="100000000000" w:firstRow="1" w:lastRow="0" w:firstColumn="0" w:lastColumn="0" w:oddVBand="0" w:evenVBand="0" w:oddHBand="0" w:evenHBand="0" w:firstRowFirstColumn="0" w:firstRowLastColumn="0" w:lastRowFirstColumn="0" w:lastRowLastColumn="0"/>
          <w:divId w:val="31923996"/>
          <w:tblHeader/>
        </w:trPr>
        <w:tc>
          <w:tcPr>
            <w:tcW w:w="3036" w:type="dxa"/>
            <w:vMerge w:val="restart"/>
            <w:tcBorders>
              <w:right w:val="single" w:sz="4" w:space="0" w:color="FFFFFF"/>
            </w:tcBorders>
            <w:hideMark/>
          </w:tcPr>
          <w:p w14:paraId="5AB8691B" w14:textId="77777777" w:rsidR="00387584" w:rsidRPr="002C737B" w:rsidRDefault="00387584">
            <w:pPr>
              <w:pStyle w:val="NormalWeb"/>
              <w:rPr>
                <w:color w:val="FFFFFF" w:themeColor="background1"/>
              </w:rPr>
            </w:pPr>
            <w:r w:rsidRPr="002C737B">
              <w:rPr>
                <w:color w:val="FFFFFF" w:themeColor="background1"/>
              </w:rPr>
              <w:t xml:space="preserve">Objective </w:t>
            </w:r>
            <w:r w:rsidRPr="002C737B">
              <w:rPr>
                <w:color w:val="FFFFFF" w:themeColor="background1"/>
                <w:vertAlign w:val="superscript"/>
              </w:rPr>
              <w:t>27</w:t>
            </w:r>
          </w:p>
        </w:tc>
        <w:tc>
          <w:tcPr>
            <w:tcW w:w="3673" w:type="dxa"/>
            <w:gridSpan w:val="2"/>
            <w:tcBorders>
              <w:left w:val="single" w:sz="4" w:space="0" w:color="FFFFFF"/>
              <w:right w:val="single" w:sz="4" w:space="0" w:color="FFFFFF"/>
            </w:tcBorders>
            <w:hideMark/>
          </w:tcPr>
          <w:p w14:paraId="6FA52865" w14:textId="77777777" w:rsidR="00387584" w:rsidRPr="002C737B" w:rsidRDefault="00387584">
            <w:pPr>
              <w:pStyle w:val="NormalWeb"/>
              <w:rPr>
                <w:color w:val="FFFFFF" w:themeColor="background1"/>
              </w:rPr>
            </w:pPr>
            <w:r w:rsidRPr="002C737B">
              <w:rPr>
                <w:color w:val="FFFFFF" w:themeColor="background1"/>
              </w:rPr>
              <w:t>Proportion of EIPDSWG members who thought this objective was…</w:t>
            </w:r>
          </w:p>
        </w:tc>
        <w:tc>
          <w:tcPr>
            <w:tcW w:w="4064" w:type="dxa"/>
            <w:vMerge w:val="restart"/>
            <w:tcBorders>
              <w:left w:val="single" w:sz="4" w:space="0" w:color="FFFFFF"/>
            </w:tcBorders>
            <w:hideMark/>
          </w:tcPr>
          <w:p w14:paraId="2E0B8C19" w14:textId="77777777" w:rsidR="00387584" w:rsidRPr="002C737B" w:rsidRDefault="00387584">
            <w:pPr>
              <w:pStyle w:val="NormalWeb"/>
              <w:rPr>
                <w:color w:val="FFFFFF" w:themeColor="background1"/>
              </w:rPr>
            </w:pPr>
            <w:r w:rsidRPr="002C737B">
              <w:rPr>
                <w:color w:val="FFFFFF" w:themeColor="background1"/>
              </w:rPr>
              <w:t>Key issues identified by members</w:t>
            </w:r>
          </w:p>
        </w:tc>
      </w:tr>
      <w:tr w:rsidR="00530FEE" w14:paraId="50794920" w14:textId="77777777" w:rsidTr="00530FEE">
        <w:trPr>
          <w:cnfStyle w:val="100000000000" w:firstRow="1" w:lastRow="0" w:firstColumn="0" w:lastColumn="0" w:oddVBand="0" w:evenVBand="0" w:oddHBand="0" w:evenHBand="0" w:firstRowFirstColumn="0" w:firstRowLastColumn="0" w:lastRowFirstColumn="0" w:lastRowLastColumn="0"/>
          <w:divId w:val="31923996"/>
          <w:tblHeader/>
        </w:trPr>
        <w:tc>
          <w:tcPr>
            <w:tcW w:w="3036" w:type="dxa"/>
            <w:vMerge/>
            <w:tcBorders>
              <w:right w:val="single" w:sz="4" w:space="0" w:color="FFFFFF"/>
            </w:tcBorders>
            <w:hideMark/>
          </w:tcPr>
          <w:p w14:paraId="08F7CA9E" w14:textId="77777777" w:rsidR="00387584" w:rsidRPr="002C737B" w:rsidRDefault="00387584">
            <w:pPr>
              <w:rPr>
                <w:color w:val="FFFFFF" w:themeColor="background1"/>
                <w:sz w:val="24"/>
                <w:szCs w:val="24"/>
              </w:rPr>
            </w:pPr>
          </w:p>
        </w:tc>
        <w:tc>
          <w:tcPr>
            <w:tcW w:w="1643" w:type="dxa"/>
            <w:tcBorders>
              <w:left w:val="single" w:sz="4" w:space="0" w:color="FFFFFF"/>
              <w:right w:val="single" w:sz="4" w:space="0" w:color="FFFFFF"/>
            </w:tcBorders>
            <w:hideMark/>
          </w:tcPr>
          <w:p w14:paraId="2524B6BD" w14:textId="77777777" w:rsidR="00387584" w:rsidRPr="002C737B" w:rsidRDefault="00387584">
            <w:pPr>
              <w:pStyle w:val="NormalWeb"/>
              <w:rPr>
                <w:color w:val="FFFFFF" w:themeColor="background1"/>
              </w:rPr>
            </w:pPr>
            <w:r w:rsidRPr="002C737B">
              <w:rPr>
                <w:color w:val="FFFFFF" w:themeColor="background1"/>
              </w:rPr>
              <w:t>…relevant</w:t>
            </w:r>
          </w:p>
        </w:tc>
        <w:tc>
          <w:tcPr>
            <w:tcW w:w="2030" w:type="dxa"/>
            <w:tcBorders>
              <w:left w:val="single" w:sz="4" w:space="0" w:color="FFFFFF"/>
              <w:right w:val="single" w:sz="4" w:space="0" w:color="FFFFFF"/>
            </w:tcBorders>
            <w:hideMark/>
          </w:tcPr>
          <w:p w14:paraId="0C833200" w14:textId="77777777" w:rsidR="00387584" w:rsidRPr="002C737B" w:rsidRDefault="00387584">
            <w:pPr>
              <w:pStyle w:val="NormalWeb"/>
              <w:rPr>
                <w:color w:val="FFFFFF" w:themeColor="background1"/>
              </w:rPr>
            </w:pPr>
            <w:r w:rsidRPr="002C737B">
              <w:rPr>
                <w:color w:val="FFFFFF" w:themeColor="background1"/>
              </w:rPr>
              <w:t>…being met</w:t>
            </w:r>
          </w:p>
        </w:tc>
        <w:tc>
          <w:tcPr>
            <w:tcW w:w="4064" w:type="dxa"/>
            <w:vMerge/>
            <w:tcBorders>
              <w:left w:val="single" w:sz="4" w:space="0" w:color="FFFFFF"/>
            </w:tcBorders>
            <w:hideMark/>
          </w:tcPr>
          <w:p w14:paraId="2021EC77" w14:textId="77777777" w:rsidR="00387584" w:rsidRDefault="00387584">
            <w:pPr>
              <w:rPr>
                <w:sz w:val="24"/>
                <w:szCs w:val="24"/>
              </w:rPr>
            </w:pPr>
          </w:p>
        </w:tc>
      </w:tr>
      <w:tr w:rsidR="00D139D7" w14:paraId="43ACE80D" w14:textId="77777777" w:rsidTr="00530FEE">
        <w:trPr>
          <w:divId w:val="31923996"/>
        </w:trPr>
        <w:tc>
          <w:tcPr>
            <w:tcW w:w="3036" w:type="dxa"/>
            <w:tcBorders>
              <w:right w:val="single" w:sz="4" w:space="0" w:color="808080" w:themeColor="background1" w:themeShade="80"/>
            </w:tcBorders>
            <w:hideMark/>
          </w:tcPr>
          <w:p w14:paraId="57F73DCB" w14:textId="77777777" w:rsidR="00387584" w:rsidRDefault="00387584">
            <w:pPr>
              <w:pStyle w:val="NormalWeb"/>
            </w:pPr>
            <w:r>
              <w:t>To record every case of IPD occurring in Australia</w:t>
            </w:r>
          </w:p>
        </w:tc>
        <w:tc>
          <w:tcPr>
            <w:tcW w:w="1643" w:type="dxa"/>
            <w:tcBorders>
              <w:left w:val="single" w:sz="4" w:space="0" w:color="808080" w:themeColor="background1" w:themeShade="80"/>
              <w:right w:val="single" w:sz="4" w:space="0" w:color="808080" w:themeColor="background1" w:themeShade="80"/>
            </w:tcBorders>
            <w:hideMark/>
          </w:tcPr>
          <w:p w14:paraId="430A8789" w14:textId="77777777" w:rsidR="00387584" w:rsidRDefault="00387584">
            <w:pPr>
              <w:pStyle w:val="NormalWeb"/>
            </w:pPr>
            <w:r>
              <w:t>100%</w:t>
            </w:r>
          </w:p>
        </w:tc>
        <w:tc>
          <w:tcPr>
            <w:tcW w:w="2030" w:type="dxa"/>
            <w:tcBorders>
              <w:left w:val="single" w:sz="4" w:space="0" w:color="808080" w:themeColor="background1" w:themeShade="80"/>
              <w:right w:val="single" w:sz="4" w:space="0" w:color="808080" w:themeColor="background1" w:themeShade="80"/>
            </w:tcBorders>
            <w:hideMark/>
          </w:tcPr>
          <w:p w14:paraId="05FE771A" w14:textId="77777777" w:rsidR="00387584" w:rsidRDefault="00387584">
            <w:pPr>
              <w:pStyle w:val="NormalWeb"/>
            </w:pPr>
            <w:r>
              <w:t>80%</w:t>
            </w:r>
          </w:p>
        </w:tc>
        <w:tc>
          <w:tcPr>
            <w:tcW w:w="4064" w:type="dxa"/>
            <w:tcBorders>
              <w:left w:val="single" w:sz="4" w:space="0" w:color="808080" w:themeColor="background1" w:themeShade="80"/>
            </w:tcBorders>
            <w:hideMark/>
          </w:tcPr>
          <w:p w14:paraId="0E2BDC3E" w14:textId="77777777" w:rsidR="00387584" w:rsidRDefault="00387584">
            <w:pPr>
              <w:pStyle w:val="NormalWeb"/>
            </w:pPr>
            <w:r>
              <w:t>Milder disease not captured</w:t>
            </w:r>
          </w:p>
        </w:tc>
      </w:tr>
      <w:tr w:rsidR="00530FEE" w14:paraId="57BA5E3B" w14:textId="77777777" w:rsidTr="00530FEE">
        <w:trPr>
          <w:cnfStyle w:val="000000010000" w:firstRow="0" w:lastRow="0" w:firstColumn="0" w:lastColumn="0" w:oddVBand="0" w:evenVBand="0" w:oddHBand="0" w:evenHBand="1" w:firstRowFirstColumn="0" w:firstRowLastColumn="0" w:lastRowFirstColumn="0" w:lastRowLastColumn="0"/>
          <w:divId w:val="31923996"/>
        </w:trPr>
        <w:tc>
          <w:tcPr>
            <w:tcW w:w="3036" w:type="dxa"/>
            <w:tcBorders>
              <w:right w:val="single" w:sz="4" w:space="0" w:color="808080" w:themeColor="background1" w:themeShade="80"/>
            </w:tcBorders>
            <w:hideMark/>
          </w:tcPr>
          <w:p w14:paraId="5B4F1708" w14:textId="77777777" w:rsidR="00387584" w:rsidRDefault="00387584">
            <w:pPr>
              <w:pStyle w:val="NormalWeb"/>
            </w:pPr>
            <w:r>
              <w:t>To collect detailed information on each case of IPD as set out in the NNDSS Invasive Pneumococcal Infection Enhanced Surveillance Form</w:t>
            </w:r>
          </w:p>
        </w:tc>
        <w:tc>
          <w:tcPr>
            <w:tcW w:w="1643" w:type="dxa"/>
            <w:tcBorders>
              <w:left w:val="single" w:sz="4" w:space="0" w:color="808080" w:themeColor="background1" w:themeShade="80"/>
              <w:right w:val="single" w:sz="4" w:space="0" w:color="808080" w:themeColor="background1" w:themeShade="80"/>
            </w:tcBorders>
            <w:hideMark/>
          </w:tcPr>
          <w:p w14:paraId="043385B8" w14:textId="77777777" w:rsidR="00387584" w:rsidRDefault="00387584">
            <w:pPr>
              <w:pStyle w:val="NormalWeb"/>
            </w:pPr>
            <w:r>
              <w:t>90%</w:t>
            </w:r>
          </w:p>
        </w:tc>
        <w:tc>
          <w:tcPr>
            <w:tcW w:w="2030" w:type="dxa"/>
            <w:tcBorders>
              <w:left w:val="single" w:sz="4" w:space="0" w:color="808080" w:themeColor="background1" w:themeShade="80"/>
              <w:right w:val="single" w:sz="4" w:space="0" w:color="808080" w:themeColor="background1" w:themeShade="80"/>
            </w:tcBorders>
            <w:hideMark/>
          </w:tcPr>
          <w:p w14:paraId="479DA854" w14:textId="77777777" w:rsidR="00387584" w:rsidRDefault="00387584">
            <w:pPr>
              <w:pStyle w:val="NormalWeb"/>
            </w:pPr>
            <w:r>
              <w:t>40%</w:t>
            </w:r>
          </w:p>
        </w:tc>
        <w:tc>
          <w:tcPr>
            <w:tcW w:w="4064" w:type="dxa"/>
            <w:tcBorders>
              <w:left w:val="single" w:sz="4" w:space="0" w:color="808080" w:themeColor="background1" w:themeShade="80"/>
            </w:tcBorders>
            <w:hideMark/>
          </w:tcPr>
          <w:p w14:paraId="064F791C" w14:textId="77777777" w:rsidR="00387584" w:rsidRDefault="00387584" w:rsidP="00387584">
            <w:pPr>
              <w:numPr>
                <w:ilvl w:val="0"/>
                <w:numId w:val="10"/>
              </w:numPr>
              <w:spacing w:before="100" w:beforeAutospacing="1" w:after="100" w:afterAutospacing="1"/>
              <w:rPr>
                <w:rFonts w:eastAsia="Times New Roman"/>
              </w:rPr>
            </w:pPr>
            <w:r>
              <w:rPr>
                <w:rFonts w:eastAsia="Times New Roman"/>
              </w:rPr>
              <w:t xml:space="preserve">Largest jurisdictions do not routinely collect detailed information on cases aged over 5 </w:t>
            </w:r>
            <w:proofErr w:type="gramStart"/>
            <w:r>
              <w:rPr>
                <w:rFonts w:eastAsia="Times New Roman"/>
              </w:rPr>
              <w:t>years</w:t>
            </w:r>
            <w:proofErr w:type="gramEnd"/>
          </w:p>
          <w:p w14:paraId="31E5CB70" w14:textId="77777777" w:rsidR="00387584" w:rsidRDefault="00387584" w:rsidP="00387584">
            <w:pPr>
              <w:numPr>
                <w:ilvl w:val="0"/>
                <w:numId w:val="10"/>
              </w:numPr>
              <w:spacing w:before="100" w:beforeAutospacing="1" w:after="100" w:afterAutospacing="1"/>
              <w:rPr>
                <w:rFonts w:eastAsia="Times New Roman"/>
                <w:sz w:val="24"/>
                <w:szCs w:val="24"/>
              </w:rPr>
            </w:pPr>
            <w:r>
              <w:rPr>
                <w:rFonts w:eastAsia="Times New Roman"/>
              </w:rPr>
              <w:t>Antimicrobial resistance (AMR) and serotype data incomplete</w:t>
            </w:r>
          </w:p>
        </w:tc>
      </w:tr>
      <w:tr w:rsidR="00D139D7" w14:paraId="13B5E31B" w14:textId="77777777" w:rsidTr="00530FEE">
        <w:trPr>
          <w:divId w:val="31923996"/>
        </w:trPr>
        <w:tc>
          <w:tcPr>
            <w:tcW w:w="3036" w:type="dxa"/>
            <w:tcBorders>
              <w:right w:val="single" w:sz="4" w:space="0" w:color="808080" w:themeColor="background1" w:themeShade="80"/>
            </w:tcBorders>
            <w:hideMark/>
          </w:tcPr>
          <w:p w14:paraId="23BDCF68" w14:textId="77777777" w:rsidR="00387584" w:rsidRDefault="00387584">
            <w:pPr>
              <w:pStyle w:val="NormalWeb"/>
            </w:pPr>
            <w:r>
              <w:t>To collate nationally this information in the NNDSS dataset for enhanced IPD surveillance</w:t>
            </w:r>
          </w:p>
        </w:tc>
        <w:tc>
          <w:tcPr>
            <w:tcW w:w="1643" w:type="dxa"/>
            <w:tcBorders>
              <w:left w:val="single" w:sz="4" w:space="0" w:color="808080" w:themeColor="background1" w:themeShade="80"/>
              <w:right w:val="single" w:sz="4" w:space="0" w:color="808080" w:themeColor="background1" w:themeShade="80"/>
            </w:tcBorders>
            <w:hideMark/>
          </w:tcPr>
          <w:p w14:paraId="43CA97AE" w14:textId="77777777" w:rsidR="00387584" w:rsidRDefault="00387584">
            <w:pPr>
              <w:pStyle w:val="NormalWeb"/>
            </w:pPr>
            <w:r>
              <w:t>95%</w:t>
            </w:r>
          </w:p>
        </w:tc>
        <w:tc>
          <w:tcPr>
            <w:tcW w:w="2030" w:type="dxa"/>
            <w:tcBorders>
              <w:left w:val="single" w:sz="4" w:space="0" w:color="808080" w:themeColor="background1" w:themeShade="80"/>
              <w:right w:val="single" w:sz="4" w:space="0" w:color="808080" w:themeColor="background1" w:themeShade="80"/>
            </w:tcBorders>
            <w:hideMark/>
          </w:tcPr>
          <w:p w14:paraId="4E29D251" w14:textId="77777777" w:rsidR="00387584" w:rsidRDefault="00387584">
            <w:pPr>
              <w:pStyle w:val="NormalWeb"/>
            </w:pPr>
            <w:r>
              <w:t>80%</w:t>
            </w:r>
          </w:p>
        </w:tc>
        <w:tc>
          <w:tcPr>
            <w:tcW w:w="4064" w:type="dxa"/>
            <w:tcBorders>
              <w:left w:val="single" w:sz="4" w:space="0" w:color="808080" w:themeColor="background1" w:themeShade="80"/>
            </w:tcBorders>
            <w:hideMark/>
          </w:tcPr>
          <w:p w14:paraId="35763AAE" w14:textId="77777777" w:rsidR="00387584" w:rsidRDefault="00387584">
            <w:pPr>
              <w:pStyle w:val="NormalWeb"/>
            </w:pPr>
            <w:r>
              <w:t>Missing data as for Objective 2</w:t>
            </w:r>
          </w:p>
        </w:tc>
      </w:tr>
      <w:tr w:rsidR="00530FEE" w14:paraId="3BC8FC16" w14:textId="77777777" w:rsidTr="00530FEE">
        <w:trPr>
          <w:cnfStyle w:val="000000010000" w:firstRow="0" w:lastRow="0" w:firstColumn="0" w:lastColumn="0" w:oddVBand="0" w:evenVBand="0" w:oddHBand="0" w:evenHBand="1" w:firstRowFirstColumn="0" w:firstRowLastColumn="0" w:lastRowFirstColumn="0" w:lastRowLastColumn="0"/>
          <w:divId w:val="31923996"/>
        </w:trPr>
        <w:tc>
          <w:tcPr>
            <w:tcW w:w="3036" w:type="dxa"/>
            <w:tcBorders>
              <w:right w:val="single" w:sz="4" w:space="0" w:color="808080" w:themeColor="background1" w:themeShade="80"/>
            </w:tcBorders>
            <w:hideMark/>
          </w:tcPr>
          <w:p w14:paraId="43D637A2" w14:textId="77777777" w:rsidR="00387584" w:rsidRDefault="00387584">
            <w:pPr>
              <w:pStyle w:val="NormalWeb"/>
            </w:pPr>
            <w:r>
              <w:t>To measure the impact of conjugate pneumococcal vaccination on the rates and types of pneumococcal disease, the prevalence of circulating pneumococcal serotypes and levels of antibiotic resistance</w:t>
            </w:r>
          </w:p>
        </w:tc>
        <w:tc>
          <w:tcPr>
            <w:tcW w:w="1643" w:type="dxa"/>
            <w:tcBorders>
              <w:left w:val="single" w:sz="4" w:space="0" w:color="808080" w:themeColor="background1" w:themeShade="80"/>
              <w:right w:val="single" w:sz="4" w:space="0" w:color="808080" w:themeColor="background1" w:themeShade="80"/>
            </w:tcBorders>
            <w:hideMark/>
          </w:tcPr>
          <w:p w14:paraId="0C211DDE" w14:textId="77777777" w:rsidR="00387584" w:rsidRDefault="00387584">
            <w:pPr>
              <w:pStyle w:val="NormalWeb"/>
            </w:pPr>
            <w:r>
              <w:t>100%</w:t>
            </w:r>
          </w:p>
        </w:tc>
        <w:tc>
          <w:tcPr>
            <w:tcW w:w="2030" w:type="dxa"/>
            <w:tcBorders>
              <w:left w:val="single" w:sz="4" w:space="0" w:color="808080" w:themeColor="background1" w:themeShade="80"/>
              <w:right w:val="single" w:sz="4" w:space="0" w:color="808080" w:themeColor="background1" w:themeShade="80"/>
            </w:tcBorders>
            <w:hideMark/>
          </w:tcPr>
          <w:p w14:paraId="6D838338" w14:textId="77777777" w:rsidR="00387584" w:rsidRDefault="00387584">
            <w:pPr>
              <w:pStyle w:val="NormalWeb"/>
            </w:pPr>
            <w:r>
              <w:t>40%</w:t>
            </w:r>
          </w:p>
        </w:tc>
        <w:tc>
          <w:tcPr>
            <w:tcW w:w="4064" w:type="dxa"/>
            <w:tcBorders>
              <w:left w:val="single" w:sz="4" w:space="0" w:color="808080" w:themeColor="background1" w:themeShade="80"/>
            </w:tcBorders>
            <w:hideMark/>
          </w:tcPr>
          <w:p w14:paraId="694DF6AC" w14:textId="77777777" w:rsidR="00387584" w:rsidRDefault="00387584" w:rsidP="00387584">
            <w:pPr>
              <w:numPr>
                <w:ilvl w:val="0"/>
                <w:numId w:val="11"/>
              </w:numPr>
              <w:spacing w:before="100" w:beforeAutospacing="1" w:after="100" w:afterAutospacing="1"/>
              <w:rPr>
                <w:rFonts w:eastAsia="Times New Roman"/>
              </w:rPr>
            </w:pPr>
            <w:r>
              <w:rPr>
                <w:rFonts w:eastAsia="Times New Roman"/>
              </w:rPr>
              <w:t xml:space="preserve">Should include polysaccharide </w:t>
            </w:r>
            <w:proofErr w:type="gramStart"/>
            <w:r>
              <w:rPr>
                <w:rFonts w:eastAsia="Times New Roman"/>
              </w:rPr>
              <w:t>vaccination</w:t>
            </w:r>
            <w:proofErr w:type="gramEnd"/>
          </w:p>
          <w:p w14:paraId="6EFD2416" w14:textId="77777777" w:rsidR="00387584" w:rsidRDefault="00387584" w:rsidP="00387584">
            <w:pPr>
              <w:numPr>
                <w:ilvl w:val="0"/>
                <w:numId w:val="11"/>
              </w:numPr>
              <w:spacing w:before="100" w:beforeAutospacing="1" w:after="100" w:afterAutospacing="1"/>
              <w:rPr>
                <w:rFonts w:eastAsia="Times New Roman"/>
              </w:rPr>
            </w:pPr>
            <w:r>
              <w:rPr>
                <w:rFonts w:eastAsia="Times New Roman"/>
              </w:rPr>
              <w:t>Vaccination and AMR data incomplete</w:t>
            </w:r>
          </w:p>
          <w:p w14:paraId="005E46A6" w14:textId="77777777" w:rsidR="00387584" w:rsidRDefault="00387584" w:rsidP="00387584">
            <w:pPr>
              <w:numPr>
                <w:ilvl w:val="0"/>
                <w:numId w:val="11"/>
              </w:numPr>
              <w:spacing w:before="100" w:beforeAutospacing="1" w:after="100" w:afterAutospacing="1"/>
              <w:rPr>
                <w:rFonts w:eastAsia="Times New Roman"/>
                <w:sz w:val="24"/>
                <w:szCs w:val="24"/>
              </w:rPr>
            </w:pPr>
            <w:r>
              <w:rPr>
                <w:rFonts w:eastAsia="Times New Roman"/>
              </w:rPr>
              <w:t>Declining completeness of serotype data due to use of molecular diagnostics</w:t>
            </w:r>
          </w:p>
        </w:tc>
      </w:tr>
      <w:tr w:rsidR="00D139D7" w14:paraId="0B79883B" w14:textId="77777777" w:rsidTr="00530FEE">
        <w:trPr>
          <w:divId w:val="31923996"/>
        </w:trPr>
        <w:tc>
          <w:tcPr>
            <w:tcW w:w="3036" w:type="dxa"/>
            <w:tcBorders>
              <w:right w:val="single" w:sz="4" w:space="0" w:color="808080" w:themeColor="background1" w:themeShade="80"/>
            </w:tcBorders>
            <w:hideMark/>
          </w:tcPr>
          <w:p w14:paraId="287BB129" w14:textId="77777777" w:rsidR="00387584" w:rsidRDefault="00387584">
            <w:pPr>
              <w:pStyle w:val="NormalWeb"/>
            </w:pPr>
            <w:r>
              <w:t>To assess whether cases or deaths in children under 5 years and adults over 65 years are due to IPD vaccine failure or antibiotic resistance</w:t>
            </w:r>
          </w:p>
        </w:tc>
        <w:tc>
          <w:tcPr>
            <w:tcW w:w="1643" w:type="dxa"/>
            <w:tcBorders>
              <w:left w:val="single" w:sz="4" w:space="0" w:color="808080" w:themeColor="background1" w:themeShade="80"/>
              <w:right w:val="single" w:sz="4" w:space="0" w:color="808080" w:themeColor="background1" w:themeShade="80"/>
            </w:tcBorders>
            <w:hideMark/>
          </w:tcPr>
          <w:p w14:paraId="2C48399A" w14:textId="77777777" w:rsidR="00387584" w:rsidRDefault="00387584">
            <w:pPr>
              <w:pStyle w:val="NormalWeb"/>
            </w:pPr>
            <w:r>
              <w:t>85%</w:t>
            </w:r>
          </w:p>
        </w:tc>
        <w:tc>
          <w:tcPr>
            <w:tcW w:w="2030" w:type="dxa"/>
            <w:tcBorders>
              <w:left w:val="single" w:sz="4" w:space="0" w:color="808080" w:themeColor="background1" w:themeShade="80"/>
              <w:right w:val="single" w:sz="4" w:space="0" w:color="808080" w:themeColor="background1" w:themeShade="80"/>
            </w:tcBorders>
            <w:hideMark/>
          </w:tcPr>
          <w:p w14:paraId="69D69C43" w14:textId="77777777" w:rsidR="00387584" w:rsidRDefault="00387584">
            <w:pPr>
              <w:pStyle w:val="NormalWeb"/>
            </w:pPr>
            <w:r>
              <w:t>40%</w:t>
            </w:r>
          </w:p>
        </w:tc>
        <w:tc>
          <w:tcPr>
            <w:tcW w:w="4064" w:type="dxa"/>
            <w:tcBorders>
              <w:left w:val="single" w:sz="4" w:space="0" w:color="808080" w:themeColor="background1" w:themeShade="80"/>
            </w:tcBorders>
            <w:hideMark/>
          </w:tcPr>
          <w:p w14:paraId="6935B5F1" w14:textId="77777777" w:rsidR="00387584" w:rsidRDefault="00387584" w:rsidP="00387584">
            <w:pPr>
              <w:numPr>
                <w:ilvl w:val="0"/>
                <w:numId w:val="12"/>
              </w:numPr>
              <w:spacing w:before="100" w:beforeAutospacing="1" w:after="100" w:afterAutospacing="1"/>
              <w:rPr>
                <w:rFonts w:eastAsia="Times New Roman"/>
              </w:rPr>
            </w:pPr>
            <w:r>
              <w:rPr>
                <w:rFonts w:eastAsia="Times New Roman"/>
              </w:rPr>
              <w:t xml:space="preserve">Cannot infer causality, only </w:t>
            </w:r>
            <w:proofErr w:type="gramStart"/>
            <w:r>
              <w:rPr>
                <w:rFonts w:eastAsia="Times New Roman"/>
              </w:rPr>
              <w:t>association</w:t>
            </w:r>
            <w:proofErr w:type="gramEnd"/>
          </w:p>
          <w:p w14:paraId="4C91C534" w14:textId="77777777" w:rsidR="00387584" w:rsidRDefault="00387584" w:rsidP="00387584">
            <w:pPr>
              <w:numPr>
                <w:ilvl w:val="0"/>
                <w:numId w:val="12"/>
              </w:numPr>
              <w:spacing w:before="100" w:beforeAutospacing="1" w:after="100" w:afterAutospacing="1"/>
              <w:rPr>
                <w:rFonts w:eastAsia="Times New Roman"/>
              </w:rPr>
            </w:pPr>
            <w:r>
              <w:rPr>
                <w:rFonts w:eastAsia="Times New Roman"/>
              </w:rPr>
              <w:t xml:space="preserve">Difficulty in determining </w:t>
            </w:r>
            <w:proofErr w:type="gramStart"/>
            <w:r>
              <w:rPr>
                <w:rFonts w:eastAsia="Times New Roman"/>
              </w:rPr>
              <w:t>deaths</w:t>
            </w:r>
            <w:proofErr w:type="gramEnd"/>
          </w:p>
          <w:p w14:paraId="0F472FE3" w14:textId="77777777" w:rsidR="00387584" w:rsidRDefault="00387584" w:rsidP="00387584">
            <w:pPr>
              <w:numPr>
                <w:ilvl w:val="0"/>
                <w:numId w:val="12"/>
              </w:numPr>
              <w:spacing w:before="100" w:beforeAutospacing="1" w:after="100" w:afterAutospacing="1"/>
              <w:rPr>
                <w:rFonts w:eastAsia="Times New Roman"/>
              </w:rPr>
            </w:pPr>
            <w:r>
              <w:rPr>
                <w:rFonts w:eastAsia="Times New Roman"/>
              </w:rPr>
              <w:t xml:space="preserve">Should include other high-risk groups targeted for </w:t>
            </w:r>
            <w:proofErr w:type="gramStart"/>
            <w:r>
              <w:rPr>
                <w:rFonts w:eastAsia="Times New Roman"/>
              </w:rPr>
              <w:t>vaccination</w:t>
            </w:r>
            <w:proofErr w:type="gramEnd"/>
          </w:p>
          <w:p w14:paraId="3904E2B2" w14:textId="77777777" w:rsidR="00387584" w:rsidRDefault="00387584" w:rsidP="00387584">
            <w:pPr>
              <w:numPr>
                <w:ilvl w:val="0"/>
                <w:numId w:val="12"/>
              </w:numPr>
              <w:spacing w:before="100" w:beforeAutospacing="1" w:after="100" w:afterAutospacing="1"/>
              <w:rPr>
                <w:rFonts w:eastAsia="Times New Roman"/>
                <w:sz w:val="24"/>
                <w:szCs w:val="24"/>
              </w:rPr>
            </w:pPr>
            <w:r>
              <w:rPr>
                <w:rFonts w:eastAsia="Times New Roman"/>
              </w:rPr>
              <w:t xml:space="preserve">Vaccination, </w:t>
            </w:r>
            <w:proofErr w:type="gramStart"/>
            <w:r>
              <w:rPr>
                <w:rFonts w:eastAsia="Times New Roman"/>
              </w:rPr>
              <w:t>serotype</w:t>
            </w:r>
            <w:proofErr w:type="gramEnd"/>
            <w:r>
              <w:rPr>
                <w:rFonts w:eastAsia="Times New Roman"/>
              </w:rPr>
              <w:t xml:space="preserve"> and AMR data incomplete</w:t>
            </w:r>
          </w:p>
        </w:tc>
      </w:tr>
    </w:tbl>
    <w:p w14:paraId="506BF070" w14:textId="77777777" w:rsidR="000B249B" w:rsidRDefault="000B249B" w:rsidP="000B249B">
      <w:pPr>
        <w:rPr>
          <w:rFonts w:asciiTheme="majorHAnsi" w:eastAsia="Times New Roman" w:hAnsiTheme="majorHAnsi" w:cstheme="majorBidi"/>
        </w:rPr>
      </w:pPr>
      <w:r>
        <w:rPr>
          <w:rFonts w:eastAsia="Times New Roman"/>
        </w:rPr>
        <w:br w:type="page"/>
      </w:r>
    </w:p>
    <w:p w14:paraId="57F3CA95" w14:textId="77777777" w:rsidR="00387584" w:rsidRDefault="00387584" w:rsidP="001B076B">
      <w:pPr>
        <w:pStyle w:val="Heading2"/>
        <w:divId w:val="31923996"/>
        <w:rPr>
          <w:rFonts w:eastAsia="Times New Roman"/>
        </w:rPr>
      </w:pPr>
      <w:r>
        <w:rPr>
          <w:rFonts w:eastAsia="Times New Roman"/>
        </w:rPr>
        <w:lastRenderedPageBreak/>
        <w:t>Usefulness</w:t>
      </w:r>
    </w:p>
    <w:p w14:paraId="3EAFA46C" w14:textId="77777777" w:rsidR="00387584" w:rsidRDefault="00387584" w:rsidP="000E09AF">
      <w:pPr>
        <w:divId w:val="31923996"/>
      </w:pPr>
      <w:r>
        <w:t>Over 90% of respondents in EIPDSWG interviews and the stakeholder survey indicated that the program was very or extremely useful. Surveillance data provided evidence of serotype replacement following the introduction of the national universal infant pneumococcal vaccination program in 2005 and informed a change in the recommended vaccine for infants in 2011.</w:t>
      </w:r>
      <w:r>
        <w:rPr>
          <w:vertAlign w:val="superscript"/>
        </w:rPr>
        <w:t>28</w:t>
      </w:r>
      <w:r w:rsidR="00795F7D">
        <w:t xml:space="preserve"> H</w:t>
      </w:r>
      <w:r>
        <w:t xml:space="preserve">owever, the program is less useful for monitoring the response to vaccination programs targeted to other high-risk groups, due to lower completeness in vaccination and risk factor data fields for cases aged over five years. There are inconsistencies between risk factor categories in jurisdictional data collection forms, the national dataset, and </w:t>
      </w:r>
      <w:r w:rsidRPr="00F428EE">
        <w:rPr>
          <w:rStyle w:val="Emphasis"/>
          <w:b w:val="0"/>
        </w:rPr>
        <w:t>The Australian Immunisation Handbook 10th Edition</w:t>
      </w:r>
      <w:r>
        <w:t>.</w:t>
      </w:r>
      <w:r>
        <w:rPr>
          <w:vertAlign w:val="superscript"/>
        </w:rPr>
        <w:t>19</w:t>
      </w:r>
      <w:r w:rsidR="00F33CF2">
        <w:t xml:space="preserve"> A</w:t>
      </w:r>
      <w:r>
        <w:t xml:space="preserve">ntimicrobial resistance (AMR) data collected during IPD surveillance has been requested by the Antimicrobial Use and Resistance in Australia (AURA) project for monitoring </w:t>
      </w:r>
      <w:r w:rsidRPr="00F428EE">
        <w:rPr>
          <w:rStyle w:val="Emphasis"/>
          <w:b w:val="0"/>
        </w:rPr>
        <w:t>S. pneumoniae</w:t>
      </w:r>
      <w:r>
        <w:t xml:space="preserve"> resistance. Currently, the surveillance data have only moderate utility for this </w:t>
      </w:r>
      <w:proofErr w:type="gramStart"/>
      <w:r>
        <w:t>purpose, because</w:t>
      </w:r>
      <w:proofErr w:type="gramEnd"/>
      <w:r>
        <w:t xml:space="preserve"> reference laboratories are not funded to test susceptibility to the full panel of antimicrobials, and because problems with data entry and transmission in some jurisdictions have led to missing data on sensitivity to first-line antimicrobials. Other stakeholders indicated that the public IPD dataset would be more useful if it included more detailed data from 2001 onwards. The EIPDSWG has proved a useful forum for rapid communication between jurisdictions, with members indicating that it assisted in the detection of a cross-border pneumococcal outbreak in 2011 and 2012.</w:t>
      </w:r>
    </w:p>
    <w:p w14:paraId="7343AB75" w14:textId="77777777" w:rsidR="00387584" w:rsidRDefault="00387584" w:rsidP="001B076B">
      <w:pPr>
        <w:pStyle w:val="Heading2"/>
        <w:divId w:val="31923996"/>
        <w:rPr>
          <w:rFonts w:eastAsia="Times New Roman"/>
        </w:rPr>
      </w:pPr>
      <w:r>
        <w:rPr>
          <w:rFonts w:eastAsia="Times New Roman"/>
        </w:rPr>
        <w:t>Simplicity</w:t>
      </w:r>
    </w:p>
    <w:p w14:paraId="06159ABF" w14:textId="77777777" w:rsidR="00387584" w:rsidRDefault="00387584" w:rsidP="000E09AF">
      <w:pPr>
        <w:divId w:val="31923996"/>
      </w:pPr>
      <w:r>
        <w:t>Although stakeholders indicated that the notification process was easy, the surveillance program is not a simple system. This is largely due to the collection of enhanced data. The flow of data is complicated, and this is compounded by the fact that data collection systems are not harmonised across jurisdictions.</w:t>
      </w:r>
    </w:p>
    <w:p w14:paraId="05DE52F4" w14:textId="77777777" w:rsidR="00387584" w:rsidRDefault="00387584" w:rsidP="001B076B">
      <w:pPr>
        <w:pStyle w:val="Heading2"/>
        <w:divId w:val="31923996"/>
        <w:rPr>
          <w:rFonts w:eastAsia="Times New Roman"/>
        </w:rPr>
      </w:pPr>
      <w:r>
        <w:rPr>
          <w:rFonts w:eastAsia="Times New Roman"/>
        </w:rPr>
        <w:t>Data completeness and quality</w:t>
      </w:r>
    </w:p>
    <w:p w14:paraId="3D210BA5" w14:textId="77777777" w:rsidR="00387584" w:rsidRDefault="00387584" w:rsidP="000E09AF">
      <w:pPr>
        <w:divId w:val="31923996"/>
      </w:pPr>
      <w:r>
        <w:t>The quality and completeness of the surveillance data is excellent overall (Figure 2), but some issues were identified (Table 3).</w:t>
      </w:r>
    </w:p>
    <w:p w14:paraId="37C88AD7" w14:textId="77777777" w:rsidR="009F5AC4" w:rsidRDefault="009F5AC4">
      <w:pPr>
        <w:rPr>
          <w:b/>
        </w:rPr>
      </w:pPr>
      <w:r>
        <w:br w:type="page"/>
      </w:r>
    </w:p>
    <w:p w14:paraId="2383220A" w14:textId="77777777" w:rsidR="00387584" w:rsidRDefault="00387584" w:rsidP="000E09AF">
      <w:pPr>
        <w:pStyle w:val="CDIFigures"/>
        <w:divId w:val="31923996"/>
      </w:pPr>
      <w:r>
        <w:lastRenderedPageBreak/>
        <w:t>Figure 2 Completeness of data for IPD cases notified between 1 July 2013 and 30 June 2016, Australia.</w:t>
      </w:r>
    </w:p>
    <w:p w14:paraId="78BD9B7E" w14:textId="77777777" w:rsidR="00387584" w:rsidRDefault="00387584" w:rsidP="00ED3180">
      <w:pPr>
        <w:pStyle w:val="NormalWeb"/>
        <w:jc w:val="center"/>
        <w:divId w:val="31923996"/>
      </w:pPr>
      <w:r>
        <w:rPr>
          <w:noProof/>
        </w:rPr>
        <w:drawing>
          <wp:inline distT="0" distB="0" distL="0" distR="0" wp14:anchorId="19224ED6" wp14:editId="4D066A48">
            <wp:extent cx="6583680" cy="5159296"/>
            <wp:effectExtent l="0" t="0" r="7620" b="3810"/>
            <wp:docPr id="2" name="Picture 2" descr="Figure 2&#10; - One hundred per cent stacked bar chart showing that completeness of vaccination history data was 68% for all cases, 94% for cases aged under 5 years and 80% for cases aged over 50 years. Serotype data was recorded for 68% for all cases, 94% for cases aged under 5 years and 80% for cases aged over 50 years. Serotype testing was not performed on 4.5% of all cases.  Data for first-line and full-panel antimicrobial sensitivity was recorded for 78% and 7% of all cases, respectively.  Completeness for other data fields in all cases was 74% for risk factors, 90% for Indigenous status and mortality, and 9% for hospitalisation&#10;"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10; - One hundred per cent stacked bar chart showing that completeness of vaccination history data was 68% for all cases, 94% for cases aged under 5 years and 80% for cases aged over 50 years. Serotype data was recorded for 68% for all cases, 94% for cases aged under 5 years and 80% for cases aged over 50 years. Serotype testing was not performed on 4.5% of all cases.  Data for first-line and full-panel antimicrobial sensitivity was recorded for 78% and 7% of all cases, respectively.  Completeness for other data fields in all cases was 74% for risk factors, 90% for Indigenous status and mortality, and 9% for hospitalisation&#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5489" cy="5160714"/>
                    </a:xfrm>
                    <a:prstGeom prst="rect">
                      <a:avLst/>
                    </a:prstGeom>
                    <a:noFill/>
                    <a:ln>
                      <a:noFill/>
                    </a:ln>
                  </pic:spPr>
                </pic:pic>
              </a:graphicData>
            </a:graphic>
          </wp:inline>
        </w:drawing>
      </w:r>
    </w:p>
    <w:p w14:paraId="1D032404" w14:textId="77777777" w:rsidR="00387584" w:rsidRDefault="00387584" w:rsidP="000E09AF">
      <w:pPr>
        <w:pStyle w:val="CDIfootnotes"/>
        <w:divId w:val="31923996"/>
      </w:pPr>
      <w:r>
        <w:rPr>
          <w:vertAlign w:val="superscript"/>
        </w:rPr>
        <w:t>*</w:t>
      </w:r>
      <w:r>
        <w:t>All cases;</w:t>
      </w:r>
      <w:r>
        <w:br/>
      </w:r>
      <w:r>
        <w:rPr>
          <w:vertAlign w:val="superscript"/>
        </w:rPr>
        <w:t>†</w:t>
      </w:r>
      <w:r>
        <w:t>cases aged &lt;5 years only;</w:t>
      </w:r>
      <w:r>
        <w:br/>
      </w:r>
      <w:r>
        <w:rPr>
          <w:vertAlign w:val="superscript"/>
        </w:rPr>
        <w:t>‡</w:t>
      </w:r>
      <w:r>
        <w:t>cases aged &gt;50 years only;</w:t>
      </w:r>
      <w:r>
        <w:br/>
      </w:r>
      <w:r>
        <w:rPr>
          <w:vertAlign w:val="superscript"/>
        </w:rPr>
        <w:t>§</w:t>
      </w:r>
      <w:r>
        <w:t>the proportion of cases for which testing is performed is unknown.</w:t>
      </w:r>
    </w:p>
    <w:p w14:paraId="1C896F05" w14:textId="77777777" w:rsidR="00E3112A" w:rsidRDefault="00E3112A">
      <w:pPr>
        <w:rPr>
          <w:rFonts w:asciiTheme="majorHAnsi" w:eastAsia="Times New Roman" w:hAnsiTheme="majorHAnsi" w:cstheme="majorBidi"/>
          <w:b/>
          <w:bCs/>
        </w:rPr>
      </w:pPr>
      <w:r>
        <w:rPr>
          <w:rFonts w:eastAsia="Times New Roman"/>
        </w:rPr>
        <w:br w:type="page"/>
      </w:r>
    </w:p>
    <w:p w14:paraId="5F74C3D1" w14:textId="77777777" w:rsidR="00387584" w:rsidRDefault="00387584" w:rsidP="001B076B">
      <w:pPr>
        <w:pStyle w:val="Heading2"/>
        <w:divId w:val="31923996"/>
        <w:rPr>
          <w:rFonts w:eastAsia="Times New Roman"/>
        </w:rPr>
      </w:pPr>
      <w:r>
        <w:rPr>
          <w:rFonts w:eastAsia="Times New Roman"/>
        </w:rPr>
        <w:lastRenderedPageBreak/>
        <w:t>Flexibility</w:t>
      </w:r>
    </w:p>
    <w:p w14:paraId="1D892130" w14:textId="77777777" w:rsidR="00387584" w:rsidRDefault="00387584" w:rsidP="000E09AF">
      <w:pPr>
        <w:divId w:val="31923996"/>
      </w:pPr>
      <w:r>
        <w:t>Over 15 years, the program has been flexible enough to accommodate changes in IPD epidemiology and available vaccines. Examination of the core and enhanced data fields revision history indicates multiple changes to both datasets since 2001, including changes to reflect the introduction of the 13vPCV and the identification of new serotypes. However, the program needs to accommodate trends in laboratory methods. In particular, the increase in the proportion of cases confirmed by polymerase chain reaction (PCR) only will reduce the program’s ability to attain high completeness for serotype and AMR data fields. The move towards whole-genome sequencing (WGS) for diagnosis and surveillance will lead to profound advances in the understanding of communicable disease epidemiology.</w:t>
      </w:r>
      <w:r>
        <w:rPr>
          <w:vertAlign w:val="superscript"/>
        </w:rPr>
        <w:t>29</w:t>
      </w:r>
      <w:r>
        <w:t xml:space="preserve"> A study using Canadian pneumococcal surveillance isolates demonstrated 95% sensitivity and 100% specificity of genomic prediction of susceptibility to erythromycin, clindamycin, chloramphenicol and tetracycline; and a 98% success rate for determining sequence type.</w:t>
      </w:r>
      <w:r>
        <w:rPr>
          <w:vertAlign w:val="superscript"/>
        </w:rPr>
        <w:t>30</w:t>
      </w:r>
      <w:r>
        <w:t xml:space="preserve"> Researchers who conducted a similar study in the United States concluded that their WGS-based methodology could accurately and reliably detect and measure resistance phenotypes, and determine other critical pneumococcal strain features.</w:t>
      </w:r>
      <w:r>
        <w:rPr>
          <w:vertAlign w:val="superscript"/>
        </w:rPr>
        <w:t xml:space="preserve">31 </w:t>
      </w:r>
      <w:r w:rsidR="008D6848">
        <w:t xml:space="preserve"> T</w:t>
      </w:r>
      <w:r>
        <w:t xml:space="preserve">he EIPDSWG could consider initiating or </w:t>
      </w:r>
      <w:proofErr w:type="spellStart"/>
      <w:r>
        <w:t>auspicing</w:t>
      </w:r>
      <w:proofErr w:type="spellEnd"/>
      <w:r>
        <w:t xml:space="preserve"> pilot implementation studies of WGS using Australian IPD surveillance data. The speed of change in next-generation sequencing indicates that WGS may soon be comparable to conventional laboratory methods in terms of time and cost.</w:t>
      </w:r>
      <w:r>
        <w:rPr>
          <w:vertAlign w:val="superscript"/>
        </w:rPr>
        <w:t>29</w:t>
      </w:r>
      <w:r w:rsidR="005202E3">
        <w:rPr>
          <w:vertAlign w:val="superscript"/>
        </w:rPr>
        <w:t>, 32</w:t>
      </w:r>
      <w:r>
        <w:t xml:space="preserve"> Now is the time for the EIPDSWG to initiate work with relevant parties to plan for such a change in Australia, ensuring that standards and formats allow data to be shared and synthesised internationally.</w:t>
      </w:r>
    </w:p>
    <w:p w14:paraId="30CAF65F" w14:textId="77777777" w:rsidR="00387584" w:rsidRDefault="00387584" w:rsidP="001B076B">
      <w:pPr>
        <w:pStyle w:val="Heading2"/>
        <w:divId w:val="31923996"/>
        <w:rPr>
          <w:rFonts w:eastAsia="Times New Roman"/>
        </w:rPr>
      </w:pPr>
      <w:r>
        <w:rPr>
          <w:rFonts w:eastAsia="Times New Roman"/>
        </w:rPr>
        <w:t>Acceptability</w:t>
      </w:r>
    </w:p>
    <w:p w14:paraId="755A5C5F" w14:textId="77777777" w:rsidR="00387584" w:rsidRDefault="00387584" w:rsidP="000E09AF">
      <w:pPr>
        <w:divId w:val="31923996"/>
      </w:pPr>
      <w:r>
        <w:t>Overall, the program is acceptable to diagnostic laboratories, largely as a result of engagement with laboratory networks during the planning and early implementation phases in 2000 and 2001. However, work is required to ensure the ongoing commitment of laboratories to forward isolates to the reference laboratories for serotyping and AMR testing. Also, the burden of following up every case is unacceptable to some jurisdictions. These jurisdictions could consider collecting data on a random sample of cases aged five to 50 years. The expansion of the national My Health Record and transition to an opt-out system</w:t>
      </w:r>
      <w:r>
        <w:rPr>
          <w:vertAlign w:val="superscript"/>
        </w:rPr>
        <w:t>33</w:t>
      </w:r>
      <w:r>
        <w:t xml:space="preserve"> may also improve acceptability, data completeness and quality.</w:t>
      </w:r>
    </w:p>
    <w:p w14:paraId="26969BC1" w14:textId="77777777" w:rsidR="00387584" w:rsidRDefault="00387584" w:rsidP="001B076B">
      <w:pPr>
        <w:pStyle w:val="Heading2"/>
        <w:divId w:val="31923996"/>
        <w:rPr>
          <w:rFonts w:eastAsia="Times New Roman"/>
        </w:rPr>
      </w:pPr>
      <w:r>
        <w:rPr>
          <w:rFonts w:eastAsia="Times New Roman"/>
        </w:rPr>
        <w:t>Sensitivity</w:t>
      </w:r>
    </w:p>
    <w:p w14:paraId="7AE1FCAC" w14:textId="77777777" w:rsidR="00387584" w:rsidRDefault="00387584" w:rsidP="000E09AF">
      <w:pPr>
        <w:divId w:val="31923996"/>
      </w:pPr>
      <w:r>
        <w:t>A capture-recapture study using linked hospitalisation data estimated the sensitivity of the surveillance program in Victoria to be 78%.</w:t>
      </w:r>
      <w:r>
        <w:rPr>
          <w:vertAlign w:val="superscript"/>
        </w:rPr>
        <w:t>34</w:t>
      </w:r>
      <w:r>
        <w:t xml:space="preserve"> However, this study used data from the first two years of surveillance (2001-2003), when laboratory staff and doctors may have been unaccustomed to notifying cases of IPD. The current sensitivity of the national program for detecting cases of IPD is unknown, but EIPDSWG members and stakeholders felt that it was acceptable. The factors affecting the ability of the system to capture every case (shown in Figure 3) are beyond the control of the EIPDSWG. The availability of PCR, the results of which are unaffected by antimicrobial treatment, improves diagnostic and surveillance sensitivity, although serotyping from PCR is less sensitive than from culture-based methods.</w:t>
      </w:r>
      <w:r>
        <w:rPr>
          <w:vertAlign w:val="superscript"/>
        </w:rPr>
        <w:t>35</w:t>
      </w:r>
    </w:p>
    <w:p w14:paraId="4AA75037" w14:textId="77777777" w:rsidR="005944C3" w:rsidRDefault="005944C3">
      <w:r>
        <w:br w:type="page"/>
      </w:r>
    </w:p>
    <w:p w14:paraId="0FBD2008" w14:textId="77777777" w:rsidR="005944C3" w:rsidRDefault="005944C3" w:rsidP="005944C3">
      <w:pPr>
        <w:pStyle w:val="NormalWeb"/>
        <w:divId w:val="31923996"/>
        <w:rPr>
          <w:rFonts w:cs="Minion Pro SmBd"/>
          <w:b/>
          <w:bCs/>
          <w:color w:val="211D1E"/>
          <w:sz w:val="23"/>
          <w:szCs w:val="23"/>
        </w:rPr>
      </w:pPr>
      <w:r>
        <w:rPr>
          <w:rFonts w:cs="Minion Pro SmBd"/>
          <w:b/>
          <w:bCs/>
          <w:color w:val="211D1E"/>
          <w:sz w:val="23"/>
          <w:szCs w:val="23"/>
        </w:rPr>
        <w:lastRenderedPageBreak/>
        <w:t xml:space="preserve">Figure 3 Factors affecting sensitivity of the IPD surveillance Program. </w:t>
      </w:r>
    </w:p>
    <w:p w14:paraId="65828269" w14:textId="77777777" w:rsidR="00387584" w:rsidRDefault="00387584" w:rsidP="00FE6DF0">
      <w:pPr>
        <w:pStyle w:val="NormalWeb"/>
        <w:jc w:val="center"/>
        <w:divId w:val="31923996"/>
      </w:pPr>
      <w:r>
        <w:rPr>
          <w:noProof/>
        </w:rPr>
        <w:drawing>
          <wp:inline distT="0" distB="0" distL="0" distR="0" wp14:anchorId="54371E5D" wp14:editId="44C47117">
            <wp:extent cx="4571524" cy="5351228"/>
            <wp:effectExtent l="0" t="0" r="635" b="1905"/>
            <wp:docPr id="3" name="Picture 3" descr="Figure 3 shows factors that may prevent case notification (ie factors that affect sensitivity of the program).  These factors are shown as they may occur along a timeline from case onset to notification. &#10;"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Figure 3 shows factors that may prevent case notification (ie factors that affect sensitivity of the program).  These factors are shown as they may occur along a timeline from case onset to notification.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468" cy="5364039"/>
                    </a:xfrm>
                    <a:prstGeom prst="rect">
                      <a:avLst/>
                    </a:prstGeom>
                    <a:noFill/>
                    <a:ln>
                      <a:noFill/>
                    </a:ln>
                  </pic:spPr>
                </pic:pic>
              </a:graphicData>
            </a:graphic>
          </wp:inline>
        </w:drawing>
      </w:r>
    </w:p>
    <w:p w14:paraId="5AD1D620" w14:textId="77777777" w:rsidR="00387584" w:rsidRDefault="00387584" w:rsidP="001B076B">
      <w:pPr>
        <w:pStyle w:val="Heading2"/>
        <w:divId w:val="31923996"/>
        <w:rPr>
          <w:rFonts w:eastAsia="Times New Roman"/>
        </w:rPr>
      </w:pPr>
      <w:r>
        <w:rPr>
          <w:rFonts w:eastAsia="Times New Roman"/>
        </w:rPr>
        <w:t>Positive Predictive Value</w:t>
      </w:r>
    </w:p>
    <w:p w14:paraId="3F107D9D" w14:textId="77777777" w:rsidR="00387584" w:rsidRDefault="00387584" w:rsidP="005C6D4F">
      <w:pPr>
        <w:divId w:val="31923996"/>
      </w:pPr>
      <w:r>
        <w:t xml:space="preserve">As only laboratory-confirmed (not suspected) cases are notified, it is rare for non-IPD cases to be notified, and so it is likely that the positive predictive value is high. Notified cases that are not IPD are mainly due to notification of isolates from a non-sterile site (e.g. sputum, bronchial washings, ear swabs), or urinary antigen testing. Rarely, the reference laboratory identifies the isolate as a bacterium other than </w:t>
      </w:r>
      <w:r w:rsidRPr="00F428EE">
        <w:rPr>
          <w:rStyle w:val="Emphasis"/>
          <w:b w:val="0"/>
        </w:rPr>
        <w:t xml:space="preserve">S. </w:t>
      </w:r>
      <w:r w:rsidR="00C63508" w:rsidRPr="00F428EE">
        <w:rPr>
          <w:rStyle w:val="Emphasis"/>
          <w:b w:val="0"/>
        </w:rPr>
        <w:t>pneumoniae</w:t>
      </w:r>
      <w:r w:rsidR="00C63508">
        <w:t>,</w:t>
      </w:r>
      <w:r>
        <w:t xml:space="preserve"> despite a positive culture in the diagnostic laboratory.</w:t>
      </w:r>
    </w:p>
    <w:p w14:paraId="76AFD0C4" w14:textId="77777777" w:rsidR="00387584" w:rsidRDefault="00387584" w:rsidP="001B076B">
      <w:pPr>
        <w:pStyle w:val="Heading2"/>
        <w:divId w:val="31923996"/>
        <w:rPr>
          <w:rFonts w:eastAsia="Times New Roman"/>
        </w:rPr>
      </w:pPr>
      <w:r>
        <w:rPr>
          <w:rFonts w:eastAsia="Times New Roman"/>
        </w:rPr>
        <w:t>Representativeness</w:t>
      </w:r>
    </w:p>
    <w:p w14:paraId="51E8DC26" w14:textId="77777777" w:rsidR="00387584" w:rsidRDefault="00387584" w:rsidP="005C6D4F">
      <w:pPr>
        <w:divId w:val="31923996"/>
      </w:pPr>
      <w:r>
        <w:t>As the true sensitivity of the program is unknown, it is difficult to determine if there is any pattern to missed cases. It is clear that, for cases aged between five and 50 years, there is relatively lower completeness of vaccination history, Indigenous status, and enhanced data fields (including risk factors), compared with other cases.</w:t>
      </w:r>
    </w:p>
    <w:p w14:paraId="6D527BD6" w14:textId="77777777" w:rsidR="00387584" w:rsidRDefault="00387584" w:rsidP="001B076B">
      <w:pPr>
        <w:pStyle w:val="Heading2"/>
        <w:divId w:val="31923996"/>
        <w:rPr>
          <w:rFonts w:eastAsia="Times New Roman"/>
        </w:rPr>
      </w:pPr>
      <w:r>
        <w:rPr>
          <w:rFonts w:eastAsia="Times New Roman"/>
        </w:rPr>
        <w:t>Timeliness</w:t>
      </w:r>
    </w:p>
    <w:p w14:paraId="1065BF60" w14:textId="77777777" w:rsidR="00387584" w:rsidRDefault="00387584" w:rsidP="005C6D4F">
      <w:pPr>
        <w:divId w:val="31923996"/>
      </w:pPr>
      <w:r>
        <w:t>The median time between onset of disease and receipt of notification by the jurisdictions (six days, Figure 3), and between notification and publication of data summaries in Quarterly Reports (three months), was acceptable. However, there is significant delay of up to 10 months in transmission of enhanced data from the NNDSS to the National Centre for Immunisation Research and Surveillance (NCIRS) due to data quality checks. This therefore delays the annual IPD report from NCIRS to ATAGI.</w:t>
      </w:r>
    </w:p>
    <w:p w14:paraId="2A6B7874" w14:textId="77777777" w:rsidR="00387584" w:rsidRDefault="00387584" w:rsidP="001B076B">
      <w:pPr>
        <w:pStyle w:val="Heading2"/>
        <w:divId w:val="31923996"/>
        <w:rPr>
          <w:rFonts w:eastAsia="Times New Roman"/>
        </w:rPr>
      </w:pPr>
      <w:r>
        <w:rPr>
          <w:rFonts w:eastAsia="Times New Roman"/>
        </w:rPr>
        <w:lastRenderedPageBreak/>
        <w:t>Stability</w:t>
      </w:r>
    </w:p>
    <w:p w14:paraId="77F8C4EA" w14:textId="77777777" w:rsidR="00387584" w:rsidRDefault="00387584" w:rsidP="005C6D4F">
      <w:pPr>
        <w:divId w:val="31923996"/>
      </w:pPr>
      <w:r>
        <w:t xml:space="preserve">Forty percent of EIPDSWG interviewees rated the stability of the program as ‘excellent’, and half rated it as ‘good’. None indicated that there had been any significant periods during which the program could not function. The exception was one reference laboratory which became overwhelmed during the 2009 H1N1 influenza </w:t>
      </w:r>
      <w:proofErr w:type="gramStart"/>
      <w:r>
        <w:t>pandemic, and</w:t>
      </w:r>
      <w:proofErr w:type="gramEnd"/>
      <w:r>
        <w:t xml:space="preserve"> was unable to type about 20% of IPD isolates. These favourable responses reflect the fact that the program has operated for over 15 years without major </w:t>
      </w:r>
      <w:proofErr w:type="gramStart"/>
      <w:r>
        <w:t>problems, and</w:t>
      </w:r>
      <w:proofErr w:type="gramEnd"/>
      <w:r>
        <w:t xml:space="preserve"> confirm that the NNDSS is a stable system. Steps must be taken to ensure the succession of EIPDSWG members who, through their passion for IPD prevention, have achieved the stability and longevity of the program so far.</w:t>
      </w:r>
    </w:p>
    <w:p w14:paraId="1DA74FDA" w14:textId="77777777" w:rsidR="00387584" w:rsidRDefault="00387584" w:rsidP="005C6D4F">
      <w:pPr>
        <w:pStyle w:val="CDIFigures"/>
        <w:divId w:val="31923996"/>
      </w:pPr>
      <w:r>
        <w:t>Table 4 Issues affecting quality and completeness of data in Australia’s Enhanced Invasive Pneumococcal Disease Surveillance Program, 2017.</w:t>
      </w:r>
    </w:p>
    <w:tbl>
      <w:tblPr>
        <w:tblStyle w:val="CDI-StandardTable"/>
        <w:tblW w:w="0" w:type="auto"/>
        <w:tblLook w:val="04A0" w:firstRow="1" w:lastRow="0" w:firstColumn="1" w:lastColumn="0" w:noHBand="0" w:noVBand="1"/>
        <w:tblCaption w:val="Table 4 Issues affecting quality and completeness of data in Australia’s Enhanced Invasive Pneumococcal Disease Surveillance Program, 2017."/>
        <w:tblDescription w:val="Table 3 shows that the quality and completeness of national IPD data is affected by a number of issues, namely: not all cases being routinely followed up in all jurisdictions; difficulty accessing medical records; testing not being performed; issues with data entry or transmission;  no hospitalisation data field in the national collection form; and data entry errors."/>
      </w:tblPr>
      <w:tblGrid>
        <w:gridCol w:w="3552"/>
        <w:gridCol w:w="2727"/>
        <w:gridCol w:w="2107"/>
        <w:gridCol w:w="2320"/>
      </w:tblGrid>
      <w:tr w:rsidR="00031E4C" w:rsidRPr="00031E4C" w14:paraId="181B8407" w14:textId="77777777" w:rsidTr="0075484A">
        <w:trPr>
          <w:cnfStyle w:val="100000000000" w:firstRow="1" w:lastRow="0" w:firstColumn="0" w:lastColumn="0" w:oddVBand="0" w:evenVBand="0" w:oddHBand="0" w:evenHBand="0" w:firstRowFirstColumn="0" w:firstRowLastColumn="0" w:lastRowFirstColumn="0" w:lastRowLastColumn="0"/>
          <w:divId w:val="31923996"/>
          <w:tblHeader/>
        </w:trPr>
        <w:tc>
          <w:tcPr>
            <w:tcW w:w="0" w:type="auto"/>
            <w:hideMark/>
          </w:tcPr>
          <w:p w14:paraId="36AF2800" w14:textId="77777777" w:rsidR="00387584" w:rsidRPr="00031E4C" w:rsidRDefault="00387584" w:rsidP="00953ADC">
            <w:pPr>
              <w:pStyle w:val="NormalWeb"/>
              <w:rPr>
                <w:color w:val="FFFFFF" w:themeColor="background1"/>
              </w:rPr>
            </w:pPr>
            <w:r w:rsidRPr="00031E4C">
              <w:rPr>
                <w:color w:val="FFFFFF" w:themeColor="background1"/>
              </w:rPr>
              <w:t>Issue</w:t>
            </w:r>
          </w:p>
        </w:tc>
        <w:tc>
          <w:tcPr>
            <w:tcW w:w="0" w:type="auto"/>
            <w:hideMark/>
          </w:tcPr>
          <w:p w14:paraId="789E5E9D" w14:textId="77777777" w:rsidR="00387584" w:rsidRPr="00031E4C" w:rsidRDefault="00387584" w:rsidP="00953ADC">
            <w:pPr>
              <w:pStyle w:val="NormalWeb"/>
              <w:rPr>
                <w:color w:val="FFFFFF" w:themeColor="background1"/>
              </w:rPr>
            </w:pPr>
            <w:r w:rsidRPr="00031E4C">
              <w:rPr>
                <w:color w:val="FFFFFF" w:themeColor="background1"/>
              </w:rPr>
              <w:t>Data fields affected</w:t>
            </w:r>
          </w:p>
        </w:tc>
        <w:tc>
          <w:tcPr>
            <w:tcW w:w="2107" w:type="dxa"/>
            <w:hideMark/>
          </w:tcPr>
          <w:p w14:paraId="6EA0AC56" w14:textId="77777777" w:rsidR="00387584" w:rsidRPr="00031E4C" w:rsidRDefault="00387584" w:rsidP="00953ADC">
            <w:pPr>
              <w:pStyle w:val="NormalWeb"/>
              <w:rPr>
                <w:color w:val="FFFFFF" w:themeColor="background1"/>
              </w:rPr>
            </w:pPr>
            <w:r w:rsidRPr="00031E4C">
              <w:rPr>
                <w:color w:val="FFFFFF" w:themeColor="background1"/>
              </w:rPr>
              <w:t>Proportion of relevant data fields affected nationally 30 June 2013 – 1 July 2016</w:t>
            </w:r>
          </w:p>
        </w:tc>
        <w:tc>
          <w:tcPr>
            <w:tcW w:w="0" w:type="auto"/>
            <w:hideMark/>
          </w:tcPr>
          <w:p w14:paraId="25005076" w14:textId="77777777" w:rsidR="00387584" w:rsidRPr="00031E4C" w:rsidRDefault="00387584" w:rsidP="00953ADC">
            <w:pPr>
              <w:pStyle w:val="NormalWeb"/>
              <w:rPr>
                <w:color w:val="FFFFFF" w:themeColor="background1"/>
              </w:rPr>
            </w:pPr>
            <w:r w:rsidRPr="00031E4C">
              <w:rPr>
                <w:color w:val="FFFFFF" w:themeColor="background1"/>
              </w:rPr>
              <w:t>Number of jurisdictions affected</w:t>
            </w:r>
          </w:p>
        </w:tc>
      </w:tr>
      <w:tr w:rsidR="00387584" w14:paraId="1319884A" w14:textId="77777777" w:rsidTr="00031E4C">
        <w:tblPrEx>
          <w:tblCellMar>
            <w:top w:w="0" w:type="dxa"/>
            <w:left w:w="108" w:type="dxa"/>
            <w:bottom w:w="0" w:type="dxa"/>
            <w:right w:w="108" w:type="dxa"/>
          </w:tblCellMar>
        </w:tblPrEx>
        <w:trPr>
          <w:divId w:val="31923996"/>
        </w:trPr>
        <w:tc>
          <w:tcPr>
            <w:tcW w:w="0" w:type="auto"/>
            <w:vMerge w:val="restart"/>
            <w:hideMark/>
          </w:tcPr>
          <w:p w14:paraId="72A4CD1E" w14:textId="77777777" w:rsidR="00387584" w:rsidRDefault="00387584" w:rsidP="00953ADC">
            <w:pPr>
              <w:pStyle w:val="NormalWeb"/>
            </w:pPr>
            <w:r>
              <w:t>Cases aged 5-50 years not routinely followed up</w:t>
            </w:r>
          </w:p>
        </w:tc>
        <w:tc>
          <w:tcPr>
            <w:tcW w:w="0" w:type="auto"/>
            <w:hideMark/>
          </w:tcPr>
          <w:p w14:paraId="375DEA2A" w14:textId="77777777" w:rsidR="00387584" w:rsidRDefault="00387584" w:rsidP="00953ADC">
            <w:pPr>
              <w:pStyle w:val="NormalWeb"/>
            </w:pPr>
            <w:r>
              <w:t>Vaccination history</w:t>
            </w:r>
            <w:r>
              <w:rPr>
                <w:vertAlign w:val="superscript"/>
              </w:rPr>
              <w:t>*</w:t>
            </w:r>
          </w:p>
        </w:tc>
        <w:tc>
          <w:tcPr>
            <w:tcW w:w="2107" w:type="dxa"/>
            <w:hideMark/>
          </w:tcPr>
          <w:p w14:paraId="28ED2740" w14:textId="77777777" w:rsidR="00387584" w:rsidRDefault="00387584" w:rsidP="00953ADC">
            <w:pPr>
              <w:pStyle w:val="NormalWeb"/>
            </w:pPr>
            <w:r>
              <w:t>18%</w:t>
            </w:r>
          </w:p>
        </w:tc>
        <w:tc>
          <w:tcPr>
            <w:tcW w:w="0" w:type="auto"/>
            <w:hideMark/>
          </w:tcPr>
          <w:p w14:paraId="2D077B7F" w14:textId="77777777" w:rsidR="00387584" w:rsidRDefault="00387584" w:rsidP="00953ADC">
            <w:pPr>
              <w:pStyle w:val="NormalWeb"/>
            </w:pPr>
            <w:r>
              <w:t>3</w:t>
            </w:r>
          </w:p>
        </w:tc>
      </w:tr>
      <w:tr w:rsidR="00387584" w14:paraId="0814734E"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vMerge/>
            <w:hideMark/>
          </w:tcPr>
          <w:p w14:paraId="558E277E" w14:textId="77777777" w:rsidR="00387584" w:rsidRDefault="00387584" w:rsidP="00953ADC">
            <w:pPr>
              <w:rPr>
                <w:sz w:val="24"/>
                <w:szCs w:val="24"/>
              </w:rPr>
            </w:pPr>
          </w:p>
        </w:tc>
        <w:tc>
          <w:tcPr>
            <w:tcW w:w="0" w:type="auto"/>
            <w:shd w:val="clear" w:color="auto" w:fill="FFFFFF" w:themeFill="background1"/>
            <w:hideMark/>
          </w:tcPr>
          <w:p w14:paraId="498DF7D9" w14:textId="77777777" w:rsidR="00387584" w:rsidRDefault="00387584" w:rsidP="00953ADC">
            <w:pPr>
              <w:pStyle w:val="NormalWeb"/>
            </w:pPr>
            <w:r>
              <w:t>Risk factors</w:t>
            </w:r>
          </w:p>
        </w:tc>
        <w:tc>
          <w:tcPr>
            <w:tcW w:w="2107" w:type="dxa"/>
            <w:shd w:val="clear" w:color="auto" w:fill="FFFFFF" w:themeFill="background1"/>
            <w:hideMark/>
          </w:tcPr>
          <w:p w14:paraId="666A08F6" w14:textId="77777777" w:rsidR="00387584" w:rsidRDefault="00387584" w:rsidP="00953ADC">
            <w:pPr>
              <w:pStyle w:val="NormalWeb"/>
            </w:pPr>
            <w:r>
              <w:t>21%</w:t>
            </w:r>
          </w:p>
        </w:tc>
        <w:tc>
          <w:tcPr>
            <w:tcW w:w="0" w:type="auto"/>
            <w:shd w:val="clear" w:color="auto" w:fill="FFFFFF" w:themeFill="background1"/>
            <w:hideMark/>
          </w:tcPr>
          <w:p w14:paraId="0CE6AA00" w14:textId="77777777" w:rsidR="00387584" w:rsidRDefault="00387584" w:rsidP="00953ADC">
            <w:pPr>
              <w:pStyle w:val="NormalWeb"/>
            </w:pPr>
            <w:r>
              <w:t>3</w:t>
            </w:r>
          </w:p>
        </w:tc>
      </w:tr>
      <w:tr w:rsidR="00387584" w14:paraId="7DE8BAA9" w14:textId="77777777" w:rsidTr="00031E4C">
        <w:tblPrEx>
          <w:tblCellMar>
            <w:top w:w="0" w:type="dxa"/>
            <w:left w:w="108" w:type="dxa"/>
            <w:bottom w:w="0" w:type="dxa"/>
            <w:right w:w="108" w:type="dxa"/>
          </w:tblCellMar>
        </w:tblPrEx>
        <w:trPr>
          <w:divId w:val="31923996"/>
        </w:trPr>
        <w:tc>
          <w:tcPr>
            <w:tcW w:w="0" w:type="auto"/>
            <w:vMerge/>
            <w:hideMark/>
          </w:tcPr>
          <w:p w14:paraId="13983EBF" w14:textId="77777777" w:rsidR="00387584" w:rsidRDefault="00387584" w:rsidP="00953ADC">
            <w:pPr>
              <w:rPr>
                <w:sz w:val="24"/>
                <w:szCs w:val="24"/>
              </w:rPr>
            </w:pPr>
          </w:p>
        </w:tc>
        <w:tc>
          <w:tcPr>
            <w:tcW w:w="0" w:type="auto"/>
            <w:hideMark/>
          </w:tcPr>
          <w:p w14:paraId="52ABDCD5" w14:textId="77777777" w:rsidR="00387584" w:rsidRDefault="00387584" w:rsidP="00953ADC">
            <w:pPr>
              <w:pStyle w:val="NormalWeb"/>
            </w:pPr>
            <w:r>
              <w:t>Clinical category</w:t>
            </w:r>
          </w:p>
        </w:tc>
        <w:tc>
          <w:tcPr>
            <w:tcW w:w="2107" w:type="dxa"/>
            <w:hideMark/>
          </w:tcPr>
          <w:p w14:paraId="2643C11B" w14:textId="77777777" w:rsidR="00387584" w:rsidRDefault="00387584" w:rsidP="00953ADC">
            <w:pPr>
              <w:pStyle w:val="NormalWeb"/>
            </w:pPr>
            <w:r>
              <w:t>19%</w:t>
            </w:r>
          </w:p>
        </w:tc>
        <w:tc>
          <w:tcPr>
            <w:tcW w:w="0" w:type="auto"/>
            <w:hideMark/>
          </w:tcPr>
          <w:p w14:paraId="1053E79A" w14:textId="77777777" w:rsidR="00387584" w:rsidRDefault="00387584" w:rsidP="00953ADC">
            <w:pPr>
              <w:pStyle w:val="NormalWeb"/>
            </w:pPr>
            <w:r>
              <w:t>3</w:t>
            </w:r>
          </w:p>
        </w:tc>
      </w:tr>
      <w:tr w:rsidR="00387584" w14:paraId="1E2932B3"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vMerge w:val="restart"/>
            <w:hideMark/>
          </w:tcPr>
          <w:p w14:paraId="644DDCAE" w14:textId="77777777" w:rsidR="00387584" w:rsidRDefault="00387584" w:rsidP="00953ADC">
            <w:pPr>
              <w:pStyle w:val="NormalWeb"/>
            </w:pPr>
            <w:r>
              <w:t>Difficulty accessing</w:t>
            </w:r>
            <w:r w:rsidR="001130A4">
              <w:t xml:space="preserve"> </w:t>
            </w:r>
            <w:r>
              <w:t>medical records</w:t>
            </w:r>
          </w:p>
        </w:tc>
        <w:tc>
          <w:tcPr>
            <w:tcW w:w="0" w:type="auto"/>
            <w:hideMark/>
          </w:tcPr>
          <w:p w14:paraId="1A17DFA5" w14:textId="77777777" w:rsidR="00387584" w:rsidRDefault="00387584" w:rsidP="00953ADC">
            <w:pPr>
              <w:pStyle w:val="NormalWeb"/>
            </w:pPr>
            <w:r>
              <w:t xml:space="preserve">Vaccination history </w:t>
            </w:r>
            <w:r>
              <w:rPr>
                <w:vertAlign w:val="superscript"/>
              </w:rPr>
              <w:t>*</w:t>
            </w:r>
          </w:p>
        </w:tc>
        <w:tc>
          <w:tcPr>
            <w:tcW w:w="2107" w:type="dxa"/>
            <w:hideMark/>
          </w:tcPr>
          <w:p w14:paraId="20EB8E04" w14:textId="77777777" w:rsidR="00387584" w:rsidRDefault="00387584" w:rsidP="00953ADC">
            <w:pPr>
              <w:pStyle w:val="NormalWeb"/>
            </w:pPr>
            <w:r>
              <w:rPr>
                <w:vertAlign w:val="superscript"/>
              </w:rPr>
              <w:t>‡</w:t>
            </w:r>
          </w:p>
        </w:tc>
        <w:tc>
          <w:tcPr>
            <w:tcW w:w="0" w:type="auto"/>
            <w:hideMark/>
          </w:tcPr>
          <w:p w14:paraId="07B3F777" w14:textId="77777777" w:rsidR="00387584" w:rsidRDefault="00387584" w:rsidP="00953ADC">
            <w:pPr>
              <w:pStyle w:val="NormalWeb"/>
            </w:pPr>
            <w:r>
              <w:t>3</w:t>
            </w:r>
          </w:p>
        </w:tc>
      </w:tr>
      <w:tr w:rsidR="00387584" w14:paraId="5EA13BCF" w14:textId="77777777" w:rsidTr="00031E4C">
        <w:tblPrEx>
          <w:tblCellMar>
            <w:top w:w="0" w:type="dxa"/>
            <w:left w:w="108" w:type="dxa"/>
            <w:bottom w:w="0" w:type="dxa"/>
            <w:right w:w="108" w:type="dxa"/>
          </w:tblCellMar>
        </w:tblPrEx>
        <w:trPr>
          <w:divId w:val="31923996"/>
        </w:trPr>
        <w:tc>
          <w:tcPr>
            <w:tcW w:w="0" w:type="auto"/>
            <w:vMerge/>
            <w:hideMark/>
          </w:tcPr>
          <w:p w14:paraId="2D8AC5C9" w14:textId="77777777" w:rsidR="00387584" w:rsidRDefault="00387584" w:rsidP="00953ADC">
            <w:pPr>
              <w:rPr>
                <w:sz w:val="24"/>
                <w:szCs w:val="24"/>
              </w:rPr>
            </w:pPr>
          </w:p>
        </w:tc>
        <w:tc>
          <w:tcPr>
            <w:tcW w:w="0" w:type="auto"/>
            <w:shd w:val="clear" w:color="auto" w:fill="F2F2F2" w:themeFill="background1" w:themeFillShade="F2"/>
            <w:hideMark/>
          </w:tcPr>
          <w:p w14:paraId="3FD271CF" w14:textId="77777777" w:rsidR="00387584" w:rsidRDefault="00387584" w:rsidP="00953ADC">
            <w:pPr>
              <w:pStyle w:val="NormalWeb"/>
            </w:pPr>
            <w:r>
              <w:t>Mortality</w:t>
            </w:r>
          </w:p>
        </w:tc>
        <w:tc>
          <w:tcPr>
            <w:tcW w:w="2107" w:type="dxa"/>
            <w:shd w:val="clear" w:color="auto" w:fill="F2F2F2" w:themeFill="background1" w:themeFillShade="F2"/>
            <w:hideMark/>
          </w:tcPr>
          <w:p w14:paraId="0764D81C" w14:textId="77777777" w:rsidR="00387584" w:rsidRDefault="00387584" w:rsidP="00953ADC">
            <w:pPr>
              <w:pStyle w:val="NormalWeb"/>
            </w:pPr>
            <w:r>
              <w:rPr>
                <w:vertAlign w:val="superscript"/>
              </w:rPr>
              <w:t>‡</w:t>
            </w:r>
          </w:p>
        </w:tc>
        <w:tc>
          <w:tcPr>
            <w:tcW w:w="0" w:type="auto"/>
            <w:shd w:val="clear" w:color="auto" w:fill="F2F2F2" w:themeFill="background1" w:themeFillShade="F2"/>
            <w:hideMark/>
          </w:tcPr>
          <w:p w14:paraId="42C36FB5" w14:textId="77777777" w:rsidR="00387584" w:rsidRDefault="00387584" w:rsidP="00953ADC">
            <w:pPr>
              <w:pStyle w:val="NormalWeb"/>
            </w:pPr>
            <w:r>
              <w:t>3</w:t>
            </w:r>
          </w:p>
        </w:tc>
      </w:tr>
      <w:tr w:rsidR="00387584" w14:paraId="3AC4F2AE"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vMerge/>
            <w:hideMark/>
          </w:tcPr>
          <w:p w14:paraId="6A8051DB" w14:textId="77777777" w:rsidR="00387584" w:rsidRDefault="00387584" w:rsidP="00953ADC">
            <w:pPr>
              <w:rPr>
                <w:sz w:val="24"/>
                <w:szCs w:val="24"/>
              </w:rPr>
            </w:pPr>
          </w:p>
        </w:tc>
        <w:tc>
          <w:tcPr>
            <w:tcW w:w="0" w:type="auto"/>
            <w:hideMark/>
          </w:tcPr>
          <w:p w14:paraId="57D140B5" w14:textId="77777777" w:rsidR="00387584" w:rsidRDefault="00387584" w:rsidP="00953ADC">
            <w:pPr>
              <w:pStyle w:val="NormalWeb"/>
            </w:pPr>
            <w:r>
              <w:t>Risk factors</w:t>
            </w:r>
          </w:p>
        </w:tc>
        <w:tc>
          <w:tcPr>
            <w:tcW w:w="2107" w:type="dxa"/>
            <w:hideMark/>
          </w:tcPr>
          <w:p w14:paraId="11AC4D27" w14:textId="77777777" w:rsidR="00387584" w:rsidRDefault="00387584" w:rsidP="00953ADC">
            <w:pPr>
              <w:pStyle w:val="NormalWeb"/>
            </w:pPr>
            <w:r>
              <w:rPr>
                <w:vertAlign w:val="superscript"/>
              </w:rPr>
              <w:t>‡</w:t>
            </w:r>
          </w:p>
        </w:tc>
        <w:tc>
          <w:tcPr>
            <w:tcW w:w="0" w:type="auto"/>
            <w:hideMark/>
          </w:tcPr>
          <w:p w14:paraId="1A188C24" w14:textId="77777777" w:rsidR="00387584" w:rsidRDefault="00387584" w:rsidP="00953ADC">
            <w:pPr>
              <w:pStyle w:val="NormalWeb"/>
            </w:pPr>
            <w:r>
              <w:t>3</w:t>
            </w:r>
          </w:p>
        </w:tc>
      </w:tr>
      <w:tr w:rsidR="00387584" w14:paraId="1DD21BCF" w14:textId="77777777" w:rsidTr="00031E4C">
        <w:tblPrEx>
          <w:tblCellMar>
            <w:top w:w="0" w:type="dxa"/>
            <w:left w:w="108" w:type="dxa"/>
            <w:bottom w:w="0" w:type="dxa"/>
            <w:right w:w="108" w:type="dxa"/>
          </w:tblCellMar>
        </w:tblPrEx>
        <w:trPr>
          <w:divId w:val="31923996"/>
        </w:trPr>
        <w:tc>
          <w:tcPr>
            <w:tcW w:w="0" w:type="auto"/>
            <w:vMerge/>
            <w:hideMark/>
          </w:tcPr>
          <w:p w14:paraId="309EE07E" w14:textId="77777777" w:rsidR="00387584" w:rsidRDefault="00387584" w:rsidP="00953ADC">
            <w:pPr>
              <w:rPr>
                <w:sz w:val="24"/>
                <w:szCs w:val="24"/>
              </w:rPr>
            </w:pPr>
          </w:p>
        </w:tc>
        <w:tc>
          <w:tcPr>
            <w:tcW w:w="0" w:type="auto"/>
            <w:shd w:val="clear" w:color="auto" w:fill="F2F2F2" w:themeFill="background1" w:themeFillShade="F2"/>
            <w:hideMark/>
          </w:tcPr>
          <w:p w14:paraId="5A170F19" w14:textId="77777777" w:rsidR="00387584" w:rsidRDefault="00387584" w:rsidP="00953ADC">
            <w:pPr>
              <w:pStyle w:val="NormalWeb"/>
            </w:pPr>
            <w:r>
              <w:t>Clinical category</w:t>
            </w:r>
          </w:p>
        </w:tc>
        <w:tc>
          <w:tcPr>
            <w:tcW w:w="2107" w:type="dxa"/>
            <w:shd w:val="clear" w:color="auto" w:fill="F2F2F2" w:themeFill="background1" w:themeFillShade="F2"/>
            <w:hideMark/>
          </w:tcPr>
          <w:p w14:paraId="41AB1D4E" w14:textId="77777777" w:rsidR="00387584" w:rsidRDefault="00387584" w:rsidP="00953ADC">
            <w:pPr>
              <w:pStyle w:val="NormalWeb"/>
            </w:pPr>
            <w:r>
              <w:rPr>
                <w:vertAlign w:val="superscript"/>
              </w:rPr>
              <w:t>‡</w:t>
            </w:r>
          </w:p>
        </w:tc>
        <w:tc>
          <w:tcPr>
            <w:tcW w:w="0" w:type="auto"/>
            <w:shd w:val="clear" w:color="auto" w:fill="F2F2F2" w:themeFill="background1" w:themeFillShade="F2"/>
            <w:hideMark/>
          </w:tcPr>
          <w:p w14:paraId="5C901067" w14:textId="77777777" w:rsidR="00387584" w:rsidRDefault="00387584" w:rsidP="00953ADC">
            <w:pPr>
              <w:pStyle w:val="NormalWeb"/>
            </w:pPr>
            <w:r>
              <w:t>2</w:t>
            </w:r>
          </w:p>
        </w:tc>
      </w:tr>
      <w:tr w:rsidR="00387584" w14:paraId="4DDAB1ED"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vMerge w:val="restart"/>
            <w:shd w:val="clear" w:color="auto" w:fill="FFFFFF" w:themeFill="background1"/>
            <w:hideMark/>
          </w:tcPr>
          <w:p w14:paraId="20818641" w14:textId="77777777" w:rsidR="00387584" w:rsidRDefault="00387584" w:rsidP="00953ADC">
            <w:pPr>
              <w:pStyle w:val="NormalWeb"/>
            </w:pPr>
            <w:r>
              <w:t>Testing not performed</w:t>
            </w:r>
          </w:p>
        </w:tc>
        <w:tc>
          <w:tcPr>
            <w:tcW w:w="0" w:type="auto"/>
            <w:shd w:val="clear" w:color="auto" w:fill="FFFFFF" w:themeFill="background1"/>
            <w:hideMark/>
          </w:tcPr>
          <w:p w14:paraId="24082BFB" w14:textId="77777777" w:rsidR="00387584" w:rsidRDefault="00387584" w:rsidP="00953ADC">
            <w:pPr>
              <w:pStyle w:val="NormalWeb"/>
            </w:pPr>
            <w:r>
              <w:t>Sensitivity to full panel of antimicrobials</w:t>
            </w:r>
          </w:p>
        </w:tc>
        <w:tc>
          <w:tcPr>
            <w:tcW w:w="2107" w:type="dxa"/>
            <w:shd w:val="clear" w:color="auto" w:fill="FFFFFF" w:themeFill="background1"/>
            <w:hideMark/>
          </w:tcPr>
          <w:p w14:paraId="688BF0C8" w14:textId="77777777" w:rsidR="00387584" w:rsidRDefault="00387584" w:rsidP="00953ADC">
            <w:pPr>
              <w:pStyle w:val="NormalWeb"/>
            </w:pPr>
            <w:r>
              <w:t>92%</w:t>
            </w:r>
          </w:p>
        </w:tc>
        <w:tc>
          <w:tcPr>
            <w:tcW w:w="0" w:type="auto"/>
            <w:shd w:val="clear" w:color="auto" w:fill="FFFFFF" w:themeFill="background1"/>
            <w:hideMark/>
          </w:tcPr>
          <w:p w14:paraId="5BA11620" w14:textId="77777777" w:rsidR="00387584" w:rsidRDefault="00387584" w:rsidP="00953ADC">
            <w:pPr>
              <w:pStyle w:val="NormalWeb"/>
            </w:pPr>
            <w:r>
              <w:t>8</w:t>
            </w:r>
          </w:p>
        </w:tc>
      </w:tr>
      <w:tr w:rsidR="00387584" w14:paraId="67CB1F1D" w14:textId="77777777" w:rsidTr="00031E4C">
        <w:tblPrEx>
          <w:tblCellMar>
            <w:top w:w="0" w:type="dxa"/>
            <w:left w:w="108" w:type="dxa"/>
            <w:bottom w:w="0" w:type="dxa"/>
            <w:right w:w="108" w:type="dxa"/>
          </w:tblCellMar>
        </w:tblPrEx>
        <w:trPr>
          <w:divId w:val="31923996"/>
        </w:trPr>
        <w:tc>
          <w:tcPr>
            <w:tcW w:w="0" w:type="auto"/>
            <w:vMerge/>
            <w:shd w:val="clear" w:color="auto" w:fill="FFFFFF" w:themeFill="background1"/>
            <w:hideMark/>
          </w:tcPr>
          <w:p w14:paraId="59E8A4F1" w14:textId="77777777" w:rsidR="00387584" w:rsidRDefault="00387584" w:rsidP="00953ADC">
            <w:pPr>
              <w:rPr>
                <w:sz w:val="24"/>
                <w:szCs w:val="24"/>
              </w:rPr>
            </w:pPr>
          </w:p>
        </w:tc>
        <w:tc>
          <w:tcPr>
            <w:tcW w:w="0" w:type="auto"/>
            <w:shd w:val="clear" w:color="auto" w:fill="FFFFFF" w:themeFill="background1"/>
            <w:hideMark/>
          </w:tcPr>
          <w:p w14:paraId="4D0C9534" w14:textId="77777777" w:rsidR="00387584" w:rsidRDefault="00387584" w:rsidP="00953ADC">
            <w:pPr>
              <w:pStyle w:val="NormalWeb"/>
            </w:pPr>
            <w:r>
              <w:t>Serotype (non-culture specimens only)</w:t>
            </w:r>
          </w:p>
        </w:tc>
        <w:tc>
          <w:tcPr>
            <w:tcW w:w="2107" w:type="dxa"/>
            <w:shd w:val="clear" w:color="auto" w:fill="FFFFFF" w:themeFill="background1"/>
            <w:hideMark/>
          </w:tcPr>
          <w:p w14:paraId="76C4DC0E" w14:textId="77777777" w:rsidR="00387584" w:rsidRDefault="00387584" w:rsidP="00953ADC">
            <w:pPr>
              <w:pStyle w:val="NormalWeb"/>
            </w:pPr>
            <w:r>
              <w:t>12%</w:t>
            </w:r>
          </w:p>
        </w:tc>
        <w:tc>
          <w:tcPr>
            <w:tcW w:w="0" w:type="auto"/>
            <w:shd w:val="clear" w:color="auto" w:fill="FFFFFF" w:themeFill="background1"/>
            <w:hideMark/>
          </w:tcPr>
          <w:p w14:paraId="793B0210" w14:textId="77777777" w:rsidR="00387584" w:rsidRDefault="00387584" w:rsidP="00953ADC">
            <w:pPr>
              <w:pStyle w:val="NormalWeb"/>
            </w:pPr>
            <w:r>
              <w:t>1</w:t>
            </w:r>
          </w:p>
        </w:tc>
      </w:tr>
      <w:tr w:rsidR="00387584" w14:paraId="650610FB"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hideMark/>
          </w:tcPr>
          <w:p w14:paraId="76758CC0" w14:textId="77777777" w:rsidR="00387584" w:rsidRDefault="00387584" w:rsidP="00953ADC">
            <w:pPr>
              <w:pStyle w:val="NormalWeb"/>
            </w:pPr>
            <w:r>
              <w:t>Data entry/transmission</w:t>
            </w:r>
          </w:p>
        </w:tc>
        <w:tc>
          <w:tcPr>
            <w:tcW w:w="0" w:type="auto"/>
            <w:hideMark/>
          </w:tcPr>
          <w:p w14:paraId="16A58D33" w14:textId="77777777" w:rsidR="00387584" w:rsidRDefault="00387584" w:rsidP="00953ADC">
            <w:pPr>
              <w:pStyle w:val="NormalWeb"/>
            </w:pPr>
            <w:r>
              <w:t>Sensitivity to first-line antimicrobials</w:t>
            </w:r>
          </w:p>
        </w:tc>
        <w:tc>
          <w:tcPr>
            <w:tcW w:w="2107" w:type="dxa"/>
            <w:hideMark/>
          </w:tcPr>
          <w:p w14:paraId="6826A349" w14:textId="77777777" w:rsidR="00387584" w:rsidRDefault="00387584" w:rsidP="00953ADC">
            <w:pPr>
              <w:pStyle w:val="NormalWeb"/>
            </w:pPr>
            <w:r>
              <w:t>12%</w:t>
            </w:r>
          </w:p>
        </w:tc>
        <w:tc>
          <w:tcPr>
            <w:tcW w:w="0" w:type="auto"/>
            <w:hideMark/>
          </w:tcPr>
          <w:p w14:paraId="2D53057B" w14:textId="77777777" w:rsidR="00387584" w:rsidRDefault="00387584" w:rsidP="00953ADC">
            <w:pPr>
              <w:pStyle w:val="NormalWeb"/>
            </w:pPr>
            <w:r>
              <w:t>1</w:t>
            </w:r>
          </w:p>
        </w:tc>
      </w:tr>
      <w:tr w:rsidR="00387584" w14:paraId="004A32CE" w14:textId="77777777" w:rsidTr="00031E4C">
        <w:tblPrEx>
          <w:tblCellMar>
            <w:top w:w="0" w:type="dxa"/>
            <w:left w:w="108" w:type="dxa"/>
            <w:bottom w:w="0" w:type="dxa"/>
            <w:right w:w="108" w:type="dxa"/>
          </w:tblCellMar>
        </w:tblPrEx>
        <w:trPr>
          <w:divId w:val="31923996"/>
        </w:trPr>
        <w:tc>
          <w:tcPr>
            <w:tcW w:w="0" w:type="auto"/>
            <w:hideMark/>
          </w:tcPr>
          <w:p w14:paraId="34C64A18" w14:textId="77777777" w:rsidR="00387584" w:rsidRDefault="00387584" w:rsidP="00953ADC">
            <w:pPr>
              <w:pStyle w:val="NormalWeb"/>
            </w:pPr>
            <w:r>
              <w:t xml:space="preserve">Data field missing from national data collection form </w:t>
            </w:r>
            <w:r>
              <w:rPr>
                <w:vertAlign w:val="superscript"/>
              </w:rPr>
              <w:t>†</w:t>
            </w:r>
          </w:p>
        </w:tc>
        <w:tc>
          <w:tcPr>
            <w:tcW w:w="0" w:type="auto"/>
            <w:hideMark/>
          </w:tcPr>
          <w:p w14:paraId="36155D8D" w14:textId="77777777" w:rsidR="00387584" w:rsidRDefault="00387584" w:rsidP="00953ADC">
            <w:pPr>
              <w:pStyle w:val="NormalWeb"/>
            </w:pPr>
            <w:r>
              <w:t>Hospitalisation</w:t>
            </w:r>
          </w:p>
        </w:tc>
        <w:tc>
          <w:tcPr>
            <w:tcW w:w="2107" w:type="dxa"/>
            <w:hideMark/>
          </w:tcPr>
          <w:p w14:paraId="6CB2B419" w14:textId="77777777" w:rsidR="00387584" w:rsidRDefault="00387584" w:rsidP="00953ADC">
            <w:pPr>
              <w:pStyle w:val="NormalWeb"/>
            </w:pPr>
            <w:r>
              <w:t>91%</w:t>
            </w:r>
          </w:p>
        </w:tc>
        <w:tc>
          <w:tcPr>
            <w:tcW w:w="0" w:type="auto"/>
            <w:hideMark/>
          </w:tcPr>
          <w:p w14:paraId="1EB42708" w14:textId="77777777" w:rsidR="00387584" w:rsidRDefault="00387584" w:rsidP="00953ADC">
            <w:pPr>
              <w:pStyle w:val="NormalWeb"/>
            </w:pPr>
            <w:r>
              <w:t>8</w:t>
            </w:r>
          </w:p>
        </w:tc>
      </w:tr>
      <w:tr w:rsidR="00387584" w14:paraId="10460004"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hideMark/>
          </w:tcPr>
          <w:p w14:paraId="398BB498" w14:textId="77777777" w:rsidR="00387584" w:rsidRDefault="00387584" w:rsidP="00953ADC">
            <w:pPr>
              <w:pStyle w:val="NormalWeb"/>
            </w:pPr>
            <w:r>
              <w:t>Missing data</w:t>
            </w:r>
          </w:p>
        </w:tc>
        <w:tc>
          <w:tcPr>
            <w:tcW w:w="0" w:type="auto"/>
            <w:hideMark/>
          </w:tcPr>
          <w:p w14:paraId="3F9C080F" w14:textId="77777777" w:rsidR="00387584" w:rsidRDefault="00387584" w:rsidP="00953ADC">
            <w:pPr>
              <w:pStyle w:val="NormalWeb"/>
            </w:pPr>
            <w:r>
              <w:t>Date fields</w:t>
            </w:r>
          </w:p>
        </w:tc>
        <w:tc>
          <w:tcPr>
            <w:tcW w:w="2107" w:type="dxa"/>
            <w:hideMark/>
          </w:tcPr>
          <w:p w14:paraId="5FEDEB55" w14:textId="77777777" w:rsidR="00387584" w:rsidRDefault="00387584" w:rsidP="00953ADC">
            <w:pPr>
              <w:pStyle w:val="NormalWeb"/>
            </w:pPr>
            <w:r>
              <w:t>11%</w:t>
            </w:r>
          </w:p>
        </w:tc>
        <w:tc>
          <w:tcPr>
            <w:tcW w:w="0" w:type="auto"/>
            <w:hideMark/>
          </w:tcPr>
          <w:p w14:paraId="456A0B72" w14:textId="77777777" w:rsidR="00387584" w:rsidRDefault="00387584" w:rsidP="00953ADC">
            <w:pPr>
              <w:pStyle w:val="NormalWeb"/>
            </w:pPr>
            <w:r>
              <w:t>6</w:t>
            </w:r>
          </w:p>
        </w:tc>
      </w:tr>
      <w:tr w:rsidR="00387584" w14:paraId="40EB3402" w14:textId="77777777" w:rsidTr="00031E4C">
        <w:tblPrEx>
          <w:tblCellMar>
            <w:top w:w="0" w:type="dxa"/>
            <w:left w:w="108" w:type="dxa"/>
            <w:bottom w:w="0" w:type="dxa"/>
            <w:right w:w="108" w:type="dxa"/>
          </w:tblCellMar>
        </w:tblPrEx>
        <w:trPr>
          <w:divId w:val="31923996"/>
        </w:trPr>
        <w:tc>
          <w:tcPr>
            <w:tcW w:w="0" w:type="auto"/>
            <w:hideMark/>
          </w:tcPr>
          <w:p w14:paraId="687B46A2" w14:textId="77777777" w:rsidR="00387584" w:rsidRDefault="00387584" w:rsidP="00953ADC">
            <w:pPr>
              <w:pStyle w:val="NormalWeb"/>
            </w:pPr>
            <w:r>
              <w:t>Data entry errors/</w:t>
            </w:r>
          </w:p>
        </w:tc>
        <w:tc>
          <w:tcPr>
            <w:tcW w:w="0" w:type="auto"/>
            <w:hideMark/>
          </w:tcPr>
          <w:p w14:paraId="5C51A2FF" w14:textId="77777777" w:rsidR="00387584" w:rsidRDefault="00387584" w:rsidP="00953ADC">
            <w:pPr>
              <w:pStyle w:val="NormalWeb"/>
            </w:pPr>
            <w:r>
              <w:t>Date fields</w:t>
            </w:r>
          </w:p>
        </w:tc>
        <w:tc>
          <w:tcPr>
            <w:tcW w:w="2107" w:type="dxa"/>
            <w:hideMark/>
          </w:tcPr>
          <w:p w14:paraId="42E6EAED" w14:textId="77777777" w:rsidR="00387584" w:rsidRDefault="00387584" w:rsidP="00953ADC">
            <w:pPr>
              <w:pStyle w:val="NormalWeb"/>
            </w:pPr>
            <w:r>
              <w:t>2%</w:t>
            </w:r>
          </w:p>
        </w:tc>
        <w:tc>
          <w:tcPr>
            <w:tcW w:w="0" w:type="auto"/>
            <w:hideMark/>
          </w:tcPr>
          <w:p w14:paraId="2FCF5B38" w14:textId="77777777" w:rsidR="00387584" w:rsidRDefault="00387584" w:rsidP="00953ADC">
            <w:pPr>
              <w:pStyle w:val="NormalWeb"/>
            </w:pPr>
            <w:r>
              <w:t>8</w:t>
            </w:r>
          </w:p>
        </w:tc>
      </w:tr>
      <w:tr w:rsidR="00387584" w14:paraId="229B1D08" w14:textId="77777777" w:rsidTr="00031E4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31923996"/>
        </w:trPr>
        <w:tc>
          <w:tcPr>
            <w:tcW w:w="0" w:type="auto"/>
            <w:shd w:val="clear" w:color="auto" w:fill="FFFFFF" w:themeFill="background1"/>
            <w:hideMark/>
          </w:tcPr>
          <w:p w14:paraId="1A370134" w14:textId="77777777" w:rsidR="00387584" w:rsidRDefault="00387584" w:rsidP="00953ADC">
            <w:pPr>
              <w:pStyle w:val="NormalWeb"/>
            </w:pPr>
            <w:r>
              <w:t>Illogical data</w:t>
            </w:r>
          </w:p>
        </w:tc>
        <w:tc>
          <w:tcPr>
            <w:tcW w:w="0" w:type="auto"/>
            <w:shd w:val="clear" w:color="auto" w:fill="FFFFFF" w:themeFill="background1"/>
            <w:hideMark/>
          </w:tcPr>
          <w:p w14:paraId="4B35DE83" w14:textId="77777777" w:rsidR="00387584" w:rsidRDefault="00387584" w:rsidP="00953ADC">
            <w:pPr>
              <w:pStyle w:val="NormalWeb"/>
            </w:pPr>
            <w:r>
              <w:t>Serotype/ laboratory method</w:t>
            </w:r>
          </w:p>
        </w:tc>
        <w:tc>
          <w:tcPr>
            <w:tcW w:w="2107" w:type="dxa"/>
            <w:shd w:val="clear" w:color="auto" w:fill="FFFFFF" w:themeFill="background1"/>
            <w:hideMark/>
          </w:tcPr>
          <w:p w14:paraId="6CA63163" w14:textId="77777777" w:rsidR="00387584" w:rsidRDefault="00387584" w:rsidP="00953ADC">
            <w:pPr>
              <w:pStyle w:val="NormalWeb"/>
            </w:pPr>
            <w:r>
              <w:t>2%</w:t>
            </w:r>
          </w:p>
        </w:tc>
        <w:tc>
          <w:tcPr>
            <w:tcW w:w="0" w:type="auto"/>
            <w:shd w:val="clear" w:color="auto" w:fill="FFFFFF" w:themeFill="background1"/>
            <w:hideMark/>
          </w:tcPr>
          <w:p w14:paraId="3EC18F16" w14:textId="77777777" w:rsidR="00387584" w:rsidRDefault="00387584" w:rsidP="00953ADC">
            <w:pPr>
              <w:pStyle w:val="NormalWeb"/>
            </w:pPr>
            <w:r>
              <w:t>4</w:t>
            </w:r>
          </w:p>
        </w:tc>
      </w:tr>
    </w:tbl>
    <w:p w14:paraId="33B56DCF" w14:textId="77777777" w:rsidR="00387584" w:rsidRDefault="00387584" w:rsidP="005C6D4F">
      <w:pPr>
        <w:pStyle w:val="CDIfootnotes"/>
        <w:divId w:val="31923996"/>
      </w:pPr>
      <w:r>
        <w:rPr>
          <w:vertAlign w:val="superscript"/>
        </w:rPr>
        <w:t>*</w:t>
      </w:r>
      <w:r>
        <w:t xml:space="preserve"> For cases aged over seven years prior to October 2016 only. The whole-of-life Australian Immunisation Register was introduced in 2016 to record all vaccinations administered under the NIP and most privately-funded vaccines.</w:t>
      </w:r>
      <w:r>
        <w:br/>
      </w:r>
      <w:r>
        <w:rPr>
          <w:vertAlign w:val="superscript"/>
        </w:rPr>
        <w:t>†</w:t>
      </w:r>
      <w:r>
        <w:t xml:space="preserve"> Hospitalisation was ratified as a NNDSS core data field in March 2016 and to the data collection form in April 2016, therefore it was not routinely collected for the years 2013-2016.</w:t>
      </w:r>
      <w:r>
        <w:br/>
      </w:r>
      <w:r>
        <w:rPr>
          <w:vertAlign w:val="superscript"/>
        </w:rPr>
        <w:t>‡</w:t>
      </w:r>
      <w:r>
        <w:t xml:space="preserve"> Not </w:t>
      </w:r>
      <w:proofErr w:type="gramStart"/>
      <w:r>
        <w:t>determined</w:t>
      </w:r>
      <w:proofErr w:type="gramEnd"/>
    </w:p>
    <w:p w14:paraId="524276FD" w14:textId="77777777" w:rsidR="00387584" w:rsidRDefault="00387584" w:rsidP="00D520C6">
      <w:pPr>
        <w:pStyle w:val="Heading1"/>
        <w:divId w:val="31923996"/>
        <w:rPr>
          <w:rFonts w:eastAsia="Times New Roman"/>
        </w:rPr>
      </w:pPr>
      <w:r>
        <w:rPr>
          <w:rFonts w:eastAsia="Times New Roman"/>
        </w:rPr>
        <w:t>Discussion</w:t>
      </w:r>
    </w:p>
    <w:p w14:paraId="5ADBAB1D" w14:textId="77777777" w:rsidR="00387584" w:rsidRDefault="00387584" w:rsidP="005C6D4F">
      <w:pPr>
        <w:divId w:val="31923996"/>
      </w:pPr>
      <w:r>
        <w:t xml:space="preserve">This evaluation confirms that the enhanced IPD surveillance program is a useful, </w:t>
      </w:r>
      <w:proofErr w:type="gramStart"/>
      <w:r>
        <w:t>flexible</w:t>
      </w:r>
      <w:proofErr w:type="gramEnd"/>
      <w:r>
        <w:t xml:space="preserve"> and stable disease surveillance system. Nonetheless, the program is not performing to its full potential, particularly in terms of data collection for cases aged between five and 50 years to inform targeted vaccination programs, AMR monitoring, and providing easily accessible and useful surveillance data. The declining number of cases, the increasing availability of vaccination data for all ages on the whole-of-life Australian Immunisation Register</w:t>
      </w:r>
      <w:r>
        <w:rPr>
          <w:vertAlign w:val="superscript"/>
        </w:rPr>
        <w:t>36</w:t>
      </w:r>
      <w:r>
        <w:t xml:space="preserve"> and the continued move towards electronic medical records should put complete data collection for all cases within the reach of all </w:t>
      </w:r>
      <w:r>
        <w:lastRenderedPageBreak/>
        <w:t>jurisdictions. Ongoing work is required of the EIPDSWG to ensure complete AMR testing; to harmonise notification, data entry and transmission processes; and to plan for the shift to whole-genome sequencing. Specific recommendations to the EIPDSWG are listed in Box 3</w:t>
      </w:r>
      <w:r w:rsidR="002A26A3">
        <w:t>.</w:t>
      </w:r>
    </w:p>
    <w:p w14:paraId="38406442" w14:textId="77777777" w:rsidR="00387584" w:rsidRDefault="00387584" w:rsidP="005C6D4F">
      <w:pPr>
        <w:pStyle w:val="CDIFigures"/>
        <w:divId w:val="31923996"/>
      </w:pPr>
      <w:r>
        <w:t>Box 3 Recommendations to the EIPDSWG for improving Australia’s enhanced IPD surveillance program, 2017.</w:t>
      </w:r>
    </w:p>
    <w:p w14:paraId="195300F6" w14:textId="77777777" w:rsidR="004E7F1C" w:rsidRDefault="004E7F1C" w:rsidP="005C6D4F">
      <w:pPr>
        <w:pStyle w:val="CDIFigures"/>
        <w:divId w:val="31923996"/>
      </w:pPr>
      <w:r>
        <w:rPr>
          <w:noProof/>
        </w:rPr>
        <mc:AlternateContent>
          <mc:Choice Requires="wps">
            <w:drawing>
              <wp:inline distT="0" distB="0" distL="0" distR="0" wp14:anchorId="6194BF95" wp14:editId="2D87A0A4">
                <wp:extent cx="6528021" cy="1403985"/>
                <wp:effectExtent l="0" t="0" r="2540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1" cy="1403985"/>
                        </a:xfrm>
                        <a:prstGeom prst="rect">
                          <a:avLst/>
                        </a:prstGeom>
                        <a:solidFill>
                          <a:srgbClr val="FFFFE1"/>
                        </a:solidFill>
                        <a:ln w="3175">
                          <a:solidFill>
                            <a:schemeClr val="bg1">
                              <a:lumMod val="50000"/>
                            </a:schemeClr>
                          </a:solidFill>
                          <a:miter lim="800000"/>
                          <a:headEnd/>
                          <a:tailEnd/>
                        </a:ln>
                      </wps:spPr>
                      <wps:txbx>
                        <w:txbxContent>
                          <w:p w14:paraId="763B1626" w14:textId="77777777" w:rsidR="004E7F1C" w:rsidRPr="004E7F1C" w:rsidRDefault="004E7F1C" w:rsidP="004E7F1C">
                            <w:pPr>
                              <w:pStyle w:val="NormalWeb"/>
                              <w:rPr>
                                <w:b/>
                                <w:color w:val="0D0D0D" w:themeColor="text1" w:themeTint="F2"/>
                              </w:rPr>
                            </w:pPr>
                            <w:r w:rsidRPr="004E7F1C">
                              <w:rPr>
                                <w:b/>
                                <w:color w:val="0D0D0D" w:themeColor="text1" w:themeTint="F2"/>
                              </w:rPr>
                              <w:t>Priority Recommendations</w:t>
                            </w:r>
                          </w:p>
                          <w:p w14:paraId="53CDAEF5"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Collect complete surveillance data for all cases in all jurisdictions. If resource constraints preclude this in some jurisdictions, consider prospectively following up a random sample of cases aged five to 50 years.</w:t>
                            </w:r>
                          </w:p>
                          <w:p w14:paraId="14BDD049"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Ensure researchers and vaccine developers can access the data at the level of detail they require in the public dataset, while maintaining the privacy of cases. This </w:t>
                            </w:r>
                            <w:proofErr w:type="gramStart"/>
                            <w:r w:rsidRPr="00904943">
                              <w:rPr>
                                <w:rFonts w:eastAsia="Times New Roman"/>
                                <w:color w:val="0D0D0D" w:themeColor="text1" w:themeTint="F2"/>
                              </w:rPr>
                              <w:t>includes</w:t>
                            </w:r>
                            <w:proofErr w:type="gramEnd"/>
                          </w:p>
                          <w:p w14:paraId="50EC4DD8"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finer stratification of age-groups for cases aged less than five </w:t>
                            </w:r>
                            <w:proofErr w:type="gramStart"/>
                            <w:r w:rsidRPr="00904943">
                              <w:rPr>
                                <w:rFonts w:eastAsia="Times New Roman"/>
                                <w:color w:val="0D0D0D" w:themeColor="text1" w:themeTint="F2"/>
                              </w:rPr>
                              <w:t>years</w:t>
                            </w:r>
                            <w:proofErr w:type="gramEnd"/>
                          </w:p>
                          <w:p w14:paraId="147342B2"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data from 2001 </w:t>
                            </w:r>
                            <w:proofErr w:type="gramStart"/>
                            <w:r w:rsidRPr="00904943">
                              <w:rPr>
                                <w:rFonts w:eastAsia="Times New Roman"/>
                                <w:color w:val="0D0D0D" w:themeColor="text1" w:themeTint="F2"/>
                              </w:rPr>
                              <w:t>onwards</w:t>
                            </w:r>
                            <w:r w:rsidR="00633838">
                              <w:rPr>
                                <w:rFonts w:eastAsia="Times New Roman"/>
                                <w:color w:val="0D0D0D" w:themeColor="text1" w:themeTint="F2"/>
                              </w:rPr>
                              <w:t>;</w:t>
                            </w:r>
                            <w:proofErr w:type="gramEnd"/>
                          </w:p>
                          <w:p w14:paraId="24D2575F"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all available serotype data</w:t>
                            </w:r>
                            <w:r w:rsidR="00633838">
                              <w:rPr>
                                <w:rFonts w:eastAsia="Times New Roman"/>
                                <w:color w:val="0D0D0D" w:themeColor="text1" w:themeTint="F2"/>
                              </w:rPr>
                              <w:t>; and</w:t>
                            </w:r>
                          </w:p>
                          <w:p w14:paraId="346E8D89"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data on vaccine failures.</w:t>
                            </w:r>
                          </w:p>
                          <w:p w14:paraId="10389930"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Improve the completeness and quality of antimicrobial resistance (AMR) data by</w:t>
                            </w:r>
                          </w:p>
                          <w:p w14:paraId="665986CD"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addressing issues with data transmission in some </w:t>
                            </w:r>
                            <w:proofErr w:type="gramStart"/>
                            <w:r w:rsidRPr="00904943">
                              <w:rPr>
                                <w:rFonts w:eastAsia="Times New Roman"/>
                                <w:color w:val="0D0D0D" w:themeColor="text1" w:themeTint="F2"/>
                              </w:rPr>
                              <w:t>jurisdictions</w:t>
                            </w:r>
                            <w:r w:rsidR="00633838">
                              <w:rPr>
                                <w:rFonts w:eastAsia="Times New Roman"/>
                                <w:color w:val="0D0D0D" w:themeColor="text1" w:themeTint="F2"/>
                              </w:rPr>
                              <w:t>;</w:t>
                            </w:r>
                            <w:proofErr w:type="gramEnd"/>
                          </w:p>
                          <w:p w14:paraId="13954170"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agreeing on the standards for reference laboratory AMR testing</w:t>
                            </w:r>
                            <w:r w:rsidR="00633838">
                              <w:rPr>
                                <w:rFonts w:eastAsia="Times New Roman"/>
                                <w:color w:val="0D0D0D" w:themeColor="text1" w:themeTint="F2"/>
                              </w:rPr>
                              <w:t>; and</w:t>
                            </w:r>
                          </w:p>
                          <w:p w14:paraId="5FFC2CCB" w14:textId="77777777" w:rsidR="004E7F1C" w:rsidRPr="004E7F1C" w:rsidRDefault="004E7F1C" w:rsidP="004E7F1C">
                            <w:pPr>
                              <w:pStyle w:val="ListParagraph"/>
                              <w:numPr>
                                <w:ilvl w:val="1"/>
                                <w:numId w:val="19"/>
                              </w:numPr>
                              <w:rPr>
                                <w:rFonts w:eastAsia="Times New Roman"/>
                                <w:color w:val="0D0D0D" w:themeColor="text1" w:themeTint="F2"/>
                                <w:sz w:val="24"/>
                                <w:szCs w:val="24"/>
                              </w:rPr>
                            </w:pPr>
                            <w:r w:rsidRPr="00904943">
                              <w:rPr>
                                <w:rFonts w:eastAsia="Times New Roman"/>
                                <w:color w:val="0D0D0D" w:themeColor="text1" w:themeTint="F2"/>
                              </w:rPr>
                              <w:t>advocating for funding for reference laboratories to undertake this testing for every case.</w:t>
                            </w:r>
                          </w:p>
                          <w:p w14:paraId="684F500B" w14:textId="77777777" w:rsidR="004E7F1C" w:rsidRPr="00904943" w:rsidRDefault="004E7F1C" w:rsidP="004E7F1C">
                            <w:pPr>
                              <w:pStyle w:val="NormalWeb"/>
                              <w:rPr>
                                <w:b/>
                                <w:color w:val="0D0D0D" w:themeColor="text1" w:themeTint="F2"/>
                              </w:rPr>
                            </w:pPr>
                            <w:r w:rsidRPr="00904943">
                              <w:rPr>
                                <w:b/>
                                <w:color w:val="0D0D0D" w:themeColor="text1" w:themeTint="F2"/>
                              </w:rPr>
                              <w:t>Other Recommendations</w:t>
                            </w:r>
                          </w:p>
                          <w:p w14:paraId="45BEB034"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Review the program objectives to ensure they reflect the EIPDSWG’s aspirations for the program.</w:t>
                            </w:r>
                          </w:p>
                          <w:p w14:paraId="3F7A9E8C"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Harmonise notification processes, data collection forms and data transmission from the jurisdictions to the NNDSS. This should include standardising risk factor data domains to ensure they reflect groups at high risk of IPD, as identified in the </w:t>
                            </w:r>
                            <w:r w:rsidRPr="00F428EE">
                              <w:rPr>
                                <w:rStyle w:val="Emphasis"/>
                                <w:rFonts w:eastAsia="Times New Roman"/>
                                <w:b w:val="0"/>
                                <w:color w:val="0D0D0D" w:themeColor="text1" w:themeTint="F2"/>
                              </w:rPr>
                              <w:t>Australian Immunisation Handbook 10th Edition.</w:t>
                            </w:r>
                          </w:p>
                          <w:p w14:paraId="5E212AAA"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Advocate for all jurisdictions to implement exclusively electronic laboratory notification systems, ensuring that these collect data consistent with the NNDSS data fields.</w:t>
                            </w:r>
                          </w:p>
                          <w:p w14:paraId="396E9260" w14:textId="77777777" w:rsidR="004E7F1C" w:rsidRPr="00904943" w:rsidRDefault="004E7F1C" w:rsidP="004E7F1C">
                            <w:pPr>
                              <w:pStyle w:val="ListParagraph"/>
                              <w:numPr>
                                <w:ilvl w:val="0"/>
                                <w:numId w:val="19"/>
                              </w:numPr>
                              <w:rPr>
                                <w:rFonts w:eastAsia="Times New Roman"/>
                                <w:color w:val="0D0D0D" w:themeColor="text1" w:themeTint="F2"/>
                                <w:sz w:val="24"/>
                                <w:szCs w:val="24"/>
                              </w:rPr>
                            </w:pPr>
                            <w:r w:rsidRPr="00904943">
                              <w:rPr>
                                <w:rFonts w:eastAsia="Times New Roman"/>
                                <w:color w:val="0D0D0D" w:themeColor="text1" w:themeTint="F2"/>
                              </w:rPr>
                              <w:t>Support jurisdictions to modify their databases to prevent entering non-logical data, and to conduct post-entry logic checks, where these are not already in place.</w:t>
                            </w:r>
                          </w:p>
                          <w:p w14:paraId="61F245D0"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Working with relevant partners, plan for the shift to whole-genome sequencing by overseeing the development of quality standards for IPD sequencing and bioinformatics, and by </w:t>
                            </w:r>
                            <w:proofErr w:type="spellStart"/>
                            <w:r w:rsidRPr="00904943">
                              <w:rPr>
                                <w:rFonts w:eastAsia="Times New Roman"/>
                                <w:color w:val="0D0D0D" w:themeColor="text1" w:themeTint="F2"/>
                              </w:rPr>
                              <w:t>auspicing</w:t>
                            </w:r>
                            <w:proofErr w:type="spellEnd"/>
                            <w:r w:rsidRPr="00904943">
                              <w:rPr>
                                <w:rFonts w:eastAsia="Times New Roman"/>
                                <w:color w:val="0D0D0D" w:themeColor="text1" w:themeTint="F2"/>
                              </w:rPr>
                              <w:t xml:space="preserve"> pilot implementation studies.</w:t>
                            </w:r>
                          </w:p>
                          <w:p w14:paraId="266D2DB5"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Work with the Public Health Laboratory Network to enhance engagement and communication with diagnostic laboratories to ensure their full participation. This should include a review and promotion of the guidelines for forwarding samples to reference laboratories.</w:t>
                            </w:r>
                          </w:p>
                          <w:p w14:paraId="457F36DF" w14:textId="77777777" w:rsidR="004E7F1C" w:rsidRPr="004E7F1C" w:rsidRDefault="004E7F1C" w:rsidP="004E7F1C">
                            <w:pPr>
                              <w:pStyle w:val="ListParagraph"/>
                              <w:numPr>
                                <w:ilvl w:val="0"/>
                                <w:numId w:val="19"/>
                              </w:numPr>
                              <w:rPr>
                                <w:rFonts w:eastAsia="Times New Roman"/>
                                <w:color w:val="0D0D0D" w:themeColor="text1" w:themeTint="F2"/>
                                <w:sz w:val="24"/>
                                <w:szCs w:val="24"/>
                              </w:rPr>
                            </w:pPr>
                            <w:r w:rsidRPr="00904943">
                              <w:rPr>
                                <w:rFonts w:eastAsia="Times New Roman"/>
                                <w:color w:val="0D0D0D" w:themeColor="text1" w:themeTint="F2"/>
                              </w:rPr>
                              <w:t>Implement succession planning interventions to ensure there is depth of capacity within the EIPDSWG, reference laboratories and jurisdictions to maintain the program at the current high standard.</w:t>
                            </w:r>
                          </w:p>
                        </w:txbxContent>
                      </wps:txbx>
                      <wps:bodyPr rot="0" vert="horz" wrap="square" lIns="91440" tIns="45720" rIns="91440" bIns="45720" anchor="t" anchorCtr="0">
                        <a:spAutoFit/>
                      </wps:bodyPr>
                    </wps:wsp>
                  </a:graphicData>
                </a:graphic>
              </wp:inline>
            </w:drawing>
          </mc:Choice>
          <mc:Fallback>
            <w:pict>
              <v:shape w14:anchorId="6194BF95" id="_x0000_s1027" type="#_x0000_t202" style="width:51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" fillcolor="#ffffe1" strokecolor="#7f7f7f [1612]" strokeweight=".25pt">
                <v:textbox style="mso-fit-shape-to-text:t">
                  <w:txbxContent>
                    <w:p w14:paraId="763B1626" w14:textId="77777777" w:rsidR="004E7F1C" w:rsidRPr="004E7F1C" w:rsidRDefault="004E7F1C" w:rsidP="004E7F1C">
                      <w:pPr>
                        <w:pStyle w:val="NormalWeb"/>
                        <w:rPr>
                          <w:b/>
                          <w:color w:val="0D0D0D" w:themeColor="text1" w:themeTint="F2"/>
                        </w:rPr>
                      </w:pPr>
                      <w:r w:rsidRPr="004E7F1C">
                        <w:rPr>
                          <w:b/>
                          <w:color w:val="0D0D0D" w:themeColor="text1" w:themeTint="F2"/>
                        </w:rPr>
                        <w:t>Priority Recommendations</w:t>
                      </w:r>
                    </w:p>
                    <w:p w14:paraId="53CDAEF5"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Collect complete surveillance data for all cases in all jurisdictions. If resource constraints preclude this in some jurisdictions, consider prospectively following up a random sample of cases aged five to 50 years.</w:t>
                      </w:r>
                    </w:p>
                    <w:p w14:paraId="14BDD049"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Ensure researchers and vaccine developers can access the data at the level of detail they require in the public dataset, while maintaining the privacy of cases. This </w:t>
                      </w:r>
                      <w:proofErr w:type="gramStart"/>
                      <w:r w:rsidRPr="00904943">
                        <w:rPr>
                          <w:rFonts w:eastAsia="Times New Roman"/>
                          <w:color w:val="0D0D0D" w:themeColor="text1" w:themeTint="F2"/>
                        </w:rPr>
                        <w:t>includes</w:t>
                      </w:r>
                      <w:proofErr w:type="gramEnd"/>
                    </w:p>
                    <w:p w14:paraId="50EC4DD8"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finer stratification of age-groups for cases aged less than five </w:t>
                      </w:r>
                      <w:proofErr w:type="gramStart"/>
                      <w:r w:rsidRPr="00904943">
                        <w:rPr>
                          <w:rFonts w:eastAsia="Times New Roman"/>
                          <w:color w:val="0D0D0D" w:themeColor="text1" w:themeTint="F2"/>
                        </w:rPr>
                        <w:t>years</w:t>
                      </w:r>
                      <w:proofErr w:type="gramEnd"/>
                    </w:p>
                    <w:p w14:paraId="147342B2"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data from 2001 </w:t>
                      </w:r>
                      <w:proofErr w:type="gramStart"/>
                      <w:r w:rsidRPr="00904943">
                        <w:rPr>
                          <w:rFonts w:eastAsia="Times New Roman"/>
                          <w:color w:val="0D0D0D" w:themeColor="text1" w:themeTint="F2"/>
                        </w:rPr>
                        <w:t>onwards</w:t>
                      </w:r>
                      <w:r w:rsidR="00633838">
                        <w:rPr>
                          <w:rFonts w:eastAsia="Times New Roman"/>
                          <w:color w:val="0D0D0D" w:themeColor="text1" w:themeTint="F2"/>
                        </w:rPr>
                        <w:t>;</w:t>
                      </w:r>
                      <w:proofErr w:type="gramEnd"/>
                    </w:p>
                    <w:p w14:paraId="24D2575F"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all available serotype data</w:t>
                      </w:r>
                      <w:r w:rsidR="00633838">
                        <w:rPr>
                          <w:rFonts w:eastAsia="Times New Roman"/>
                          <w:color w:val="0D0D0D" w:themeColor="text1" w:themeTint="F2"/>
                        </w:rPr>
                        <w:t>; and</w:t>
                      </w:r>
                    </w:p>
                    <w:p w14:paraId="346E8D89"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data on vaccine failures.</w:t>
                      </w:r>
                    </w:p>
                    <w:p w14:paraId="10389930"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Improve the completeness and quality of antimicrobial resistance (AMR) data by</w:t>
                      </w:r>
                    </w:p>
                    <w:p w14:paraId="665986CD"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 xml:space="preserve">addressing issues with data transmission in some </w:t>
                      </w:r>
                      <w:proofErr w:type="gramStart"/>
                      <w:r w:rsidRPr="00904943">
                        <w:rPr>
                          <w:rFonts w:eastAsia="Times New Roman"/>
                          <w:color w:val="0D0D0D" w:themeColor="text1" w:themeTint="F2"/>
                        </w:rPr>
                        <w:t>jurisdictions</w:t>
                      </w:r>
                      <w:r w:rsidR="00633838">
                        <w:rPr>
                          <w:rFonts w:eastAsia="Times New Roman"/>
                          <w:color w:val="0D0D0D" w:themeColor="text1" w:themeTint="F2"/>
                        </w:rPr>
                        <w:t>;</w:t>
                      </w:r>
                      <w:proofErr w:type="gramEnd"/>
                    </w:p>
                    <w:p w14:paraId="13954170" w14:textId="77777777" w:rsidR="004E7F1C" w:rsidRPr="00904943" w:rsidRDefault="004E7F1C" w:rsidP="004E7F1C">
                      <w:pPr>
                        <w:pStyle w:val="ListParagraph"/>
                        <w:numPr>
                          <w:ilvl w:val="1"/>
                          <w:numId w:val="19"/>
                        </w:numPr>
                        <w:rPr>
                          <w:rFonts w:eastAsia="Times New Roman"/>
                          <w:color w:val="0D0D0D" w:themeColor="text1" w:themeTint="F2"/>
                        </w:rPr>
                      </w:pPr>
                      <w:r w:rsidRPr="00904943">
                        <w:rPr>
                          <w:rFonts w:eastAsia="Times New Roman"/>
                          <w:color w:val="0D0D0D" w:themeColor="text1" w:themeTint="F2"/>
                        </w:rPr>
                        <w:t>agreeing on the standards for reference laboratory AMR testing</w:t>
                      </w:r>
                      <w:r w:rsidR="00633838">
                        <w:rPr>
                          <w:rFonts w:eastAsia="Times New Roman"/>
                          <w:color w:val="0D0D0D" w:themeColor="text1" w:themeTint="F2"/>
                        </w:rPr>
                        <w:t>; and</w:t>
                      </w:r>
                    </w:p>
                    <w:p w14:paraId="5FFC2CCB" w14:textId="77777777" w:rsidR="004E7F1C" w:rsidRPr="004E7F1C" w:rsidRDefault="004E7F1C" w:rsidP="004E7F1C">
                      <w:pPr>
                        <w:pStyle w:val="ListParagraph"/>
                        <w:numPr>
                          <w:ilvl w:val="1"/>
                          <w:numId w:val="19"/>
                        </w:numPr>
                        <w:rPr>
                          <w:rFonts w:eastAsia="Times New Roman"/>
                          <w:color w:val="0D0D0D" w:themeColor="text1" w:themeTint="F2"/>
                          <w:sz w:val="24"/>
                          <w:szCs w:val="24"/>
                        </w:rPr>
                      </w:pPr>
                      <w:r w:rsidRPr="00904943">
                        <w:rPr>
                          <w:rFonts w:eastAsia="Times New Roman"/>
                          <w:color w:val="0D0D0D" w:themeColor="text1" w:themeTint="F2"/>
                        </w:rPr>
                        <w:t>advocating for funding for reference laboratories to undertake this testing for every case.</w:t>
                      </w:r>
                    </w:p>
                    <w:p w14:paraId="684F500B" w14:textId="77777777" w:rsidR="004E7F1C" w:rsidRPr="00904943" w:rsidRDefault="004E7F1C" w:rsidP="004E7F1C">
                      <w:pPr>
                        <w:pStyle w:val="NormalWeb"/>
                        <w:rPr>
                          <w:b/>
                          <w:color w:val="0D0D0D" w:themeColor="text1" w:themeTint="F2"/>
                        </w:rPr>
                      </w:pPr>
                      <w:r w:rsidRPr="00904943">
                        <w:rPr>
                          <w:b/>
                          <w:color w:val="0D0D0D" w:themeColor="text1" w:themeTint="F2"/>
                        </w:rPr>
                        <w:t>Other Recommendations</w:t>
                      </w:r>
                    </w:p>
                    <w:p w14:paraId="45BEB034"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Review the program objectives to ensure they reflect the EIPDSWG’s aspirations for the program.</w:t>
                      </w:r>
                    </w:p>
                    <w:p w14:paraId="3F7A9E8C"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Harmonise notification processes, data collection forms and data transmission from the jurisdictions to the NNDSS. This should include standardising risk factor data domains to ensure they reflect groups at high risk of IPD, as identified in the </w:t>
                      </w:r>
                      <w:r w:rsidRPr="00F428EE">
                        <w:rPr>
                          <w:rStyle w:val="Emphasis"/>
                          <w:rFonts w:eastAsia="Times New Roman"/>
                          <w:b w:val="0"/>
                          <w:color w:val="0D0D0D" w:themeColor="text1" w:themeTint="F2"/>
                        </w:rPr>
                        <w:t>Australian Immunisation Handbook 10th Edition.</w:t>
                      </w:r>
                    </w:p>
                    <w:p w14:paraId="5E212AAA"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Advocate for all jurisdictions to implement exclusively electronic laboratory notification systems, ensuring that these collect data consistent with the NNDSS data fields.</w:t>
                      </w:r>
                    </w:p>
                    <w:p w14:paraId="396E9260" w14:textId="77777777" w:rsidR="004E7F1C" w:rsidRPr="00904943" w:rsidRDefault="004E7F1C" w:rsidP="004E7F1C">
                      <w:pPr>
                        <w:pStyle w:val="ListParagraph"/>
                        <w:numPr>
                          <w:ilvl w:val="0"/>
                          <w:numId w:val="19"/>
                        </w:numPr>
                        <w:rPr>
                          <w:rFonts w:eastAsia="Times New Roman"/>
                          <w:color w:val="0D0D0D" w:themeColor="text1" w:themeTint="F2"/>
                          <w:sz w:val="24"/>
                          <w:szCs w:val="24"/>
                        </w:rPr>
                      </w:pPr>
                      <w:r w:rsidRPr="00904943">
                        <w:rPr>
                          <w:rFonts w:eastAsia="Times New Roman"/>
                          <w:color w:val="0D0D0D" w:themeColor="text1" w:themeTint="F2"/>
                        </w:rPr>
                        <w:t>Support jurisdictions to modify their databases to prevent entering non-logical data, and to conduct post-entry logic checks, where these are not already in place.</w:t>
                      </w:r>
                    </w:p>
                    <w:p w14:paraId="61F245D0"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 xml:space="preserve">Working with relevant partners, plan for the shift to whole-genome sequencing by overseeing the development of quality standards for IPD sequencing and bioinformatics, and by </w:t>
                      </w:r>
                      <w:proofErr w:type="spellStart"/>
                      <w:r w:rsidRPr="00904943">
                        <w:rPr>
                          <w:rFonts w:eastAsia="Times New Roman"/>
                          <w:color w:val="0D0D0D" w:themeColor="text1" w:themeTint="F2"/>
                        </w:rPr>
                        <w:t>auspicing</w:t>
                      </w:r>
                      <w:proofErr w:type="spellEnd"/>
                      <w:r w:rsidRPr="00904943">
                        <w:rPr>
                          <w:rFonts w:eastAsia="Times New Roman"/>
                          <w:color w:val="0D0D0D" w:themeColor="text1" w:themeTint="F2"/>
                        </w:rPr>
                        <w:t xml:space="preserve"> pilot implementation studies.</w:t>
                      </w:r>
                    </w:p>
                    <w:p w14:paraId="266D2DB5" w14:textId="77777777" w:rsidR="004E7F1C" w:rsidRPr="00904943" w:rsidRDefault="004E7F1C" w:rsidP="004E7F1C">
                      <w:pPr>
                        <w:pStyle w:val="ListParagraph"/>
                        <w:numPr>
                          <w:ilvl w:val="0"/>
                          <w:numId w:val="19"/>
                        </w:numPr>
                        <w:rPr>
                          <w:rFonts w:eastAsia="Times New Roman"/>
                          <w:color w:val="0D0D0D" w:themeColor="text1" w:themeTint="F2"/>
                        </w:rPr>
                      </w:pPr>
                      <w:r w:rsidRPr="00904943">
                        <w:rPr>
                          <w:rFonts w:eastAsia="Times New Roman"/>
                          <w:color w:val="0D0D0D" w:themeColor="text1" w:themeTint="F2"/>
                        </w:rPr>
                        <w:t>Work with the Public Health Laboratory Network to enhance engagement and communication with diagnostic laboratories to ensure their full participation. This should include a review and promotion of the guidelines for forwarding samples to reference laboratories.</w:t>
                      </w:r>
                    </w:p>
                    <w:p w14:paraId="457F36DF" w14:textId="77777777" w:rsidR="004E7F1C" w:rsidRPr="004E7F1C" w:rsidRDefault="004E7F1C" w:rsidP="004E7F1C">
                      <w:pPr>
                        <w:pStyle w:val="ListParagraph"/>
                        <w:numPr>
                          <w:ilvl w:val="0"/>
                          <w:numId w:val="19"/>
                        </w:numPr>
                        <w:rPr>
                          <w:rFonts w:eastAsia="Times New Roman"/>
                          <w:color w:val="0D0D0D" w:themeColor="text1" w:themeTint="F2"/>
                          <w:sz w:val="24"/>
                          <w:szCs w:val="24"/>
                        </w:rPr>
                      </w:pPr>
                      <w:r w:rsidRPr="00904943">
                        <w:rPr>
                          <w:rFonts w:eastAsia="Times New Roman"/>
                          <w:color w:val="0D0D0D" w:themeColor="text1" w:themeTint="F2"/>
                        </w:rPr>
                        <w:t>Implement succession planning interventions to ensure there is depth of capacity within the EIPDSWG, reference laboratories and jurisdictions to maintain the program at the current high standard.</w:t>
                      </w:r>
                    </w:p>
                  </w:txbxContent>
                </v:textbox>
                <w10:anchorlock/>
              </v:shape>
            </w:pict>
          </mc:Fallback>
        </mc:AlternateContent>
      </w:r>
    </w:p>
    <w:p w14:paraId="20588DB3" w14:textId="77777777" w:rsidR="00387584" w:rsidRDefault="00387584" w:rsidP="005C6D4F">
      <w:pPr>
        <w:divId w:val="31923996"/>
      </w:pPr>
      <w:r>
        <w:t xml:space="preserve">This evaluation was limited by the low number of responses to the stakeholder survey. Most notifications are made by diagnostic laboratories, but with only seven responses from laboratory staff it is unlikely that we obtained a representative sample, and we received no feedback on some issues including failure to forward PCR samples to reference laboratories. Conversely, the three companies manufacturing vaccines for the Australian market were overrepresented. We only assessed data quality using logic checks of notification data. It may be useful to conduct a </w:t>
      </w:r>
      <w:r>
        <w:lastRenderedPageBreak/>
        <w:t>quality audit of a random sample of notified cases using the original data sources. We did not estimate the sensitivity of the national program, but this could be approached using a capture-recapture analysis of linked surveillance and hospitalisation data.</w:t>
      </w:r>
    </w:p>
    <w:p w14:paraId="0040C594" w14:textId="77777777" w:rsidR="00387584" w:rsidRPr="00793804" w:rsidRDefault="00387584" w:rsidP="00793804">
      <w:pPr>
        <w:pStyle w:val="CDIFigures"/>
        <w:divId w:val="31923996"/>
      </w:pPr>
      <w:r>
        <w:t>Figure 4 Median intervals between elements of case notification (1 July 2013 to 30 June 2016) and reporting (2001 – 2016) in Australia’s enhanced IPD surveillance program.</w:t>
      </w:r>
      <w:r>
        <w:rPr>
          <w:rFonts w:eastAsia="Times New Roman"/>
          <w:noProof/>
        </w:rPr>
        <w:drawing>
          <wp:inline distT="0" distB="0" distL="0" distR="0" wp14:anchorId="2286A341" wp14:editId="3A06C51A">
            <wp:extent cx="6838121" cy="5025224"/>
            <wp:effectExtent l="0" t="0" r="1270" b="4445"/>
            <wp:docPr id="4" name="Picture 4" descr="Flow chart showing elements of case notification, from ‘true onset date’ to ‘date of publication of IPD Annual Report’.  Median intervals between these elements are shown as four years between true onset and publication of the annual report, including: six days between true onset and date the notification was received; seven days from then until the case was reported to NNDSS, and a further three months until the date of publication of the IPD Quarterly Report.   &#10;"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10; - Flow chart showing elements of case notification, from ‘true onset date’ to ‘date of publication of IPD Annual Report’.  Median intervals between these elements are shown as four years between true onset and publication of the annual report, including: six days between true onset and date the notification was received; seven days from then until the case was reported to NNDSS, and a further three months until the date of publication of the IPD Quarterly Report.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40000" cy="5026605"/>
                    </a:xfrm>
                    <a:prstGeom prst="rect">
                      <a:avLst/>
                    </a:prstGeom>
                    <a:noFill/>
                    <a:ln>
                      <a:noFill/>
                    </a:ln>
                  </pic:spPr>
                </pic:pic>
              </a:graphicData>
            </a:graphic>
          </wp:inline>
        </w:drawing>
      </w:r>
    </w:p>
    <w:p w14:paraId="4FE85F0F" w14:textId="77777777" w:rsidR="00387584" w:rsidRDefault="00387584" w:rsidP="005C6D4F">
      <w:pPr>
        <w:pStyle w:val="CDIfootnotes"/>
        <w:divId w:val="31923996"/>
        <w:rPr>
          <w:rFonts w:eastAsia="Times New Roman"/>
        </w:rPr>
      </w:pPr>
      <w:r>
        <w:rPr>
          <w:rFonts w:eastAsia="Times New Roman"/>
          <w:vertAlign w:val="superscript"/>
        </w:rPr>
        <w:t>*</w:t>
      </w:r>
      <w:r>
        <w:rPr>
          <w:rFonts w:eastAsia="Times New Roman"/>
        </w:rPr>
        <w:t>This interval does not equal the sum of the sub-intervals, due to missing data in date fields</w:t>
      </w:r>
    </w:p>
    <w:p w14:paraId="2093A74E" w14:textId="77777777" w:rsidR="00387584" w:rsidRDefault="00387584" w:rsidP="00D520C6">
      <w:pPr>
        <w:pStyle w:val="Heading1"/>
        <w:divId w:val="31923996"/>
        <w:rPr>
          <w:rFonts w:eastAsia="Times New Roman"/>
        </w:rPr>
      </w:pPr>
      <w:r>
        <w:rPr>
          <w:rFonts w:eastAsia="Times New Roman"/>
        </w:rPr>
        <w:t>Acknowledgements</w:t>
      </w:r>
    </w:p>
    <w:p w14:paraId="5B862FEE" w14:textId="77777777" w:rsidR="00387584" w:rsidRDefault="00387584" w:rsidP="005C6D4F">
      <w:pPr>
        <w:divId w:val="31923996"/>
      </w:pPr>
      <w:r>
        <w:t xml:space="preserve">We thank the members of the EIPDSWG who participated in interviews and provided comments on the draft evaluation report; Mark </w:t>
      </w:r>
      <w:proofErr w:type="spellStart"/>
      <w:r>
        <w:t>Trungove</w:t>
      </w:r>
      <w:proofErr w:type="spellEnd"/>
      <w:r>
        <w:t xml:space="preserve">, Data Manager with the Australian Government Department of Health’s Office of Health Protection, for his advice and support; stakeholders who responded to </w:t>
      </w:r>
      <w:r w:rsidR="00A06A84">
        <w:t xml:space="preserve">the evaluation survey; and Nick </w:t>
      </w:r>
      <w:r>
        <w:t>Pascual, who provided comments on the evaluation report and this article.</w:t>
      </w:r>
    </w:p>
    <w:p w14:paraId="45E99A13" w14:textId="77777777" w:rsidR="005F641F" w:rsidRDefault="00387584" w:rsidP="001A068B">
      <w:pPr>
        <w:divId w:val="31923996"/>
      </w:pPr>
      <w:r>
        <w:t>AM completed this work while she was a Master of Philosophy (Applied Epidemiology) scholar, on placement at the Australian Government Department of Health, and supported by an Australian Government Research Training Scholarship.</w:t>
      </w:r>
      <w:r w:rsidR="005F641F">
        <w:br w:type="page"/>
      </w:r>
    </w:p>
    <w:p w14:paraId="2DC891DC" w14:textId="77777777" w:rsidR="00387584" w:rsidRDefault="00387584" w:rsidP="00D520C6">
      <w:pPr>
        <w:pStyle w:val="Heading1"/>
        <w:divId w:val="31923996"/>
        <w:rPr>
          <w:rFonts w:eastAsia="Times New Roman"/>
        </w:rPr>
      </w:pPr>
      <w:r>
        <w:rPr>
          <w:rFonts w:eastAsia="Times New Roman"/>
        </w:rPr>
        <w:lastRenderedPageBreak/>
        <w:t>Author details and affiliations</w:t>
      </w:r>
    </w:p>
    <w:p w14:paraId="02907F4A" w14:textId="77777777" w:rsidR="00387584" w:rsidRDefault="00387584" w:rsidP="005C6D4F">
      <w:pPr>
        <w:divId w:val="31923996"/>
      </w:pPr>
      <w:r>
        <w:t xml:space="preserve">Ms Alexandra M </w:t>
      </w:r>
      <w:proofErr w:type="spellStart"/>
      <w:r>
        <w:t>Marmor</w:t>
      </w:r>
      <w:proofErr w:type="spellEnd"/>
      <w:r>
        <w:t xml:space="preserve"> Master of Philosophy (Applied Epidemiology)Scholar, National Centre for Epidemiology and Population Health, Australian National University and Indigenous Health Division, Australian Government Department of Health</w:t>
      </w:r>
    </w:p>
    <w:p w14:paraId="7C6FEF9A" w14:textId="77777777" w:rsidR="00387584" w:rsidRDefault="00387584" w:rsidP="005C6D4F">
      <w:pPr>
        <w:divId w:val="31923996"/>
      </w:pPr>
      <w:r>
        <w:t>Associate Professor David Harley Deputy Director, Queensland Centre for Intellectual and Developmental Disability MRI-UQ, The University of Queensland Mater Hospitals Brisbane and Visiting Fellow - National Centre for Epidemiology and Population Health, Australian National University</w:t>
      </w:r>
    </w:p>
    <w:p w14:paraId="6D47F037" w14:textId="77777777" w:rsidR="00387584" w:rsidRDefault="00387584" w:rsidP="005C6D4F">
      <w:pPr>
        <w:divId w:val="31923996"/>
      </w:pPr>
      <w:r>
        <w:t>Corresp</w:t>
      </w:r>
      <w:r w:rsidR="00F8788E">
        <w:t xml:space="preserve">onding author: Alexandra </w:t>
      </w:r>
      <w:proofErr w:type="spellStart"/>
      <w:r w:rsidR="00F8788E">
        <w:t>Marmor</w:t>
      </w:r>
      <w:proofErr w:type="spellEnd"/>
      <w:r w:rsidR="00F8788E">
        <w:br/>
      </w:r>
      <w:r>
        <w:t>2 Huon Place LYONS ACT 2606 Phone 0405 683 029 alex_sticpewich@hotmail.com</w:t>
      </w:r>
    </w:p>
    <w:p w14:paraId="7BD755E7" w14:textId="77777777" w:rsidR="00387584" w:rsidRDefault="00387584" w:rsidP="00D520C6">
      <w:pPr>
        <w:pStyle w:val="Heading1"/>
        <w:divId w:val="31923996"/>
        <w:rPr>
          <w:rFonts w:eastAsia="Times New Roman"/>
        </w:rPr>
      </w:pPr>
      <w:r>
        <w:rPr>
          <w:rFonts w:eastAsia="Times New Roman"/>
        </w:rPr>
        <w:t>References</w:t>
      </w:r>
    </w:p>
    <w:p w14:paraId="0F077CBA"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Government Department of Health. Australian national notifiable diseases and case definitions 2017 [Available from: www.health.gov.au/casedefinitions.</w:t>
      </w:r>
    </w:p>
    <w:p w14:paraId="2D489E26"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Bogaert D, de Groot R, Hermans PWM. Streptococcus pneumoniae colonisation: the key to pneumococcal disease. The Lancet Infectious Diseases. 2004;4(3):144-54.</w:t>
      </w:r>
    </w:p>
    <w:p w14:paraId="55E7E295"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Rodrigo C, Lim WS. The relevance of pneumococcal serotypes. Curr Infect Dis Rep. 2014;16(4):403.</w:t>
      </w:r>
    </w:p>
    <w:p w14:paraId="3BEC529C" w14:textId="77777777" w:rsidR="00387584" w:rsidRPr="005C6D4F" w:rsidRDefault="00387584" w:rsidP="005C6D4F">
      <w:pPr>
        <w:pStyle w:val="ListParagraph"/>
        <w:numPr>
          <w:ilvl w:val="0"/>
          <w:numId w:val="21"/>
        </w:numPr>
        <w:divId w:val="31923996"/>
        <w:rPr>
          <w:rFonts w:eastAsia="Times New Roman"/>
        </w:rPr>
      </w:pPr>
      <w:proofErr w:type="spellStart"/>
      <w:r w:rsidRPr="005C6D4F">
        <w:rPr>
          <w:rFonts w:eastAsia="Times New Roman"/>
        </w:rPr>
        <w:t>Obaro</w:t>
      </w:r>
      <w:proofErr w:type="spellEnd"/>
      <w:r w:rsidRPr="005C6D4F">
        <w:rPr>
          <w:rFonts w:eastAsia="Times New Roman"/>
        </w:rPr>
        <w:t xml:space="preserve"> S, </w:t>
      </w:r>
      <w:proofErr w:type="spellStart"/>
      <w:r w:rsidRPr="005C6D4F">
        <w:rPr>
          <w:rFonts w:eastAsia="Times New Roman"/>
        </w:rPr>
        <w:t>Adegbola</w:t>
      </w:r>
      <w:proofErr w:type="spellEnd"/>
      <w:r w:rsidRPr="005C6D4F">
        <w:rPr>
          <w:rFonts w:eastAsia="Times New Roman"/>
        </w:rPr>
        <w:t xml:space="preserve"> R. The pneumococcus: carriage, </w:t>
      </w:r>
      <w:proofErr w:type="gramStart"/>
      <w:r w:rsidRPr="005C6D4F">
        <w:rPr>
          <w:rFonts w:eastAsia="Times New Roman"/>
        </w:rPr>
        <w:t>disease</w:t>
      </w:r>
      <w:proofErr w:type="gramEnd"/>
      <w:r w:rsidRPr="005C6D4F">
        <w:rPr>
          <w:rFonts w:eastAsia="Times New Roman"/>
        </w:rPr>
        <w:t xml:space="preserve"> and conjugate vaccines. J Med Microbiol. 2002;51(2):98-104.</w:t>
      </w:r>
    </w:p>
    <w:p w14:paraId="7429F466"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Randle E, </w:t>
      </w:r>
      <w:proofErr w:type="spellStart"/>
      <w:r w:rsidRPr="005C6D4F">
        <w:rPr>
          <w:rFonts w:eastAsia="Times New Roman"/>
        </w:rPr>
        <w:t>Ninis</w:t>
      </w:r>
      <w:proofErr w:type="spellEnd"/>
      <w:r w:rsidRPr="005C6D4F">
        <w:rPr>
          <w:rFonts w:eastAsia="Times New Roman"/>
        </w:rPr>
        <w:t xml:space="preserve"> N, </w:t>
      </w:r>
      <w:proofErr w:type="spellStart"/>
      <w:r w:rsidRPr="005C6D4F">
        <w:rPr>
          <w:rFonts w:eastAsia="Times New Roman"/>
        </w:rPr>
        <w:t>Inwald</w:t>
      </w:r>
      <w:proofErr w:type="spellEnd"/>
      <w:r w:rsidRPr="005C6D4F">
        <w:rPr>
          <w:rFonts w:eastAsia="Times New Roman"/>
        </w:rPr>
        <w:t xml:space="preserve"> D. Invasive pneumococcal disease. Arch Dis Child Educ </w:t>
      </w:r>
      <w:proofErr w:type="spellStart"/>
      <w:r w:rsidRPr="005C6D4F">
        <w:rPr>
          <w:rFonts w:eastAsia="Times New Roman"/>
        </w:rPr>
        <w:t>Prac</w:t>
      </w:r>
      <w:proofErr w:type="spellEnd"/>
      <w:r w:rsidRPr="005C6D4F">
        <w:rPr>
          <w:rFonts w:eastAsia="Times New Roman"/>
        </w:rPr>
        <w:t xml:space="preserve"> Ed 2011;96(5):183-90.</w:t>
      </w:r>
    </w:p>
    <w:p w14:paraId="0891E312"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Chiu C, McIntyre P. Pneumococcal vaccines: past, </w:t>
      </w:r>
      <w:proofErr w:type="gramStart"/>
      <w:r w:rsidRPr="005C6D4F">
        <w:rPr>
          <w:rFonts w:eastAsia="Times New Roman"/>
        </w:rPr>
        <w:t>present</w:t>
      </w:r>
      <w:proofErr w:type="gramEnd"/>
      <w:r w:rsidRPr="005C6D4F">
        <w:rPr>
          <w:rFonts w:eastAsia="Times New Roman"/>
        </w:rPr>
        <w:t xml:space="preserve"> and future. Australian Prescriber. 2013;36(3):88–93.</w:t>
      </w:r>
    </w:p>
    <w:p w14:paraId="5FC0E04F"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Feldman C, Anderson R. Recent advances in our understanding of Streptococcus pneumoniae infection. F1000Prime Reports. 2014;6:82.</w:t>
      </w:r>
    </w:p>
    <w:p w14:paraId="056A2E70"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Tyrrell GJ, </w:t>
      </w:r>
      <w:proofErr w:type="spellStart"/>
      <w:r w:rsidRPr="005C6D4F">
        <w:rPr>
          <w:rFonts w:eastAsia="Times New Roman"/>
        </w:rPr>
        <w:t>Lovgren</w:t>
      </w:r>
      <w:proofErr w:type="spellEnd"/>
      <w:r w:rsidRPr="005C6D4F">
        <w:rPr>
          <w:rFonts w:eastAsia="Times New Roman"/>
        </w:rPr>
        <w:t xml:space="preserve"> M, Ibrahim Q, Garg S, Chui L, Boone TJ, et al. Epidemic of invasive pneumococcal disease, western Canada, 2005–2009. </w:t>
      </w:r>
      <w:proofErr w:type="spellStart"/>
      <w:r w:rsidRPr="005C6D4F">
        <w:rPr>
          <w:rFonts w:eastAsia="Times New Roman"/>
        </w:rPr>
        <w:t>Emerg</w:t>
      </w:r>
      <w:proofErr w:type="spellEnd"/>
      <w:r w:rsidRPr="005C6D4F">
        <w:rPr>
          <w:rFonts w:eastAsia="Times New Roman"/>
        </w:rPr>
        <w:t xml:space="preserve"> Infect Dis. 2012;18(5):733.</w:t>
      </w:r>
    </w:p>
    <w:p w14:paraId="55843C34"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Hanna JN, Humphreys JL, Murphy DM. Invasive pneumococcal disease in Indigenous people in north Queensland, 1999-2004. Med J Aust. 2006;184(3):118-21.</w:t>
      </w:r>
    </w:p>
    <w:p w14:paraId="4D067599"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Lai J, Cook H, Yip T-W, Berthelsen J, Gourley S, Krause V, et al. Surveillance of pneumococcal serotype 1 carriage during an outbreak of serotype 1 invasive pneumococcal disease in central Australia 2010-2012. BMC Infect Dis. 2013;13(1):409.</w:t>
      </w:r>
    </w:p>
    <w:p w14:paraId="0BDA5F34"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Pennington K, and the Enhanced Invasive Pneumococcal Disease Surveillance Working Group </w:t>
      </w:r>
      <w:proofErr w:type="spellStart"/>
      <w:r w:rsidRPr="005C6D4F">
        <w:rPr>
          <w:rFonts w:eastAsia="Times New Roman"/>
        </w:rPr>
        <w:t>ftCDNA</w:t>
      </w:r>
      <w:proofErr w:type="spellEnd"/>
      <w:r w:rsidRPr="005C6D4F">
        <w:rPr>
          <w:rFonts w:eastAsia="Times New Roman"/>
        </w:rPr>
        <w:t>. Invasive Pneumococcal Disease Surveillance, 1 October to 31 December 2016. Commun Dis Intell. 2017;41(1):E114-E9.</w:t>
      </w:r>
    </w:p>
    <w:p w14:paraId="53830197"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Lin SH, Lai CC, Tan CK, Liao WH, Hsueh PR. Outcomes of hospitalized patients with bacteraemic and non-bacteraemic community-acquired pneumonia caused by Streptococcus pneumoniae. Epidemiol Infect. 2011;139(9):1307-16.</w:t>
      </w:r>
    </w:p>
    <w:p w14:paraId="63E0E46E" w14:textId="77777777" w:rsidR="00387584" w:rsidRPr="005C6D4F" w:rsidRDefault="00387584" w:rsidP="005C6D4F">
      <w:pPr>
        <w:pStyle w:val="ListParagraph"/>
        <w:numPr>
          <w:ilvl w:val="0"/>
          <w:numId w:val="21"/>
        </w:numPr>
        <w:divId w:val="31923996"/>
        <w:rPr>
          <w:rFonts w:eastAsia="Times New Roman"/>
        </w:rPr>
      </w:pPr>
      <w:proofErr w:type="spellStart"/>
      <w:r w:rsidRPr="005C6D4F">
        <w:rPr>
          <w:rFonts w:eastAsia="Times New Roman"/>
        </w:rPr>
        <w:t>Wagenvoort</w:t>
      </w:r>
      <w:proofErr w:type="spellEnd"/>
      <w:r w:rsidRPr="005C6D4F">
        <w:rPr>
          <w:rFonts w:eastAsia="Times New Roman"/>
        </w:rPr>
        <w:t xml:space="preserve"> GH, Sanders EA, de </w:t>
      </w:r>
      <w:proofErr w:type="spellStart"/>
      <w:r w:rsidRPr="005C6D4F">
        <w:rPr>
          <w:rFonts w:eastAsia="Times New Roman"/>
        </w:rPr>
        <w:t>Melker</w:t>
      </w:r>
      <w:proofErr w:type="spellEnd"/>
      <w:r w:rsidRPr="005C6D4F">
        <w:rPr>
          <w:rFonts w:eastAsia="Times New Roman"/>
        </w:rPr>
        <w:t xml:space="preserve"> HE, van der Ende A, </w:t>
      </w:r>
      <w:proofErr w:type="spellStart"/>
      <w:r w:rsidRPr="005C6D4F">
        <w:rPr>
          <w:rFonts w:eastAsia="Times New Roman"/>
        </w:rPr>
        <w:t>Vlaminckx</w:t>
      </w:r>
      <w:proofErr w:type="spellEnd"/>
      <w:r w:rsidRPr="005C6D4F">
        <w:rPr>
          <w:rFonts w:eastAsia="Times New Roman"/>
        </w:rPr>
        <w:t xml:space="preserve"> BJ, Knol MJ. Long-term mortality after IPD and </w:t>
      </w:r>
      <w:proofErr w:type="spellStart"/>
      <w:r w:rsidRPr="005C6D4F">
        <w:rPr>
          <w:rFonts w:eastAsia="Times New Roman"/>
        </w:rPr>
        <w:t>bacteremic</w:t>
      </w:r>
      <w:proofErr w:type="spellEnd"/>
      <w:r w:rsidRPr="005C6D4F">
        <w:rPr>
          <w:rFonts w:eastAsia="Times New Roman"/>
        </w:rPr>
        <w:t xml:space="preserve"> versus non-</w:t>
      </w:r>
      <w:proofErr w:type="spellStart"/>
      <w:r w:rsidRPr="005C6D4F">
        <w:rPr>
          <w:rFonts w:eastAsia="Times New Roman"/>
        </w:rPr>
        <w:t>bacteremic</w:t>
      </w:r>
      <w:proofErr w:type="spellEnd"/>
      <w:r w:rsidRPr="005C6D4F">
        <w:rPr>
          <w:rFonts w:eastAsia="Times New Roman"/>
        </w:rPr>
        <w:t xml:space="preserve"> pneumococcal pneumonia. Vaccine. 2017;35(14):1749-57.</w:t>
      </w:r>
    </w:p>
    <w:p w14:paraId="45A8435A"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Mook-Kanamori BB, </w:t>
      </w:r>
      <w:proofErr w:type="spellStart"/>
      <w:r w:rsidRPr="005C6D4F">
        <w:rPr>
          <w:rFonts w:eastAsia="Times New Roman"/>
        </w:rPr>
        <w:t>Geldhoff</w:t>
      </w:r>
      <w:proofErr w:type="spellEnd"/>
      <w:r w:rsidRPr="005C6D4F">
        <w:rPr>
          <w:rFonts w:eastAsia="Times New Roman"/>
        </w:rPr>
        <w:t xml:space="preserve"> M, van der Poll T, van de Beek D. Pathogenesis and pathophysiology of pneumococcal meningitis. Clin Microbiol Rev. 2011;24(3):557-91.</w:t>
      </w:r>
    </w:p>
    <w:p w14:paraId="632CA30B"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Newall AT, Creighton P, Philp DJ, Wood JG, </w:t>
      </w:r>
      <w:proofErr w:type="spellStart"/>
      <w:r w:rsidRPr="005C6D4F">
        <w:rPr>
          <w:rFonts w:eastAsia="Times New Roman"/>
        </w:rPr>
        <w:t>MacIntyre</w:t>
      </w:r>
      <w:proofErr w:type="spellEnd"/>
      <w:r w:rsidRPr="005C6D4F">
        <w:rPr>
          <w:rFonts w:eastAsia="Times New Roman"/>
        </w:rPr>
        <w:t xml:space="preserve"> CR. The potential cost-effectiveness of infant pneumococcal vaccines in Australia. Vaccine. 2011;29(45):8077-85.</w:t>
      </w:r>
    </w:p>
    <w:p w14:paraId="4277C48C"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Earle K, Williams S. Burden of pneumococcal disease in adults aged 65 years and older: an Australian perspective. Pneumonia. 2016;8(1):9.</w:t>
      </w:r>
    </w:p>
    <w:p w14:paraId="07BC09C0"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lastRenderedPageBreak/>
        <w:t xml:space="preserve">Pharmaceutical Benefits Scheme. Pneumococcal </w:t>
      </w:r>
      <w:proofErr w:type="spellStart"/>
      <w:r w:rsidRPr="005C6D4F">
        <w:rPr>
          <w:rFonts w:eastAsia="Times New Roman"/>
        </w:rPr>
        <w:t>polysaccaride</w:t>
      </w:r>
      <w:proofErr w:type="spellEnd"/>
      <w:r w:rsidRPr="005C6D4F">
        <w:rPr>
          <w:rFonts w:eastAsia="Times New Roman"/>
        </w:rPr>
        <w:t xml:space="preserve"> </w:t>
      </w:r>
      <w:proofErr w:type="spellStart"/>
      <w:r w:rsidRPr="005C6D4F">
        <w:rPr>
          <w:rFonts w:eastAsia="Times New Roman"/>
        </w:rPr>
        <w:t>conjugute</w:t>
      </w:r>
      <w:proofErr w:type="spellEnd"/>
      <w:r w:rsidRPr="005C6D4F">
        <w:rPr>
          <w:rFonts w:eastAsia="Times New Roman"/>
        </w:rPr>
        <w:t xml:space="preserve"> vaccine, 13-valent adsorbed, injection, 0.5 mL, pre-filled syringe, Prevenar-13</w:t>
      </w:r>
      <w:r w:rsidRPr="005C6D4F">
        <w:rPr>
          <w:rFonts w:eastAsia="Times New Roman"/>
          <w:vertAlign w:val="superscript"/>
        </w:rPr>
        <w:t>®</w:t>
      </w:r>
      <w:r w:rsidRPr="005C6D4F">
        <w:rPr>
          <w:rFonts w:eastAsia="Times New Roman"/>
        </w:rPr>
        <w:t>. 2010.</w:t>
      </w:r>
    </w:p>
    <w:p w14:paraId="53CECAE3"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Pharmaceutical Benefits Scheme. Australian statistics on medicines 2015. 2016.</w:t>
      </w:r>
    </w:p>
    <w:p w14:paraId="3F4A52E3"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Technical Advisory Group on Immunisation. The Australian Immunisation Handbook. 10th ed. Canberra: Commonwealth of Australia; 2013.</w:t>
      </w:r>
    </w:p>
    <w:p w14:paraId="215AA1F0"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Taylor PS, </w:t>
      </w:r>
      <w:proofErr w:type="spellStart"/>
      <w:r w:rsidRPr="005C6D4F">
        <w:rPr>
          <w:rFonts w:eastAsia="Times New Roman"/>
        </w:rPr>
        <w:t>Faeth</w:t>
      </w:r>
      <w:proofErr w:type="spellEnd"/>
      <w:r w:rsidRPr="005C6D4F">
        <w:rPr>
          <w:rFonts w:eastAsia="Times New Roman"/>
        </w:rPr>
        <w:t xml:space="preserve"> I, Marks MK, Del Mar CB, Skull SA, </w:t>
      </w:r>
      <w:proofErr w:type="spellStart"/>
      <w:r w:rsidRPr="005C6D4F">
        <w:rPr>
          <w:rFonts w:eastAsia="Times New Roman"/>
        </w:rPr>
        <w:t>Pezzullo</w:t>
      </w:r>
      <w:proofErr w:type="spellEnd"/>
      <w:r w:rsidRPr="005C6D4F">
        <w:rPr>
          <w:rFonts w:eastAsia="Times New Roman"/>
        </w:rPr>
        <w:t xml:space="preserve"> ML, et al. Cost of treating otitis media in Australia. Expert Rev </w:t>
      </w:r>
      <w:proofErr w:type="spellStart"/>
      <w:r w:rsidRPr="005C6D4F">
        <w:rPr>
          <w:rFonts w:eastAsia="Times New Roman"/>
        </w:rPr>
        <w:t>Pharmacoecon</w:t>
      </w:r>
      <w:proofErr w:type="spellEnd"/>
      <w:r w:rsidRPr="005C6D4F">
        <w:rPr>
          <w:rFonts w:eastAsia="Times New Roman"/>
        </w:rPr>
        <w:t xml:space="preserve"> Outcomes Res. 2009;9(2):133-41.</w:t>
      </w:r>
    </w:p>
    <w:p w14:paraId="2D033501"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Toms C, de </w:t>
      </w:r>
      <w:proofErr w:type="spellStart"/>
      <w:r w:rsidRPr="005C6D4F">
        <w:rPr>
          <w:rFonts w:eastAsia="Times New Roman"/>
        </w:rPr>
        <w:t>Kluyver</w:t>
      </w:r>
      <w:proofErr w:type="spellEnd"/>
      <w:r w:rsidRPr="005C6D4F">
        <w:rPr>
          <w:rFonts w:eastAsia="Times New Roman"/>
        </w:rPr>
        <w:t xml:space="preserve"> R, Enhanced Invasive Pneumococcal Disease Surveillance Working Group. Invasive Pneumococcal Disease in Australia, 2011 and 2012. Commun Dis Intell. 2016;40(2).</w:t>
      </w:r>
    </w:p>
    <w:p w14:paraId="6F151F68"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Miller M, Roche P, Spencer J, </w:t>
      </w:r>
      <w:proofErr w:type="spellStart"/>
      <w:r w:rsidRPr="005C6D4F">
        <w:rPr>
          <w:rFonts w:eastAsia="Times New Roman"/>
        </w:rPr>
        <w:t>Deeble</w:t>
      </w:r>
      <w:proofErr w:type="spellEnd"/>
      <w:r w:rsidRPr="005C6D4F">
        <w:rPr>
          <w:rFonts w:eastAsia="Times New Roman"/>
        </w:rPr>
        <w:t xml:space="preserve"> M. Evaluation of Australia’s National Notifiable Disease Surveillance System. Commun Dis Intell. 2004;28(3).</w:t>
      </w:r>
    </w:p>
    <w:p w14:paraId="1862D3E4" w14:textId="77777777" w:rsidR="00387584" w:rsidRPr="005C6D4F" w:rsidRDefault="00387584" w:rsidP="005C6D4F">
      <w:pPr>
        <w:pStyle w:val="ListParagraph"/>
        <w:numPr>
          <w:ilvl w:val="0"/>
          <w:numId w:val="21"/>
        </w:numPr>
        <w:divId w:val="31923996"/>
        <w:rPr>
          <w:rFonts w:eastAsia="Times New Roman"/>
        </w:rPr>
      </w:pPr>
      <w:proofErr w:type="spellStart"/>
      <w:r w:rsidRPr="005C6D4F">
        <w:rPr>
          <w:rFonts w:eastAsia="Times New Roman"/>
        </w:rPr>
        <w:t>Centers</w:t>
      </w:r>
      <w:proofErr w:type="spellEnd"/>
      <w:r w:rsidRPr="005C6D4F">
        <w:rPr>
          <w:rFonts w:eastAsia="Times New Roman"/>
        </w:rPr>
        <w:t xml:space="preserve"> for Disease Control and Prevention. Updated guidelines for evaluating public health surveillance systems: recommendations from the guidelines working group. MMWR. 2001;50(No. RR-13).</w:t>
      </w:r>
    </w:p>
    <w:p w14:paraId="22679617" w14:textId="77777777" w:rsidR="00387584" w:rsidRPr="005C6D4F" w:rsidRDefault="00387584" w:rsidP="005C6D4F">
      <w:pPr>
        <w:pStyle w:val="ListParagraph"/>
        <w:numPr>
          <w:ilvl w:val="0"/>
          <w:numId w:val="21"/>
        </w:numPr>
        <w:divId w:val="31923996"/>
        <w:rPr>
          <w:rFonts w:eastAsia="Times New Roman"/>
        </w:rPr>
      </w:pPr>
      <w:proofErr w:type="spellStart"/>
      <w:r w:rsidRPr="005C6D4F">
        <w:rPr>
          <w:rFonts w:eastAsia="Times New Roman"/>
        </w:rPr>
        <w:t>AusGovBoards</w:t>
      </w:r>
      <w:proofErr w:type="spellEnd"/>
      <w:r w:rsidRPr="005C6D4F">
        <w:rPr>
          <w:rFonts w:eastAsia="Times New Roman"/>
        </w:rPr>
        <w:t>. Australian Technical Advisory Group on Immunisation (ATAGI): Australian Government; 2015 [Available from: www.ausgovboards.gov.au/boards/australian-technical-advisory-group-immunisation-atagi.</w:t>
      </w:r>
    </w:p>
    <w:p w14:paraId="7AF5B609"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Commission on Safety and Quality in Health Care. Antimicrobial Use and Resistance in Australia Project 2015 [Available from: www.safetyandquality.gov.au/national-priorities/amr-and-au-surveillance-project/roleofcommission.</w:t>
      </w:r>
    </w:p>
    <w:p w14:paraId="3F5574A0"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Government Department of Health. Invasive Pneumococcal Disease surveillance 2017 [Available from: www.health.gov.au/internet/main/publishing.nsf/Content/cda-surveil-nndss-ipd-reports.htm.</w:t>
      </w:r>
    </w:p>
    <w:p w14:paraId="4C67F39E" w14:textId="27817558"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Australian Government Department of Health. Surveillance systems reported in Communicable Diseases Intelligence, 2016. 2016 [Available from: </w:t>
      </w:r>
      <w:hyperlink r:id="rId13" w:anchor="ipd" w:history="1">
        <w:r w:rsidRPr="005C6D4F">
          <w:rPr>
            <w:rStyle w:val="Hyperlink"/>
            <w:rFonts w:eastAsia="Times New Roman"/>
          </w:rPr>
          <w:t>www.health.gov.au/internet/main/publishing.nsf/Content/cda-surveil-surv_sys.htm#ipd</w:t>
        </w:r>
      </w:hyperlink>
      <w:r w:rsidRPr="005C6D4F">
        <w:rPr>
          <w:rFonts w:eastAsia="Times New Roman"/>
        </w:rPr>
        <w:t>]</w:t>
      </w:r>
    </w:p>
    <w:p w14:paraId="4AF9D7E7"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National Centre for Immunisation Research and Surveillance. Significant events in pneumococcal vaccination practice in Australia. 2015 [Available from: www.ncirs.edu.au/assets/provider_resources/history/Pneumococcal-history-November-2015.pdf]</w:t>
      </w:r>
    </w:p>
    <w:p w14:paraId="6DDC9B26" w14:textId="77777777" w:rsidR="00387584" w:rsidRPr="005C6D4F" w:rsidRDefault="00387584" w:rsidP="005C6D4F">
      <w:pPr>
        <w:pStyle w:val="ListParagraph"/>
        <w:numPr>
          <w:ilvl w:val="0"/>
          <w:numId w:val="21"/>
        </w:numPr>
        <w:divId w:val="31923996"/>
        <w:rPr>
          <w:rFonts w:eastAsia="Times New Roman"/>
        </w:rPr>
      </w:pPr>
      <w:proofErr w:type="spellStart"/>
      <w:r w:rsidRPr="005C6D4F">
        <w:rPr>
          <w:rFonts w:eastAsia="Times New Roman"/>
        </w:rPr>
        <w:t>Sintchenko</w:t>
      </w:r>
      <w:proofErr w:type="spellEnd"/>
      <w:r w:rsidRPr="005C6D4F">
        <w:rPr>
          <w:rFonts w:eastAsia="Times New Roman"/>
        </w:rPr>
        <w:t xml:space="preserve"> V, Holmes N. Early warning systems augmented by bacterial genomics. Microbiology Australia. 2014;March:44-8.</w:t>
      </w:r>
    </w:p>
    <w:p w14:paraId="4338DFAA"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Deng X, </w:t>
      </w:r>
      <w:proofErr w:type="spellStart"/>
      <w:r w:rsidRPr="005C6D4F">
        <w:rPr>
          <w:rFonts w:eastAsia="Times New Roman"/>
        </w:rPr>
        <w:t>Memari</w:t>
      </w:r>
      <w:proofErr w:type="spellEnd"/>
      <w:r w:rsidRPr="005C6D4F">
        <w:rPr>
          <w:rFonts w:eastAsia="Times New Roman"/>
        </w:rPr>
        <w:t xml:space="preserve"> N, </w:t>
      </w:r>
      <w:proofErr w:type="spellStart"/>
      <w:r w:rsidRPr="005C6D4F">
        <w:rPr>
          <w:rFonts w:eastAsia="Times New Roman"/>
        </w:rPr>
        <w:t>Teatero</w:t>
      </w:r>
      <w:proofErr w:type="spellEnd"/>
      <w:r w:rsidRPr="005C6D4F">
        <w:rPr>
          <w:rFonts w:eastAsia="Times New Roman"/>
        </w:rPr>
        <w:t xml:space="preserve"> S, </w:t>
      </w:r>
      <w:proofErr w:type="spellStart"/>
      <w:r w:rsidRPr="005C6D4F">
        <w:rPr>
          <w:rFonts w:eastAsia="Times New Roman"/>
        </w:rPr>
        <w:t>Athey</w:t>
      </w:r>
      <w:proofErr w:type="spellEnd"/>
      <w:r w:rsidRPr="005C6D4F">
        <w:rPr>
          <w:rFonts w:eastAsia="Times New Roman"/>
        </w:rPr>
        <w:t xml:space="preserve"> T, Isabel M, </w:t>
      </w:r>
      <w:proofErr w:type="spellStart"/>
      <w:r w:rsidRPr="005C6D4F">
        <w:rPr>
          <w:rFonts w:eastAsia="Times New Roman"/>
        </w:rPr>
        <w:t>Mazzulli</w:t>
      </w:r>
      <w:proofErr w:type="spellEnd"/>
      <w:r w:rsidRPr="005C6D4F">
        <w:rPr>
          <w:rFonts w:eastAsia="Times New Roman"/>
        </w:rPr>
        <w:t xml:space="preserve"> T, et al. Whole-genome Sequencing for Surveillance of Invasive Pneumococcal Diseases in Ontario, Canada: Rapid Prediction of Genotype, Antibiotic Resistance and Characterization of Emerging Serotype 22F. Frontiers in microbiology. 2016;7:2099.</w:t>
      </w:r>
    </w:p>
    <w:p w14:paraId="77E95518"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Metcalf BJ, </w:t>
      </w:r>
      <w:proofErr w:type="spellStart"/>
      <w:r w:rsidRPr="005C6D4F">
        <w:rPr>
          <w:rFonts w:eastAsia="Times New Roman"/>
        </w:rPr>
        <w:t>Chochua</w:t>
      </w:r>
      <w:proofErr w:type="spellEnd"/>
      <w:r w:rsidRPr="005C6D4F">
        <w:rPr>
          <w:rFonts w:eastAsia="Times New Roman"/>
        </w:rPr>
        <w:t xml:space="preserve"> S, Gertz R, Li Z, Walker H, Tran T, et al. Using whole genome sequencing to identify resistance determinants and predict antimicrobial resistance phenotypes for year 2015 invasive pneumococcal disease isolates recovered in the United States. Clin Microbiol Infect. 2016;22(12):1002. e1-. e8.</w:t>
      </w:r>
    </w:p>
    <w:p w14:paraId="4D727FD7"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European Centre for Disease Prevention and Control. Expert opinion on whole genome sequencing for public health surveillance. Stockholm: ECDC; 2016.</w:t>
      </w:r>
    </w:p>
    <w:p w14:paraId="3C9F3A57"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Government Department of Health. My Health Record - continuation and expansion 2017 [Available from: www.health.gov.au/internet/budget/publishing.nsf/Content/budget2017-factsheet47.htm.</w:t>
      </w:r>
    </w:p>
    <w:p w14:paraId="438DF046"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 xml:space="preserve">Clothier H, Vu T, Sundararajan V, Andrews R, </w:t>
      </w:r>
      <w:proofErr w:type="spellStart"/>
      <w:r w:rsidRPr="005C6D4F">
        <w:rPr>
          <w:rFonts w:eastAsia="Times New Roman"/>
        </w:rPr>
        <w:t>Counahan</w:t>
      </w:r>
      <w:proofErr w:type="spellEnd"/>
      <w:r w:rsidRPr="005C6D4F">
        <w:rPr>
          <w:rFonts w:eastAsia="Times New Roman"/>
        </w:rPr>
        <w:t xml:space="preserve"> M, Tallis G, et al. Invasive pneumococcal disease in Victoria: a better measurement of the true incidence. Epidemiol Infect. 2008;136(2):225-31.</w:t>
      </w:r>
    </w:p>
    <w:p w14:paraId="37479103"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Avni T, Mansur N, Leibovici L, Paul M. PCR using blood for diagnosis of invasive pneumococcal disease: systematic review and meta-analysis. J Clin Microbiol. 2010;48(2):489-96.</w:t>
      </w:r>
    </w:p>
    <w:p w14:paraId="4F92E2ED" w14:textId="77777777" w:rsidR="00387584" w:rsidRPr="005C6D4F" w:rsidRDefault="00387584" w:rsidP="005C6D4F">
      <w:pPr>
        <w:pStyle w:val="ListParagraph"/>
        <w:numPr>
          <w:ilvl w:val="0"/>
          <w:numId w:val="21"/>
        </w:numPr>
        <w:divId w:val="31923996"/>
        <w:rPr>
          <w:rFonts w:eastAsia="Times New Roman"/>
        </w:rPr>
      </w:pPr>
      <w:r w:rsidRPr="005C6D4F">
        <w:rPr>
          <w:rFonts w:eastAsia="Times New Roman"/>
        </w:rPr>
        <w:t>Australian Government Department of Health. Australian Immunisation Register (AIR): Australian Go</w:t>
      </w:r>
      <w:r w:rsidR="005C6D4F">
        <w:rPr>
          <w:rFonts w:eastAsia="Times New Roman"/>
        </w:rPr>
        <w:t xml:space="preserve">vernment; 2017 [Available from: </w:t>
      </w:r>
      <w:r w:rsidRPr="005C6D4F">
        <w:rPr>
          <w:rFonts w:eastAsia="Times New Roman"/>
        </w:rPr>
        <w:t>www.immunise.health.gov.au/internet/immunise/publishing.nsf/Content/ohp-acir.htm</w:t>
      </w:r>
    </w:p>
    <w:p w14:paraId="511878D6" w14:textId="77777777" w:rsidR="004C67C6" w:rsidRDefault="004C67C6" w:rsidP="00CF435E">
      <w:pPr>
        <w:pStyle w:val="NormalWeb"/>
      </w:pPr>
      <w:r>
        <w:br w:type="page"/>
      </w:r>
    </w:p>
    <w:p w14:paraId="32E0824F" w14:textId="77777777" w:rsidR="007C56A1" w:rsidRPr="00FA03F9" w:rsidRDefault="007C56A1" w:rsidP="00731BC3">
      <w:pPr>
        <w:rPr>
          <w:rStyle w:val="A10"/>
          <w:rFonts w:asciiTheme="majorHAnsi" w:eastAsia="Times New Roman" w:hAnsiTheme="majorHAnsi" w:cstheme="majorBidi"/>
          <w:b/>
          <w:bCs/>
          <w:color w:val="auto"/>
          <w:sz w:val="28"/>
          <w:szCs w:val="28"/>
        </w:rPr>
      </w:pPr>
      <w:r>
        <w:rPr>
          <w:rFonts w:cs="Myriad Pro"/>
          <w:noProof/>
          <w:color w:val="211D1E"/>
        </w:rPr>
        <w:lastRenderedPageBreak/>
        <w:drawing>
          <wp:inline distT="0" distB="0" distL="0" distR="0" wp14:anchorId="2231AC36" wp14:editId="19800F69">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69F3DEFF" w14:textId="77777777" w:rsidR="006234FC"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BE3B68">
        <w:rPr>
          <w:rStyle w:val="A10"/>
          <w:sz w:val="20"/>
          <w:szCs w:val="20"/>
        </w:rPr>
        <w:t>2018</w:t>
      </w:r>
      <w:r w:rsidR="00731BC3">
        <w:rPr>
          <w:rStyle w:val="A10"/>
          <w:sz w:val="20"/>
          <w:szCs w:val="20"/>
        </w:rPr>
        <w:fldChar w:fldCharType="end"/>
      </w:r>
      <w:r w:rsidR="007C56A1" w:rsidRPr="0006264A">
        <w:rPr>
          <w:sz w:val="20"/>
          <w:szCs w:val="20"/>
        </w:rPr>
        <w:t xml:space="preserve"> </w:t>
      </w:r>
      <w:r w:rsidR="006234FC">
        <w:rPr>
          <w:sz w:val="20"/>
          <w:szCs w:val="20"/>
        </w:rPr>
        <w:t xml:space="preserve">- </w:t>
      </w:r>
      <w:r w:rsidR="006234FC">
        <w:rPr>
          <w:rStyle w:val="A10"/>
          <w:sz w:val="20"/>
          <w:szCs w:val="20"/>
        </w:rPr>
        <w:t>ISSN: 2209-6051 (Online)</w:t>
      </w:r>
    </w:p>
    <w:p w14:paraId="4BBED5B8" w14:textId="77777777" w:rsidR="007C56A1" w:rsidRPr="00786329" w:rsidRDefault="006234FC" w:rsidP="007C56A1">
      <w:pPr>
        <w:rPr>
          <w:sz w:val="20"/>
          <w:szCs w:val="20"/>
        </w:rPr>
      </w:pPr>
      <w:r w:rsidRPr="0006264A">
        <w:rPr>
          <w:rStyle w:val="A10"/>
          <w:sz w:val="20"/>
          <w:szCs w:val="20"/>
        </w:rPr>
        <w:t xml:space="preserve"> </w:t>
      </w:r>
      <w:r w:rsidR="007C56A1"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007C56A1" w:rsidRPr="0006264A">
        <w:rPr>
          <w:rStyle w:val="A10"/>
          <w:sz w:val="20"/>
          <w:szCs w:val="20"/>
        </w:rPr>
        <w:softHyphen/>
        <w:t xml:space="preserve">ted by the Copyright Act 1968 or allowed by this copyright notice, all other rights are </w:t>
      </w:r>
      <w:proofErr w:type="gramStart"/>
      <w:r w:rsidR="007C56A1" w:rsidRPr="0006264A">
        <w:rPr>
          <w:rStyle w:val="A10"/>
          <w:sz w:val="20"/>
          <w:szCs w:val="20"/>
        </w:rPr>
        <w:t>reserved</w:t>
      </w:r>
      <w:proofErr w:type="gramEnd"/>
      <w:r w:rsidR="007C56A1"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007C56A1" w:rsidRPr="00786329">
        <w:rPr>
          <w:rStyle w:val="A10"/>
          <w:sz w:val="20"/>
          <w:szCs w:val="20"/>
        </w:rPr>
        <w:t xml:space="preserve">to </w:t>
      </w:r>
      <w:r w:rsidR="007C56A1" w:rsidRPr="00786329">
        <w:rPr>
          <w:rStyle w:val="A11"/>
          <w:sz w:val="20"/>
          <w:szCs w:val="20"/>
          <w:u w:val="none"/>
        </w:rPr>
        <w:t>copyright@health.gov.au</w:t>
      </w:r>
    </w:p>
    <w:p w14:paraId="7319E20F"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43026112" w14:textId="77777777" w:rsidR="007C56A1" w:rsidRPr="0006264A" w:rsidRDefault="007C56A1" w:rsidP="007C56A1">
      <w:pPr>
        <w:rPr>
          <w:sz w:val="20"/>
          <w:szCs w:val="20"/>
        </w:rPr>
      </w:pPr>
      <w:r w:rsidRPr="0006264A">
        <w:rPr>
          <w:rStyle w:val="A10"/>
          <w:sz w:val="20"/>
          <w:szCs w:val="20"/>
        </w:rPr>
        <w:t>Communicable Diseases Intelligence contributes to the work of the Communicable Diseases Network Australia</w:t>
      </w:r>
      <w:r w:rsidR="00F25D78">
        <w:rPr>
          <w:rStyle w:val="A10"/>
          <w:sz w:val="20"/>
          <w:szCs w:val="20"/>
        </w:rPr>
        <w:t>.</w:t>
      </w:r>
      <w:r w:rsidRPr="0006264A">
        <w:rPr>
          <w:rStyle w:val="A10"/>
          <w:sz w:val="20"/>
          <w:szCs w:val="20"/>
        </w:rPr>
        <w:t xml:space="preserve"> </w:t>
      </w:r>
    </w:p>
    <w:p w14:paraId="4D52C0B0"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7AB6EEE9" w14:textId="77777777" w:rsidR="007C56A1" w:rsidRPr="00786329" w:rsidRDefault="007C56A1" w:rsidP="007C56A1">
      <w:pPr>
        <w:pBdr>
          <w:bottom w:val="single" w:sz="6" w:space="1" w:color="auto"/>
        </w:pBdr>
        <w:rPr>
          <w:rStyle w:val="A11"/>
          <w:sz w:val="20"/>
          <w:szCs w:val="20"/>
          <w:u w:val="none"/>
        </w:rPr>
      </w:pPr>
    </w:p>
    <w:p w14:paraId="56F84BB7"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r w:rsidR="00F25D78">
        <w:rPr>
          <w:sz w:val="20"/>
          <w:szCs w:val="20"/>
        </w:rPr>
        <w:t>.</w:t>
      </w:r>
    </w:p>
    <w:p w14:paraId="0E7D9B0D"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03B206F6" w14:textId="77777777" w:rsidR="007C56A1" w:rsidRPr="0006264A" w:rsidRDefault="007C56A1" w:rsidP="007C56A1">
      <w:pPr>
        <w:pBdr>
          <w:bottom w:val="single" w:sz="6" w:space="1" w:color="auto"/>
        </w:pBdr>
        <w:rPr>
          <w:sz w:val="20"/>
          <w:szCs w:val="20"/>
        </w:rPr>
      </w:pPr>
    </w:p>
    <w:p w14:paraId="5FC1B88C"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25D1C102"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7AE61DA6"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D5285D">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DDEC" w14:textId="77777777" w:rsidR="00D21085" w:rsidRDefault="00D21085" w:rsidP="00E54DBA">
      <w:r>
        <w:separator/>
      </w:r>
    </w:p>
    <w:p w14:paraId="1E859A80" w14:textId="77777777" w:rsidR="00D21085" w:rsidRDefault="00D21085"/>
    <w:p w14:paraId="0684EC68" w14:textId="77777777" w:rsidR="00D21085" w:rsidRDefault="00D21085" w:rsidP="008714B0"/>
  </w:endnote>
  <w:endnote w:type="continuationSeparator" w:id="0">
    <w:p w14:paraId="7BCF6684" w14:textId="77777777" w:rsidR="00D21085" w:rsidRDefault="00D21085" w:rsidP="00E54DBA">
      <w:r>
        <w:continuationSeparator/>
      </w:r>
    </w:p>
    <w:p w14:paraId="5E9CD195" w14:textId="77777777" w:rsidR="00D21085" w:rsidRDefault="00D21085"/>
    <w:p w14:paraId="4121363E" w14:textId="77777777" w:rsidR="00D21085" w:rsidRDefault="00D2108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6C43" w14:textId="77777777" w:rsidR="00637B0C" w:rsidRDefault="00637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557C" w14:textId="6D68C84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E5778">
      <w:rPr>
        <w:noProof/>
        <w:sz w:val="18"/>
      </w:rPr>
      <w:t>17</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E5778">
      <w:rPr>
        <w:noProof/>
        <w:sz w:val="18"/>
      </w:rPr>
      <w:t>17</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637B0C" w:rsidRPr="00637B0C">
      <w:rPr>
        <w:sz w:val="18"/>
      </w:rPr>
      <w:t>Commun Dis Intell (2018) 2018;42 https://doi.org/10.33321/cdi.2018.42.</w:t>
    </w:r>
    <w:r w:rsidR="00637B0C">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62B1" w14:textId="19966754" w:rsidR="00BB5378" w:rsidRPr="00BB5378" w:rsidRDefault="00BB5378">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E577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E5778">
      <w:rPr>
        <w:noProof/>
        <w:sz w:val="18"/>
      </w:rPr>
      <w:t>1</w:t>
    </w:r>
    <w:r w:rsidR="00B132DB">
      <w:rPr>
        <w:noProof/>
        <w:sz w:val="18"/>
      </w:rPr>
      <w:fldChar w:fldCharType="end"/>
    </w:r>
    <w:r>
      <w:rPr>
        <w:noProof/>
        <w:sz w:val="18"/>
      </w:rPr>
      <w:t xml:space="preserve"> </w:t>
    </w:r>
    <w:r>
      <w:rPr>
        <w:noProof/>
        <w:sz w:val="18"/>
      </w:rPr>
      <w:ptab w:relativeTo="margin" w:alignment="center" w:leader="none"/>
    </w:r>
    <w:r w:rsidR="00637B0C" w:rsidRPr="00637B0C">
      <w:rPr>
        <w:sz w:val="18"/>
      </w:rPr>
      <w:t>Commun Dis Intell (2018) 2018;42 https://doi.org/10.33321/cdi.2018.42.</w:t>
    </w:r>
    <w:r w:rsidR="00637B0C">
      <w:rPr>
        <w:sz w:val="18"/>
      </w:rPr>
      <w:t>5</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64EA" w14:textId="77777777" w:rsidR="00D21085" w:rsidRDefault="00D21085" w:rsidP="00E54DBA">
      <w:r>
        <w:separator/>
      </w:r>
    </w:p>
    <w:p w14:paraId="653441EB" w14:textId="77777777" w:rsidR="00D21085" w:rsidRDefault="00D21085"/>
    <w:p w14:paraId="20D1B734" w14:textId="77777777" w:rsidR="00D21085" w:rsidRDefault="00D21085" w:rsidP="008714B0"/>
  </w:footnote>
  <w:footnote w:type="continuationSeparator" w:id="0">
    <w:p w14:paraId="215FD627" w14:textId="77777777" w:rsidR="00D21085" w:rsidRDefault="00D21085" w:rsidP="00E54DBA">
      <w:r>
        <w:continuationSeparator/>
      </w:r>
    </w:p>
    <w:p w14:paraId="74A76AFC" w14:textId="77777777" w:rsidR="00D21085" w:rsidRDefault="00D21085"/>
    <w:p w14:paraId="55C03710" w14:textId="77777777" w:rsidR="00D21085" w:rsidRDefault="00D21085"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D46E" w14:textId="77777777" w:rsidR="00637B0C" w:rsidRDefault="00637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61CC" w14:textId="77777777" w:rsidR="00257484" w:rsidRDefault="00637B0C"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B7B86">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FE62" w14:textId="77777777" w:rsidR="00637B0C" w:rsidRDefault="00637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587"/>
    <w:multiLevelType w:val="hybridMultilevel"/>
    <w:tmpl w:val="C680D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D4EE7"/>
    <w:multiLevelType w:val="multilevel"/>
    <w:tmpl w:val="50F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37BE"/>
    <w:multiLevelType w:val="multilevel"/>
    <w:tmpl w:val="786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E748A"/>
    <w:multiLevelType w:val="multilevel"/>
    <w:tmpl w:val="426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B7F14"/>
    <w:multiLevelType w:val="multilevel"/>
    <w:tmpl w:val="E3C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B0315"/>
    <w:multiLevelType w:val="multilevel"/>
    <w:tmpl w:val="DBE6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37907"/>
    <w:multiLevelType w:val="multilevel"/>
    <w:tmpl w:val="A746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D2FC6"/>
    <w:multiLevelType w:val="multilevel"/>
    <w:tmpl w:val="0FD2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46145"/>
    <w:multiLevelType w:val="multilevel"/>
    <w:tmpl w:val="DF2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136B5"/>
    <w:multiLevelType w:val="hybridMultilevel"/>
    <w:tmpl w:val="1B54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207806"/>
    <w:multiLevelType w:val="hybridMultilevel"/>
    <w:tmpl w:val="83A6F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E3DAF"/>
    <w:multiLevelType w:val="hybridMultilevel"/>
    <w:tmpl w:val="23B65F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317AFB"/>
    <w:multiLevelType w:val="multilevel"/>
    <w:tmpl w:val="7856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4037E"/>
    <w:multiLevelType w:val="hybridMultilevel"/>
    <w:tmpl w:val="2CECD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C739F2"/>
    <w:multiLevelType w:val="multilevel"/>
    <w:tmpl w:val="4F9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04255"/>
    <w:multiLevelType w:val="multilevel"/>
    <w:tmpl w:val="CDCA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135016">
    <w:abstractNumId w:val="7"/>
  </w:num>
  <w:num w:numId="2" w16cid:durableId="1236234782">
    <w:abstractNumId w:val="12"/>
  </w:num>
  <w:num w:numId="3" w16cid:durableId="966281070">
    <w:abstractNumId w:val="13"/>
  </w:num>
  <w:num w:numId="4" w16cid:durableId="1937441547">
    <w:abstractNumId w:val="4"/>
  </w:num>
  <w:num w:numId="5" w16cid:durableId="330790695">
    <w:abstractNumId w:val="19"/>
  </w:num>
  <w:num w:numId="6" w16cid:durableId="1225601993">
    <w:abstractNumId w:val="6"/>
  </w:num>
  <w:num w:numId="7" w16cid:durableId="1256550149">
    <w:abstractNumId w:val="2"/>
  </w:num>
  <w:num w:numId="8" w16cid:durableId="1169826011">
    <w:abstractNumId w:val="3"/>
  </w:num>
  <w:num w:numId="9" w16cid:durableId="1713964227">
    <w:abstractNumId w:val="9"/>
  </w:num>
  <w:num w:numId="10" w16cid:durableId="602229368">
    <w:abstractNumId w:val="18"/>
  </w:num>
  <w:num w:numId="11" w16cid:durableId="1240675846">
    <w:abstractNumId w:val="20"/>
  </w:num>
  <w:num w:numId="12" w16cid:durableId="1023289459">
    <w:abstractNumId w:val="1"/>
  </w:num>
  <w:num w:numId="13" w16cid:durableId="1362394943">
    <w:abstractNumId w:val="5"/>
  </w:num>
  <w:num w:numId="14" w16cid:durableId="195852335">
    <w:abstractNumId w:val="16"/>
  </w:num>
  <w:num w:numId="15" w16cid:durableId="894467896">
    <w:abstractNumId w:val="10"/>
  </w:num>
  <w:num w:numId="16" w16cid:durableId="538323001">
    <w:abstractNumId w:val="8"/>
  </w:num>
  <w:num w:numId="17" w16cid:durableId="1157040159">
    <w:abstractNumId w:val="14"/>
  </w:num>
  <w:num w:numId="18" w16cid:durableId="1069186244">
    <w:abstractNumId w:val="17"/>
  </w:num>
  <w:num w:numId="19" w16cid:durableId="745494288">
    <w:abstractNumId w:val="0"/>
  </w:num>
  <w:num w:numId="20" w16cid:durableId="973022420">
    <w:abstractNumId w:val="11"/>
  </w:num>
  <w:num w:numId="21" w16cid:durableId="1728842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45057"/>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D21085"/>
    <w:rsid w:val="00000B5B"/>
    <w:rsid w:val="00001611"/>
    <w:rsid w:val="00001E57"/>
    <w:rsid w:val="000104A8"/>
    <w:rsid w:val="00012401"/>
    <w:rsid w:val="0001246E"/>
    <w:rsid w:val="000124B1"/>
    <w:rsid w:val="00016FE6"/>
    <w:rsid w:val="00031064"/>
    <w:rsid w:val="00031E4C"/>
    <w:rsid w:val="00032531"/>
    <w:rsid w:val="000366C1"/>
    <w:rsid w:val="000471BF"/>
    <w:rsid w:val="00052600"/>
    <w:rsid w:val="000526E1"/>
    <w:rsid w:val="0005643C"/>
    <w:rsid w:val="0006264A"/>
    <w:rsid w:val="00065E5A"/>
    <w:rsid w:val="00073D77"/>
    <w:rsid w:val="00081655"/>
    <w:rsid w:val="000864E0"/>
    <w:rsid w:val="00095EB3"/>
    <w:rsid w:val="000969B3"/>
    <w:rsid w:val="000B0B20"/>
    <w:rsid w:val="000B249B"/>
    <w:rsid w:val="000D4B4D"/>
    <w:rsid w:val="000E09AF"/>
    <w:rsid w:val="001130A4"/>
    <w:rsid w:val="00113D58"/>
    <w:rsid w:val="00125276"/>
    <w:rsid w:val="001358A7"/>
    <w:rsid w:val="00155582"/>
    <w:rsid w:val="00161590"/>
    <w:rsid w:val="00171CC0"/>
    <w:rsid w:val="00175494"/>
    <w:rsid w:val="00175629"/>
    <w:rsid w:val="001830EC"/>
    <w:rsid w:val="00183534"/>
    <w:rsid w:val="001A068B"/>
    <w:rsid w:val="001A4A96"/>
    <w:rsid w:val="001A5D05"/>
    <w:rsid w:val="001A796C"/>
    <w:rsid w:val="001B076B"/>
    <w:rsid w:val="001B2614"/>
    <w:rsid w:val="001B37B8"/>
    <w:rsid w:val="001B552F"/>
    <w:rsid w:val="001C0893"/>
    <w:rsid w:val="001C1303"/>
    <w:rsid w:val="001C59FE"/>
    <w:rsid w:val="001C70B2"/>
    <w:rsid w:val="001D6888"/>
    <w:rsid w:val="001F3456"/>
    <w:rsid w:val="002276DC"/>
    <w:rsid w:val="00227E00"/>
    <w:rsid w:val="002307CB"/>
    <w:rsid w:val="00231046"/>
    <w:rsid w:val="00242659"/>
    <w:rsid w:val="002428F7"/>
    <w:rsid w:val="0024315F"/>
    <w:rsid w:val="00252C9A"/>
    <w:rsid w:val="00256309"/>
    <w:rsid w:val="00257484"/>
    <w:rsid w:val="00260636"/>
    <w:rsid w:val="00267CDD"/>
    <w:rsid w:val="00280594"/>
    <w:rsid w:val="00280E5B"/>
    <w:rsid w:val="00281EE3"/>
    <w:rsid w:val="00284E4A"/>
    <w:rsid w:val="002A26A3"/>
    <w:rsid w:val="002A3799"/>
    <w:rsid w:val="002A3BCC"/>
    <w:rsid w:val="002A4516"/>
    <w:rsid w:val="002A569F"/>
    <w:rsid w:val="002A7066"/>
    <w:rsid w:val="002B001E"/>
    <w:rsid w:val="002B09B7"/>
    <w:rsid w:val="002B7253"/>
    <w:rsid w:val="002C203F"/>
    <w:rsid w:val="002C21B0"/>
    <w:rsid w:val="002C737B"/>
    <w:rsid w:val="002E2FB3"/>
    <w:rsid w:val="002F327B"/>
    <w:rsid w:val="00301626"/>
    <w:rsid w:val="00302136"/>
    <w:rsid w:val="00316CCD"/>
    <w:rsid w:val="00324F7E"/>
    <w:rsid w:val="003323BC"/>
    <w:rsid w:val="00346D42"/>
    <w:rsid w:val="00346E11"/>
    <w:rsid w:val="003601C0"/>
    <w:rsid w:val="003635F5"/>
    <w:rsid w:val="00372A88"/>
    <w:rsid w:val="00381A0F"/>
    <w:rsid w:val="00386C31"/>
    <w:rsid w:val="00387584"/>
    <w:rsid w:val="00396E4B"/>
    <w:rsid w:val="003A1B3A"/>
    <w:rsid w:val="003A38CE"/>
    <w:rsid w:val="003A40F5"/>
    <w:rsid w:val="003A7D30"/>
    <w:rsid w:val="003B0402"/>
    <w:rsid w:val="003B0701"/>
    <w:rsid w:val="003B5B8C"/>
    <w:rsid w:val="003E19E1"/>
    <w:rsid w:val="003E74EE"/>
    <w:rsid w:val="003F0552"/>
    <w:rsid w:val="003F3BC2"/>
    <w:rsid w:val="00401ED1"/>
    <w:rsid w:val="004116E3"/>
    <w:rsid w:val="00413EE1"/>
    <w:rsid w:val="004164BB"/>
    <w:rsid w:val="00421ECE"/>
    <w:rsid w:val="0042435E"/>
    <w:rsid w:val="004315F5"/>
    <w:rsid w:val="00433456"/>
    <w:rsid w:val="00433DFA"/>
    <w:rsid w:val="00435594"/>
    <w:rsid w:val="00435D67"/>
    <w:rsid w:val="004429B0"/>
    <w:rsid w:val="00463EBD"/>
    <w:rsid w:val="00464A58"/>
    <w:rsid w:val="00473D2D"/>
    <w:rsid w:val="00474630"/>
    <w:rsid w:val="004826D3"/>
    <w:rsid w:val="00486DAB"/>
    <w:rsid w:val="00487860"/>
    <w:rsid w:val="004A2125"/>
    <w:rsid w:val="004A38F6"/>
    <w:rsid w:val="004B3054"/>
    <w:rsid w:val="004B4EB6"/>
    <w:rsid w:val="004C67C6"/>
    <w:rsid w:val="004E7F1C"/>
    <w:rsid w:val="005021B0"/>
    <w:rsid w:val="00510EAC"/>
    <w:rsid w:val="005202E3"/>
    <w:rsid w:val="00530FEE"/>
    <w:rsid w:val="00533FA2"/>
    <w:rsid w:val="00542A57"/>
    <w:rsid w:val="00554BED"/>
    <w:rsid w:val="00566DDB"/>
    <w:rsid w:val="005732C0"/>
    <w:rsid w:val="0057336D"/>
    <w:rsid w:val="0058540B"/>
    <w:rsid w:val="0058732D"/>
    <w:rsid w:val="00587C87"/>
    <w:rsid w:val="0059022F"/>
    <w:rsid w:val="0059047A"/>
    <w:rsid w:val="00590B80"/>
    <w:rsid w:val="005944C3"/>
    <w:rsid w:val="00596ACC"/>
    <w:rsid w:val="005A4E4F"/>
    <w:rsid w:val="005B3134"/>
    <w:rsid w:val="005B4E61"/>
    <w:rsid w:val="005B595A"/>
    <w:rsid w:val="005B66C2"/>
    <w:rsid w:val="005C6D4F"/>
    <w:rsid w:val="005D2465"/>
    <w:rsid w:val="005E4229"/>
    <w:rsid w:val="005E540E"/>
    <w:rsid w:val="005E55FB"/>
    <w:rsid w:val="005E5778"/>
    <w:rsid w:val="005F16BB"/>
    <w:rsid w:val="005F641F"/>
    <w:rsid w:val="00607115"/>
    <w:rsid w:val="006131C4"/>
    <w:rsid w:val="00620768"/>
    <w:rsid w:val="006234FC"/>
    <w:rsid w:val="0062594B"/>
    <w:rsid w:val="00631406"/>
    <w:rsid w:val="006324FF"/>
    <w:rsid w:val="00633838"/>
    <w:rsid w:val="006351D6"/>
    <w:rsid w:val="00636E0D"/>
    <w:rsid w:val="00636F01"/>
    <w:rsid w:val="00637B0C"/>
    <w:rsid w:val="0064142F"/>
    <w:rsid w:val="00642158"/>
    <w:rsid w:val="00643CB4"/>
    <w:rsid w:val="00643D4D"/>
    <w:rsid w:val="00646F64"/>
    <w:rsid w:val="00650D57"/>
    <w:rsid w:val="00660255"/>
    <w:rsid w:val="00691B75"/>
    <w:rsid w:val="006971F3"/>
    <w:rsid w:val="006B122D"/>
    <w:rsid w:val="006B7B86"/>
    <w:rsid w:val="006C74A3"/>
    <w:rsid w:val="006D1381"/>
    <w:rsid w:val="006D15D0"/>
    <w:rsid w:val="006D31BC"/>
    <w:rsid w:val="006E7943"/>
    <w:rsid w:val="006F24EA"/>
    <w:rsid w:val="006F2B47"/>
    <w:rsid w:val="00704CA9"/>
    <w:rsid w:val="0071048D"/>
    <w:rsid w:val="00710F86"/>
    <w:rsid w:val="007111A8"/>
    <w:rsid w:val="00731BC3"/>
    <w:rsid w:val="00734D00"/>
    <w:rsid w:val="00735C46"/>
    <w:rsid w:val="00741192"/>
    <w:rsid w:val="00743A33"/>
    <w:rsid w:val="00746080"/>
    <w:rsid w:val="0075144A"/>
    <w:rsid w:val="0075484A"/>
    <w:rsid w:val="00783ECB"/>
    <w:rsid w:val="00786329"/>
    <w:rsid w:val="0079250B"/>
    <w:rsid w:val="00792C7D"/>
    <w:rsid w:val="00793804"/>
    <w:rsid w:val="00794A4D"/>
    <w:rsid w:val="00795F7D"/>
    <w:rsid w:val="007A5234"/>
    <w:rsid w:val="007B7854"/>
    <w:rsid w:val="007C56A1"/>
    <w:rsid w:val="007C6454"/>
    <w:rsid w:val="007E01E0"/>
    <w:rsid w:val="007E174E"/>
    <w:rsid w:val="007E1F56"/>
    <w:rsid w:val="007F0B93"/>
    <w:rsid w:val="00811127"/>
    <w:rsid w:val="00811708"/>
    <w:rsid w:val="00816B90"/>
    <w:rsid w:val="00822F5F"/>
    <w:rsid w:val="00824FD3"/>
    <w:rsid w:val="00826589"/>
    <w:rsid w:val="00834BCC"/>
    <w:rsid w:val="0083784D"/>
    <w:rsid w:val="00850A1F"/>
    <w:rsid w:val="00850D54"/>
    <w:rsid w:val="008608E4"/>
    <w:rsid w:val="008714B0"/>
    <w:rsid w:val="00874C16"/>
    <w:rsid w:val="00875820"/>
    <w:rsid w:val="00880726"/>
    <w:rsid w:val="00885B7E"/>
    <w:rsid w:val="008A2E1A"/>
    <w:rsid w:val="008A3544"/>
    <w:rsid w:val="008B48B8"/>
    <w:rsid w:val="008B58F8"/>
    <w:rsid w:val="008C0712"/>
    <w:rsid w:val="008C4520"/>
    <w:rsid w:val="008C5E13"/>
    <w:rsid w:val="008C5F09"/>
    <w:rsid w:val="008D470F"/>
    <w:rsid w:val="008D6848"/>
    <w:rsid w:val="008E1F8F"/>
    <w:rsid w:val="008E4768"/>
    <w:rsid w:val="008E761E"/>
    <w:rsid w:val="008F28B4"/>
    <w:rsid w:val="008F77B3"/>
    <w:rsid w:val="009008F5"/>
    <w:rsid w:val="00904943"/>
    <w:rsid w:val="00904CC1"/>
    <w:rsid w:val="00905805"/>
    <w:rsid w:val="009066AF"/>
    <w:rsid w:val="00912050"/>
    <w:rsid w:val="00912DE9"/>
    <w:rsid w:val="00912E48"/>
    <w:rsid w:val="0092746F"/>
    <w:rsid w:val="00935DC9"/>
    <w:rsid w:val="009446C0"/>
    <w:rsid w:val="00953ADC"/>
    <w:rsid w:val="009601E6"/>
    <w:rsid w:val="0096082E"/>
    <w:rsid w:val="00967D73"/>
    <w:rsid w:val="00972373"/>
    <w:rsid w:val="0098119A"/>
    <w:rsid w:val="00984AAF"/>
    <w:rsid w:val="00991B09"/>
    <w:rsid w:val="00993CB2"/>
    <w:rsid w:val="009A088C"/>
    <w:rsid w:val="009A5166"/>
    <w:rsid w:val="009A5AFD"/>
    <w:rsid w:val="009A76F8"/>
    <w:rsid w:val="009B2B83"/>
    <w:rsid w:val="009C49F8"/>
    <w:rsid w:val="009D450F"/>
    <w:rsid w:val="009D77CC"/>
    <w:rsid w:val="009E2423"/>
    <w:rsid w:val="009E55D7"/>
    <w:rsid w:val="009F4150"/>
    <w:rsid w:val="009F5665"/>
    <w:rsid w:val="009F5AC4"/>
    <w:rsid w:val="009F5DAD"/>
    <w:rsid w:val="00A06A84"/>
    <w:rsid w:val="00A07A8E"/>
    <w:rsid w:val="00A10458"/>
    <w:rsid w:val="00A273C3"/>
    <w:rsid w:val="00A36C65"/>
    <w:rsid w:val="00A41BBE"/>
    <w:rsid w:val="00A46A0A"/>
    <w:rsid w:val="00A553F8"/>
    <w:rsid w:val="00A6708F"/>
    <w:rsid w:val="00A71BF6"/>
    <w:rsid w:val="00A86F9A"/>
    <w:rsid w:val="00AA35E6"/>
    <w:rsid w:val="00AA50B6"/>
    <w:rsid w:val="00AB3472"/>
    <w:rsid w:val="00AD0762"/>
    <w:rsid w:val="00AD39FF"/>
    <w:rsid w:val="00AE4452"/>
    <w:rsid w:val="00AE7C38"/>
    <w:rsid w:val="00B01F99"/>
    <w:rsid w:val="00B02B37"/>
    <w:rsid w:val="00B05276"/>
    <w:rsid w:val="00B10C52"/>
    <w:rsid w:val="00B132DB"/>
    <w:rsid w:val="00B31427"/>
    <w:rsid w:val="00B33861"/>
    <w:rsid w:val="00B33F52"/>
    <w:rsid w:val="00B40DE2"/>
    <w:rsid w:val="00B50210"/>
    <w:rsid w:val="00B52AD9"/>
    <w:rsid w:val="00B53955"/>
    <w:rsid w:val="00B6408A"/>
    <w:rsid w:val="00B714B8"/>
    <w:rsid w:val="00B82C2C"/>
    <w:rsid w:val="00B84AD7"/>
    <w:rsid w:val="00B8720B"/>
    <w:rsid w:val="00B876EF"/>
    <w:rsid w:val="00BA4697"/>
    <w:rsid w:val="00BA5F95"/>
    <w:rsid w:val="00BB2916"/>
    <w:rsid w:val="00BB505F"/>
    <w:rsid w:val="00BB5378"/>
    <w:rsid w:val="00BC0BD3"/>
    <w:rsid w:val="00BC199E"/>
    <w:rsid w:val="00BC6E86"/>
    <w:rsid w:val="00BD0107"/>
    <w:rsid w:val="00BE0C33"/>
    <w:rsid w:val="00BE262C"/>
    <w:rsid w:val="00BE3B68"/>
    <w:rsid w:val="00BE6C3D"/>
    <w:rsid w:val="00C07606"/>
    <w:rsid w:val="00C12542"/>
    <w:rsid w:val="00C30BA9"/>
    <w:rsid w:val="00C3541E"/>
    <w:rsid w:val="00C36A8F"/>
    <w:rsid w:val="00C42FFA"/>
    <w:rsid w:val="00C507D8"/>
    <w:rsid w:val="00C53FB4"/>
    <w:rsid w:val="00C62EAC"/>
    <w:rsid w:val="00C63508"/>
    <w:rsid w:val="00C63F9F"/>
    <w:rsid w:val="00C7723C"/>
    <w:rsid w:val="00C85D3C"/>
    <w:rsid w:val="00CA1AF4"/>
    <w:rsid w:val="00CA6068"/>
    <w:rsid w:val="00CB15E1"/>
    <w:rsid w:val="00CB3D46"/>
    <w:rsid w:val="00CD1A87"/>
    <w:rsid w:val="00CD35F3"/>
    <w:rsid w:val="00CD5C93"/>
    <w:rsid w:val="00CE3AD3"/>
    <w:rsid w:val="00CE6A41"/>
    <w:rsid w:val="00CF320C"/>
    <w:rsid w:val="00CF3A4B"/>
    <w:rsid w:val="00CF435E"/>
    <w:rsid w:val="00D05837"/>
    <w:rsid w:val="00D121C2"/>
    <w:rsid w:val="00D12D8A"/>
    <w:rsid w:val="00D139D7"/>
    <w:rsid w:val="00D13E0C"/>
    <w:rsid w:val="00D21085"/>
    <w:rsid w:val="00D24AEF"/>
    <w:rsid w:val="00D25896"/>
    <w:rsid w:val="00D373A1"/>
    <w:rsid w:val="00D37C0F"/>
    <w:rsid w:val="00D45661"/>
    <w:rsid w:val="00D45943"/>
    <w:rsid w:val="00D47D22"/>
    <w:rsid w:val="00D51865"/>
    <w:rsid w:val="00D51D0C"/>
    <w:rsid w:val="00D520C6"/>
    <w:rsid w:val="00D5285D"/>
    <w:rsid w:val="00D74140"/>
    <w:rsid w:val="00D92BEA"/>
    <w:rsid w:val="00DA2627"/>
    <w:rsid w:val="00DA6E56"/>
    <w:rsid w:val="00DC6705"/>
    <w:rsid w:val="00DD1845"/>
    <w:rsid w:val="00DE38B4"/>
    <w:rsid w:val="00DE5D02"/>
    <w:rsid w:val="00E005A9"/>
    <w:rsid w:val="00E05A88"/>
    <w:rsid w:val="00E1166E"/>
    <w:rsid w:val="00E14D4E"/>
    <w:rsid w:val="00E24DC0"/>
    <w:rsid w:val="00E2519C"/>
    <w:rsid w:val="00E25F2A"/>
    <w:rsid w:val="00E3112A"/>
    <w:rsid w:val="00E41455"/>
    <w:rsid w:val="00E42AD2"/>
    <w:rsid w:val="00E504F5"/>
    <w:rsid w:val="00E50856"/>
    <w:rsid w:val="00E54DBA"/>
    <w:rsid w:val="00E63D7C"/>
    <w:rsid w:val="00E640D5"/>
    <w:rsid w:val="00E67691"/>
    <w:rsid w:val="00E704D8"/>
    <w:rsid w:val="00E71F67"/>
    <w:rsid w:val="00E92237"/>
    <w:rsid w:val="00E951EF"/>
    <w:rsid w:val="00EA3D54"/>
    <w:rsid w:val="00EA56D9"/>
    <w:rsid w:val="00EA5CE3"/>
    <w:rsid w:val="00EA6123"/>
    <w:rsid w:val="00EB51C1"/>
    <w:rsid w:val="00EB5E0B"/>
    <w:rsid w:val="00EC2171"/>
    <w:rsid w:val="00ED3180"/>
    <w:rsid w:val="00ED442D"/>
    <w:rsid w:val="00ED70C2"/>
    <w:rsid w:val="00EE18FF"/>
    <w:rsid w:val="00EE1EC7"/>
    <w:rsid w:val="00EE489F"/>
    <w:rsid w:val="00F0647F"/>
    <w:rsid w:val="00F10CE3"/>
    <w:rsid w:val="00F14F3B"/>
    <w:rsid w:val="00F16362"/>
    <w:rsid w:val="00F22913"/>
    <w:rsid w:val="00F25D78"/>
    <w:rsid w:val="00F33CF2"/>
    <w:rsid w:val="00F36B6D"/>
    <w:rsid w:val="00F428EE"/>
    <w:rsid w:val="00F43FA3"/>
    <w:rsid w:val="00F533EF"/>
    <w:rsid w:val="00F70046"/>
    <w:rsid w:val="00F748C2"/>
    <w:rsid w:val="00F76C5C"/>
    <w:rsid w:val="00F81EF3"/>
    <w:rsid w:val="00F84496"/>
    <w:rsid w:val="00F85DCB"/>
    <w:rsid w:val="00F86F9C"/>
    <w:rsid w:val="00F8788E"/>
    <w:rsid w:val="00FA03F9"/>
    <w:rsid w:val="00FB32C8"/>
    <w:rsid w:val="00FC002E"/>
    <w:rsid w:val="00FC4C23"/>
    <w:rsid w:val="00FC642E"/>
    <w:rsid w:val="00FE2AE4"/>
    <w:rsid w:val="00FE689F"/>
    <w:rsid w:val="00FE6DF0"/>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20A9E43"/>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996">
      <w:bodyDiv w:val="1"/>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health.gov.au/internet/main/publishing.nsf/Content/cda-surveil-surv_sys.ht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48DFDA-CF7D-479F-A5EC-597A3E1B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5246</Words>
  <Characters>29904</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Evaluation of Australia’s Enhanced Invasive Pneumococcal Disease (IPD) Surveillance Program</vt:lpstr>
      <vt:lpstr>Abstract</vt:lpstr>
      <vt:lpstr>    Introduction</vt:lpstr>
      <vt:lpstr>    Methods</vt:lpstr>
      <vt:lpstr>    Results</vt:lpstr>
      <vt:lpstr>Program Operation</vt:lpstr>
      <vt:lpstr>    Usefulness</vt:lpstr>
      <vt:lpstr>    Simplicity</vt:lpstr>
      <vt:lpstr>    Data completeness and quality</vt:lpstr>
      <vt:lpstr>    Flexibility</vt:lpstr>
      <vt:lpstr>    Acceptability</vt:lpstr>
      <vt:lpstr>    Sensitivity</vt:lpstr>
      <vt:lpstr>    Positive Predictive Value</vt:lpstr>
      <vt:lpstr>    Representativeness</vt:lpstr>
      <vt:lpstr>    Timeliness</vt:lpstr>
      <vt:lpstr>    Stability</vt:lpstr>
      <vt:lpstr>Discussion</vt:lpstr>
      <vt:lpstr>Acknowledgements</vt:lpstr>
      <vt:lpstr>Author details and affiliations</vt:lpstr>
      <vt:lpstr>References</vt:lpstr>
    </vt:vector>
  </TitlesOfParts>
  <Company>Australian Government, Department of Health</Company>
  <LinksUpToDate>false</LinksUpToDate>
  <CharactersWithSpaces>35080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Australia’s Enhanced Invasive Pneumococcal Disease (IPD) Surveillance Program</dc:title>
  <dc:subject>In this original article we present the findings of the first evaluation of Australia’s Enhanced Invasive Pneumococcal Disease (IPD) Surveillance Program’s usefulness and performance against a number of attributes.  We have identified ways in which surveillance may be improved, and provided recommendations to the Enhanced Invasive Pneumococcal Disease Surveillance Working Group.</dc:subject>
  <dc:creator>Alexandra M Marmor, David Harley</dc:creator>
  <cp:keywords>Invasive Pneumococcal Disease,evaluation, disease surveillance</cp:keywords>
  <cp:revision>2</cp:revision>
  <cp:lastPrinted>2018-06-19T02:19:00Z</cp:lastPrinted>
  <dcterms:created xsi:type="dcterms:W3CDTF">2024-08-27T01:59:00Z</dcterms:created>
  <dcterms:modified xsi:type="dcterms:W3CDTF">2024-08-27T01:59:00Z</dcterms:modified>
  <cp:category>Original Article</cp:category>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