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8D1CD" w14:textId="77777777" w:rsidR="009E3A88" w:rsidRPr="006E0EB1" w:rsidRDefault="009E3A88" w:rsidP="00530646">
      <w:pPr>
        <w:pStyle w:val="Title"/>
        <w:rPr>
          <w:rFonts w:eastAsia="Times New Roman"/>
          <w:sz w:val="56"/>
        </w:rPr>
      </w:pPr>
      <w:r w:rsidRPr="006E0EB1">
        <w:rPr>
          <w:rFonts w:eastAsia="Times New Roman"/>
          <w:sz w:val="56"/>
        </w:rPr>
        <w:t>Australian vaccine preventable disease epidemiological review series: varicella-zoster virus infections, 1998–2015</w:t>
      </w:r>
    </w:p>
    <w:p w14:paraId="53657220" w14:textId="77777777" w:rsidR="009E3A88" w:rsidRDefault="009E3A88" w:rsidP="00530646">
      <w:r>
        <w:t xml:space="preserve">Meru Sheel, Frank </w:t>
      </w:r>
      <w:proofErr w:type="spellStart"/>
      <w:r>
        <w:t>Beard</w:t>
      </w:r>
      <w:r>
        <w:rPr>
          <w:vertAlign w:val="superscript"/>
        </w:rPr>
        <w:t>I</w:t>
      </w:r>
      <w:proofErr w:type="spellEnd"/>
      <w:r>
        <w:t xml:space="preserve">, Helen </w:t>
      </w:r>
      <w:proofErr w:type="spellStart"/>
      <w:r>
        <w:t>Quinn</w:t>
      </w:r>
      <w:r>
        <w:rPr>
          <w:vertAlign w:val="superscript"/>
        </w:rPr>
        <w:t>II</w:t>
      </w:r>
      <w:proofErr w:type="spellEnd"/>
      <w:r>
        <w:t>, Aditi Dey, Martyn Kirk, Ann Koehler Peter Markey, Peter McIntyre, Kristine</w:t>
      </w:r>
      <w:r w:rsidR="00E528EC">
        <w:t> </w:t>
      </w:r>
      <w:r>
        <w:t>Macartney</w:t>
      </w:r>
    </w:p>
    <w:p w14:paraId="75D8087E" w14:textId="77777777" w:rsidR="009E3A88" w:rsidRPr="00530646" w:rsidRDefault="009E3A88" w:rsidP="00530646">
      <w:pPr>
        <w:pStyle w:val="Heading1"/>
      </w:pPr>
      <w:r w:rsidRPr="00530646">
        <w:t>Abstract</w:t>
      </w:r>
    </w:p>
    <w:p w14:paraId="7BCAC5ED" w14:textId="77777777" w:rsidR="009E3A88" w:rsidRPr="00530646" w:rsidRDefault="009E3A88" w:rsidP="00107D24">
      <w:pPr>
        <w:pStyle w:val="Heading2"/>
        <w:pBdr>
          <w:top w:val="single" w:sz="2" w:space="12" w:color="auto"/>
          <w:left w:val="single" w:sz="2" w:space="12" w:color="auto"/>
          <w:bottom w:val="single" w:sz="2" w:space="12" w:color="auto"/>
          <w:right w:val="single" w:sz="2" w:space="12" w:color="auto"/>
        </w:pBdr>
      </w:pPr>
      <w:r w:rsidRPr="00530646">
        <w:t>Introduction</w:t>
      </w:r>
    </w:p>
    <w:p w14:paraId="2D18148D" w14:textId="77777777" w:rsidR="009E3A88" w:rsidRDefault="009E3A88" w:rsidP="00107D24">
      <w:pPr>
        <w:pBdr>
          <w:top w:val="single" w:sz="2" w:space="12" w:color="auto"/>
          <w:left w:val="single" w:sz="2" w:space="12" w:color="auto"/>
          <w:bottom w:val="single" w:sz="2" w:space="12" w:color="auto"/>
          <w:right w:val="single" w:sz="2" w:space="12" w:color="auto"/>
        </w:pBdr>
      </w:pPr>
      <w:r>
        <w:t>In 2005, the National Immunisation Program implemented a varicella vaccine for children aged 18 months, and in 2016, a herpes zoster (HZ) vaccine for adults aged 70-79 years. This epidemiological review analyses national trends in varicella and HZ for the years 1998-2015 to examine the impact of a funded varicella vaccine and provide a baseline for monitoring the impact of a funded HZ vaccine.</w:t>
      </w:r>
    </w:p>
    <w:p w14:paraId="0FD93E04" w14:textId="77777777" w:rsidR="009E3A88" w:rsidRPr="00530646" w:rsidRDefault="009E3A88" w:rsidP="00107D24">
      <w:pPr>
        <w:pStyle w:val="Heading2"/>
        <w:pBdr>
          <w:top w:val="single" w:sz="2" w:space="12" w:color="auto"/>
          <w:left w:val="single" w:sz="2" w:space="12" w:color="auto"/>
          <w:bottom w:val="single" w:sz="2" w:space="12" w:color="auto"/>
          <w:right w:val="single" w:sz="2" w:space="12" w:color="auto"/>
        </w:pBdr>
      </w:pPr>
      <w:r w:rsidRPr="00530646">
        <w:t>Methods</w:t>
      </w:r>
    </w:p>
    <w:p w14:paraId="1C2CDC4C" w14:textId="77777777" w:rsidR="009E3A88" w:rsidRDefault="009E3A88" w:rsidP="00107D24">
      <w:pPr>
        <w:pBdr>
          <w:top w:val="single" w:sz="2" w:space="12" w:color="auto"/>
          <w:left w:val="single" w:sz="2" w:space="12" w:color="auto"/>
          <w:bottom w:val="single" w:sz="2" w:space="12" w:color="auto"/>
          <w:right w:val="single" w:sz="2" w:space="12" w:color="auto"/>
        </w:pBdr>
      </w:pPr>
      <w:r>
        <w:t>Varicella and HZ notifications (2002-2015), hospitalisations (1999-2013) and deaths (1998-2013) were sourced. We stratified analyses by age, sex and Indigenous status, and estimated rates and incidence rate ratios.</w:t>
      </w:r>
    </w:p>
    <w:p w14:paraId="000C15F9" w14:textId="77777777" w:rsidR="009E3A88" w:rsidRPr="00530646" w:rsidRDefault="009E3A88" w:rsidP="00107D24">
      <w:pPr>
        <w:pStyle w:val="Heading2"/>
        <w:pBdr>
          <w:top w:val="single" w:sz="2" w:space="12" w:color="auto"/>
          <w:left w:val="single" w:sz="2" w:space="12" w:color="auto"/>
          <w:bottom w:val="single" w:sz="2" w:space="12" w:color="auto"/>
          <w:right w:val="single" w:sz="2" w:space="12" w:color="auto"/>
        </w:pBdr>
      </w:pPr>
      <w:r w:rsidRPr="00530646">
        <w:t>Results</w:t>
      </w:r>
    </w:p>
    <w:p w14:paraId="6AB39412" w14:textId="77777777" w:rsidR="009E3A88" w:rsidRDefault="009E3A88" w:rsidP="00107D24">
      <w:pPr>
        <w:pBdr>
          <w:top w:val="single" w:sz="2" w:space="12" w:color="auto"/>
          <w:left w:val="single" w:sz="2" w:space="12" w:color="auto"/>
          <w:bottom w:val="single" w:sz="2" w:space="12" w:color="auto"/>
          <w:right w:val="single" w:sz="2" w:space="12" w:color="auto"/>
        </w:pBdr>
      </w:pPr>
      <w:r>
        <w:t xml:space="preserve">Funded varicella vaccine led to a rapid decline in varicella notifications, </w:t>
      </w:r>
      <w:proofErr w:type="gramStart"/>
      <w:r>
        <w:t>hospitalisations</w:t>
      </w:r>
      <w:proofErr w:type="gramEnd"/>
      <w:r>
        <w:t xml:space="preserve"> and deaths. During the post-varicella vaccine period, hospitalisations declined in all age groups &lt;40 years, with greatest reduction of 84% in children aged 18-59 months. Annual HZ hospitalisation rate was 10.8 per 100,000. HZ hospitalisation rates increased with age and were highest in persons aged ≥75 years (87.6 per 100,000). Post-herpetic neuralgia (PHN) was diagnosed in 32.5% HZ hospitalisations with highest hospitalisation rate in persons aged ≥75 years (32.1 per 100,000). Varicella and HZ hospitalisation rates were significantly higher among Indigenous Australians. Twenty one deaths were coded as due to varicella and 340 deaths were coded as due to HZ in persons aged &lt;40 years and ≥40 years, respectively.</w:t>
      </w:r>
    </w:p>
    <w:p w14:paraId="0644739A" w14:textId="77777777" w:rsidR="009E3A88" w:rsidRPr="00530646" w:rsidRDefault="009E3A88" w:rsidP="00107D24">
      <w:pPr>
        <w:pStyle w:val="Heading2"/>
        <w:pBdr>
          <w:top w:val="single" w:sz="2" w:space="12" w:color="auto"/>
          <w:left w:val="single" w:sz="2" w:space="12" w:color="auto"/>
          <w:bottom w:val="single" w:sz="2" w:space="12" w:color="auto"/>
          <w:right w:val="single" w:sz="2" w:space="12" w:color="auto"/>
        </w:pBdr>
      </w:pPr>
      <w:r w:rsidRPr="00530646">
        <w:t>Conclusions</w:t>
      </w:r>
    </w:p>
    <w:p w14:paraId="0B137BC4" w14:textId="77777777" w:rsidR="009E3A88" w:rsidRDefault="009E3A88" w:rsidP="00107D24">
      <w:pPr>
        <w:pBdr>
          <w:top w:val="single" w:sz="2" w:space="12" w:color="auto"/>
          <w:left w:val="single" w:sz="2" w:space="12" w:color="auto"/>
          <w:bottom w:val="single" w:sz="2" w:space="12" w:color="auto"/>
          <w:right w:val="single" w:sz="2" w:space="12" w:color="auto"/>
        </w:pBdr>
      </w:pPr>
      <w:r>
        <w:t>The national varicella immunisation program substantially reduced varicella associated morbidity and mortality. Burden of HZ and PHN in Australia is substantial. Following the introduction of a funded HZ vaccine, timely and high quality surveillance will be crucial to assess the impact of the national HZ immunisation program.</w:t>
      </w:r>
    </w:p>
    <w:p w14:paraId="057FD71D" w14:textId="77777777" w:rsidR="009E3A88" w:rsidRDefault="009E3A88" w:rsidP="00107D24">
      <w:pPr>
        <w:pBdr>
          <w:top w:val="single" w:sz="2" w:space="12" w:color="auto"/>
          <w:left w:val="single" w:sz="2" w:space="12" w:color="auto"/>
          <w:bottom w:val="single" w:sz="2" w:space="12" w:color="auto"/>
          <w:right w:val="single" w:sz="2" w:space="12" w:color="auto"/>
        </w:pBdr>
      </w:pPr>
      <w:r>
        <w:t>Keywords: varicella zoster virus, varicella, herpes zoster, chickenpox, shingles, epidemiology, disease surveillance, immunisation, vaccine preventable disease</w:t>
      </w:r>
    </w:p>
    <w:p w14:paraId="146C1CE6" w14:textId="77777777" w:rsidR="008018F9" w:rsidRDefault="008018F9">
      <w:pPr>
        <w:rPr>
          <w:rFonts w:asciiTheme="majorHAnsi" w:eastAsiaTheme="majorEastAsia" w:hAnsiTheme="majorHAnsi" w:cstheme="majorBidi"/>
          <w:b/>
          <w:bCs/>
          <w:sz w:val="32"/>
          <w:szCs w:val="28"/>
        </w:rPr>
      </w:pPr>
      <w:r>
        <w:br w:type="page"/>
      </w:r>
    </w:p>
    <w:p w14:paraId="129D6139" w14:textId="77777777" w:rsidR="009E3A88" w:rsidRPr="00530646" w:rsidRDefault="009E3A88" w:rsidP="00530646">
      <w:pPr>
        <w:pStyle w:val="Heading1"/>
      </w:pPr>
      <w:r w:rsidRPr="00530646">
        <w:lastRenderedPageBreak/>
        <w:t>Introduction</w:t>
      </w:r>
    </w:p>
    <w:p w14:paraId="3AA78DFE" w14:textId="77777777" w:rsidR="009E3A88" w:rsidRDefault="009E3A88" w:rsidP="00530646">
      <w:r>
        <w:t>Varicella-zoster virus (VZV) is a herpes virus and is the aetiological agent for varicella (chickenpox) and herpes zoster (shingles).</w:t>
      </w:r>
      <w:r>
        <w:rPr>
          <w:vertAlign w:val="superscript"/>
        </w:rPr>
        <w:t>1</w:t>
      </w:r>
      <w:r>
        <w:t xml:space="preserve"> Varicella is an acute and self-limiting disease with an average incubation period of 14-16 days (range from 10 to 21 days). The disease is highly contagious with a secondary attack rate of 90% in susceptible contacts of persons with varicella.</w:t>
      </w:r>
      <w:r>
        <w:rPr>
          <w:vertAlign w:val="superscript"/>
        </w:rPr>
        <w:t>1,2</w:t>
      </w:r>
      <w:r>
        <w:t xml:space="preserve"> Varicella typically presents as a vesicular rash accompanied by fever and malaise but can occasionally be asymptomatic or have atypical presentations. Complications include secondary skin infections, pneumonia, </w:t>
      </w:r>
      <w:proofErr w:type="gramStart"/>
      <w:r>
        <w:t>meningitis</w:t>
      </w:r>
      <w:proofErr w:type="gramEnd"/>
      <w:r>
        <w:t xml:space="preserve"> and encephalitis. Primary infection with VZV usually provides long lasting immunity.</w:t>
      </w:r>
      <w:r>
        <w:rPr>
          <w:vertAlign w:val="superscript"/>
        </w:rPr>
        <w:t>2,3</w:t>
      </w:r>
      <w:r>
        <w:t xml:space="preserve"> Further episodes of clinical disease are not commonly reported but can occur in immunocompetent individuals.</w:t>
      </w:r>
      <w:r>
        <w:rPr>
          <w:vertAlign w:val="superscript"/>
        </w:rPr>
        <w:t>4,</w:t>
      </w:r>
      <w:proofErr w:type="gramStart"/>
      <w:r>
        <w:rPr>
          <w:vertAlign w:val="superscript"/>
        </w:rPr>
        <w:t>5</w:t>
      </w:r>
      <w:proofErr w:type="gramEnd"/>
    </w:p>
    <w:p w14:paraId="48FF0B49" w14:textId="77777777" w:rsidR="009E3A88" w:rsidRDefault="009E3A88" w:rsidP="00530646">
      <w:r>
        <w:t xml:space="preserve">VZV remains dormant for years in the dorsal root ganglia adjacent to the spinal cord: reactivation of the latent virus can lead to herpes zoster (HZ). Characteristics of HZ include a vesicular rash with a unilateral dermatomal distribution which is usually accompanied with acute pain. Post-herpetic neuralgia (PHN) is the most common complication of </w:t>
      </w:r>
      <w:proofErr w:type="gramStart"/>
      <w:r>
        <w:t>HZ, and</w:t>
      </w:r>
      <w:proofErr w:type="gramEnd"/>
      <w:r>
        <w:t xml:space="preserve"> is defined as pain persisting for 90 days or more from the onset of the rash. PHN is often debilitating and refractory to treatment.</w:t>
      </w:r>
      <w:r>
        <w:rPr>
          <w:vertAlign w:val="superscript"/>
        </w:rPr>
        <w:t>6-</w:t>
      </w:r>
      <w:proofErr w:type="gramStart"/>
      <w:r>
        <w:rPr>
          <w:vertAlign w:val="superscript"/>
        </w:rPr>
        <w:t>8</w:t>
      </w:r>
      <w:proofErr w:type="gramEnd"/>
    </w:p>
    <w:p w14:paraId="7B60CA54" w14:textId="77777777" w:rsidR="009E3A88" w:rsidRDefault="009E3A88" w:rsidP="00530646">
      <w:r>
        <w:t>In Australia, varicella vaccine was registered for use in 1999 and included on the National Immunisation Program (NIP) in November 2005 as a single dose at 18 months of age, along with a school-based single cohort catch-up program for 12-13 year olds.</w:t>
      </w:r>
      <w:r>
        <w:rPr>
          <w:vertAlign w:val="superscript"/>
        </w:rPr>
        <w:t>9,10</w:t>
      </w:r>
      <w:r>
        <w:t xml:space="preserve"> Uptake of varicella vaccine assessed at 2 years of age was 76.1% in 2007, and increased to 84.4% in 2012.</w:t>
      </w:r>
      <w:r>
        <w:rPr>
          <w:vertAlign w:val="superscript"/>
        </w:rPr>
        <w:t>9,11,12</w:t>
      </w:r>
      <w:r>
        <w:t xml:space="preserve"> In July 2013, a combination vaccine (measles-mumps-rubella-varicella or MMRV) replaced the monovalent varicella vaccine at age 18 months; following which vaccine uptake increased to 89.6% in 2014.</w:t>
      </w:r>
      <w:r>
        <w:rPr>
          <w:vertAlign w:val="superscript"/>
        </w:rPr>
        <w:t>13</w:t>
      </w:r>
      <w:r>
        <w:t xml:space="preserve"> A vaccine for HZ was registered in Australia in 2005, but was not widely available on private prescription or added onto the NIP until November 2016.</w:t>
      </w:r>
      <w:r>
        <w:rPr>
          <w:vertAlign w:val="superscript"/>
        </w:rPr>
        <w:t>14</w:t>
      </w:r>
      <w:r>
        <w:t xml:space="preserve"> Although the vaccine is registered for use in people aged ≥50 years, it is funded on the NIP for people aged 70 years with a 5 year catch-up program for people aged 71-79 years.</w:t>
      </w:r>
      <w:r>
        <w:rPr>
          <w:vertAlign w:val="superscript"/>
        </w:rPr>
        <w:t>14</w:t>
      </w:r>
    </w:p>
    <w:p w14:paraId="4B3EFE6A" w14:textId="77777777" w:rsidR="009E3A88" w:rsidRDefault="009E3A88" w:rsidP="00530646">
      <w:r>
        <w:t>Early assessment of the impact of inclusion of varicella vaccine on the NIP demonstrated a decline in hospitalisations due to varicella, especially in children less than 4 years of age, along with a reduction in severe outcomes of varicella, including congenital and neonatal varicella.</w:t>
      </w:r>
      <w:r>
        <w:rPr>
          <w:vertAlign w:val="superscript"/>
        </w:rPr>
        <w:t>11,15,16</w:t>
      </w:r>
      <w:r>
        <w:t xml:space="preserve"> Several studies have documented increasing incidence of HZ in Australia, both before and after the introduction of the varicella vaccine.</w:t>
      </w:r>
      <w:r>
        <w:rPr>
          <w:vertAlign w:val="superscript"/>
        </w:rPr>
        <w:t>17,18</w:t>
      </w:r>
      <w:r>
        <w:t xml:space="preserve"> Age-related increases in the risk of HZ are associated with a decline in cellular immunity to VZV, however, the underlying cause of the rising incidence (even after age adjustment) remains unclear.</w:t>
      </w:r>
      <w:r>
        <w:rPr>
          <w:vertAlign w:val="superscript"/>
        </w:rPr>
        <w:t>18</w:t>
      </w:r>
    </w:p>
    <w:p w14:paraId="4AB2F2C3" w14:textId="77777777" w:rsidR="008018F9" w:rsidRPr="008018F9" w:rsidRDefault="009E3A88" w:rsidP="008018F9">
      <w:r>
        <w:t>This study aims to review the epidemiology of varicella and HZ in Australia from 1998 to 2015, assess the impact of the national varicella immunisation program and provide a baseline for monitoring the impact of the na</w:t>
      </w:r>
      <w:r w:rsidR="008018F9">
        <w:t>tional HZ immunisation program.</w:t>
      </w:r>
    </w:p>
    <w:p w14:paraId="4E17FCE7" w14:textId="77777777" w:rsidR="002B48FE" w:rsidRDefault="002B48FE">
      <w:pPr>
        <w:rPr>
          <w:rFonts w:asciiTheme="majorHAnsi" w:eastAsiaTheme="majorEastAsia" w:hAnsiTheme="majorHAnsi" w:cstheme="majorBidi"/>
          <w:b/>
          <w:bCs/>
          <w:sz w:val="32"/>
          <w:szCs w:val="28"/>
        </w:rPr>
      </w:pPr>
      <w:r>
        <w:br w:type="page"/>
      </w:r>
    </w:p>
    <w:p w14:paraId="094E1080" w14:textId="77777777" w:rsidR="009E3A88" w:rsidRPr="00530646" w:rsidRDefault="009E3A88" w:rsidP="00530646">
      <w:pPr>
        <w:pStyle w:val="Heading1"/>
      </w:pPr>
      <w:r w:rsidRPr="00530646">
        <w:lastRenderedPageBreak/>
        <w:t>Methods</w:t>
      </w:r>
    </w:p>
    <w:p w14:paraId="12DBA52B" w14:textId="77777777" w:rsidR="009E3A88" w:rsidRPr="00530646" w:rsidRDefault="009E3A88" w:rsidP="00530646">
      <w:pPr>
        <w:pStyle w:val="Heading2"/>
      </w:pPr>
      <w:r w:rsidRPr="00530646">
        <w:t>Data sources</w:t>
      </w:r>
    </w:p>
    <w:p w14:paraId="0F5C0B9C" w14:textId="77777777" w:rsidR="009E3A88" w:rsidRPr="00530646" w:rsidRDefault="009E3A88" w:rsidP="00530646">
      <w:pPr>
        <w:pStyle w:val="Heading3"/>
      </w:pPr>
      <w:r w:rsidRPr="00530646">
        <w:t>Notification data</w:t>
      </w:r>
    </w:p>
    <w:p w14:paraId="593620DC" w14:textId="77777777" w:rsidR="009E3A88" w:rsidRDefault="009E3A88" w:rsidP="00530646">
      <w:r>
        <w:t>The National Notifiable Diseases Surveillance System (NNDSS) receives varicella and HZ notifications from all Australian states and territories (jurisdictions) except New South Wales (Table 1). Varicella and HZ became notifiable as early as 2002 in South Australia and as late as 2009 in Victoria.</w:t>
      </w:r>
    </w:p>
    <w:p w14:paraId="0C9772D0" w14:textId="77777777" w:rsidR="009E3A88" w:rsidRPr="006B6B62" w:rsidRDefault="009E3A88" w:rsidP="006B6B62">
      <w:pPr>
        <w:pStyle w:val="CDIFigures"/>
      </w:pPr>
      <w:r w:rsidRPr="006B6B62">
        <w:t xml:space="preserve">Table 1: Proportions (varicella, herpes zoster or not elsewhere classified) of total varicella zoster virus (VZV) related conditions reported through the National Notifiable Diseases Surveillance System (NNDSS), by state or territory, Australia 2002-2015. </w:t>
      </w:r>
    </w:p>
    <w:tbl>
      <w:tblPr>
        <w:tblStyle w:val="CDI-StandardTable"/>
        <w:tblW w:w="0" w:type="auto"/>
        <w:tblInd w:w="12" w:type="dxa"/>
        <w:tblLook w:val="04A0" w:firstRow="1" w:lastRow="0" w:firstColumn="1" w:lastColumn="0" w:noHBand="0" w:noVBand="1"/>
        <w:tblCaption w:val="Table 1: Proportions (varicella, herpes zoster or not elsewhere classified) of total varicella zoster virus (VZV) related conditions reported through the National Notifiable Diseases Surveillance System (NNDSS), by state or territory, Australia 2002-2015. "/>
        <w:tblDescription w:val="Table 1 is summarised data for varicella zoster virus related conditions (chickenpox, shingles and unspecified) as reported through the National Notifiable Diseases Surveillance System, by jurisdiction for the years 2002-2015."/>
      </w:tblPr>
      <w:tblGrid>
        <w:gridCol w:w="1288"/>
        <w:gridCol w:w="1391"/>
        <w:gridCol w:w="1521"/>
        <w:gridCol w:w="1658"/>
        <w:gridCol w:w="1245"/>
        <w:gridCol w:w="1337"/>
        <w:gridCol w:w="2254"/>
      </w:tblGrid>
      <w:tr w:rsidR="00481FA0" w14:paraId="2C7FF653" w14:textId="77777777" w:rsidTr="009D3D73">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91C55B4" w14:textId="77777777" w:rsidR="009E3A88" w:rsidRPr="006B6B62" w:rsidRDefault="009E3A88">
            <w:pPr>
              <w:jc w:val="center"/>
              <w:rPr>
                <w:rFonts w:eastAsia="Times New Roman"/>
                <w:bCs/>
                <w:color w:val="FFFFFF" w:themeColor="background1"/>
                <w:sz w:val="24"/>
                <w:szCs w:val="24"/>
              </w:rPr>
            </w:pPr>
            <w:r w:rsidRPr="006B6B62">
              <w:rPr>
                <w:rFonts w:eastAsia="Times New Roman"/>
                <w:bCs/>
                <w:color w:val="FFFFFF" w:themeColor="background1"/>
              </w:rPr>
              <w:t>Jurisdiction (state or territory)</w:t>
            </w:r>
          </w:p>
        </w:tc>
        <w:tc>
          <w:tcPr>
            <w:tcW w:w="1395" w:type="dxa"/>
            <w:hideMark/>
          </w:tcPr>
          <w:p w14:paraId="3F10A073" w14:textId="77777777" w:rsidR="009E3A88" w:rsidRPr="006B6B62" w:rsidRDefault="009E3A88">
            <w:pPr>
              <w:jc w:val="center"/>
              <w:rPr>
                <w:rFonts w:eastAsia="Times New Roman"/>
                <w:bCs/>
                <w:color w:val="FFFFFF" w:themeColor="background1"/>
                <w:sz w:val="24"/>
                <w:szCs w:val="24"/>
              </w:rPr>
            </w:pPr>
            <w:r w:rsidRPr="006B6B62">
              <w:rPr>
                <w:rFonts w:eastAsia="Times New Roman"/>
                <w:bCs/>
                <w:color w:val="FFFFFF" w:themeColor="background1"/>
              </w:rPr>
              <w:t>Year notification commenced</w:t>
            </w:r>
          </w:p>
        </w:tc>
        <w:tc>
          <w:tcPr>
            <w:tcW w:w="1559" w:type="dxa"/>
            <w:hideMark/>
          </w:tcPr>
          <w:p w14:paraId="7BE82F3E" w14:textId="77777777" w:rsidR="009E3A88" w:rsidRPr="006B6B62" w:rsidRDefault="009E3A88">
            <w:pPr>
              <w:jc w:val="center"/>
              <w:rPr>
                <w:rFonts w:eastAsia="Times New Roman"/>
                <w:bCs/>
                <w:color w:val="FFFFFF" w:themeColor="background1"/>
                <w:sz w:val="24"/>
                <w:szCs w:val="24"/>
              </w:rPr>
            </w:pPr>
            <w:r w:rsidRPr="006B6B62">
              <w:rPr>
                <w:rFonts w:eastAsia="Times New Roman"/>
                <w:bCs/>
                <w:color w:val="FFFFFF" w:themeColor="background1"/>
              </w:rPr>
              <w:t>Notified by laboratory</w:t>
            </w:r>
          </w:p>
        </w:tc>
        <w:tc>
          <w:tcPr>
            <w:tcW w:w="1701" w:type="dxa"/>
            <w:hideMark/>
          </w:tcPr>
          <w:p w14:paraId="15696B11" w14:textId="77777777" w:rsidR="009E3A88" w:rsidRPr="006B6B62" w:rsidRDefault="009E3A88">
            <w:pPr>
              <w:jc w:val="center"/>
              <w:rPr>
                <w:rFonts w:eastAsia="Times New Roman"/>
                <w:bCs/>
                <w:color w:val="FFFFFF" w:themeColor="background1"/>
                <w:sz w:val="24"/>
                <w:szCs w:val="24"/>
              </w:rPr>
            </w:pPr>
            <w:r w:rsidRPr="006B6B62">
              <w:rPr>
                <w:rFonts w:eastAsia="Times New Roman"/>
                <w:bCs/>
                <w:color w:val="FFFFFF" w:themeColor="background1"/>
              </w:rPr>
              <w:t>Follow up laboratory notification</w:t>
            </w:r>
          </w:p>
        </w:tc>
        <w:tc>
          <w:tcPr>
            <w:tcW w:w="4207" w:type="dxa"/>
            <w:gridSpan w:val="3"/>
            <w:hideMark/>
          </w:tcPr>
          <w:p w14:paraId="083D234D" w14:textId="77777777" w:rsidR="009E3A88" w:rsidRPr="006B6B62" w:rsidRDefault="009E3A88">
            <w:pPr>
              <w:jc w:val="center"/>
              <w:rPr>
                <w:rFonts w:eastAsia="Times New Roman"/>
                <w:bCs/>
                <w:color w:val="FFFFFF" w:themeColor="background1"/>
                <w:sz w:val="24"/>
                <w:szCs w:val="24"/>
              </w:rPr>
            </w:pPr>
            <w:r w:rsidRPr="006B6B62">
              <w:rPr>
                <w:rFonts w:eastAsia="Times New Roman"/>
                <w:bCs/>
                <w:color w:val="FFFFFF" w:themeColor="background1"/>
              </w:rPr>
              <w:t>VZV-related conditions (percentage of total notifications)</w:t>
            </w:r>
          </w:p>
        </w:tc>
      </w:tr>
      <w:tr w:rsidR="00481FA0" w14:paraId="2AD7B970" w14:textId="77777777" w:rsidTr="00481FA0">
        <w:tblPrEx>
          <w:tblCellMar>
            <w:top w:w="0" w:type="dxa"/>
            <w:left w:w="108" w:type="dxa"/>
            <w:bottom w:w="0" w:type="dxa"/>
            <w:right w:w="108" w:type="dxa"/>
          </w:tblCellMar>
        </w:tblPrEx>
        <w:tc>
          <w:tcPr>
            <w:tcW w:w="0" w:type="auto"/>
            <w:hideMark/>
          </w:tcPr>
          <w:p w14:paraId="44198E37" w14:textId="77777777" w:rsidR="009E3A88" w:rsidRDefault="009E3A88">
            <w:pPr>
              <w:jc w:val="center"/>
              <w:rPr>
                <w:rFonts w:eastAsia="Times New Roman"/>
                <w:b/>
                <w:bCs/>
                <w:sz w:val="24"/>
                <w:szCs w:val="24"/>
              </w:rPr>
            </w:pPr>
          </w:p>
        </w:tc>
        <w:tc>
          <w:tcPr>
            <w:tcW w:w="1395" w:type="dxa"/>
            <w:hideMark/>
          </w:tcPr>
          <w:p w14:paraId="2371B96F" w14:textId="77777777" w:rsidR="009E3A88" w:rsidRDefault="009E3A88">
            <w:pPr>
              <w:jc w:val="center"/>
              <w:rPr>
                <w:rFonts w:eastAsia="Times New Roman"/>
                <w:b/>
                <w:bCs/>
                <w:sz w:val="24"/>
                <w:szCs w:val="24"/>
              </w:rPr>
            </w:pPr>
          </w:p>
        </w:tc>
        <w:tc>
          <w:tcPr>
            <w:tcW w:w="1559" w:type="dxa"/>
            <w:hideMark/>
          </w:tcPr>
          <w:p w14:paraId="5CE3AEEA" w14:textId="77777777" w:rsidR="009E3A88" w:rsidRDefault="009E3A88">
            <w:pPr>
              <w:jc w:val="center"/>
              <w:rPr>
                <w:rFonts w:eastAsia="Times New Roman"/>
                <w:b/>
                <w:bCs/>
                <w:sz w:val="24"/>
                <w:szCs w:val="24"/>
              </w:rPr>
            </w:pPr>
          </w:p>
        </w:tc>
        <w:tc>
          <w:tcPr>
            <w:tcW w:w="1701" w:type="dxa"/>
            <w:hideMark/>
          </w:tcPr>
          <w:p w14:paraId="25BA2DD0" w14:textId="77777777" w:rsidR="009E3A88" w:rsidRDefault="009E3A88">
            <w:pPr>
              <w:jc w:val="center"/>
              <w:rPr>
                <w:rFonts w:eastAsia="Times New Roman"/>
                <w:b/>
                <w:bCs/>
                <w:sz w:val="24"/>
                <w:szCs w:val="24"/>
              </w:rPr>
            </w:pPr>
          </w:p>
        </w:tc>
        <w:tc>
          <w:tcPr>
            <w:tcW w:w="1276" w:type="dxa"/>
            <w:hideMark/>
          </w:tcPr>
          <w:p w14:paraId="727C4021" w14:textId="77777777" w:rsidR="009E3A88" w:rsidRPr="00617E0E" w:rsidRDefault="009E3A88" w:rsidP="00617E0E">
            <w:pPr>
              <w:rPr>
                <w:rFonts w:eastAsia="Times New Roman"/>
                <w:bCs/>
                <w:sz w:val="24"/>
                <w:szCs w:val="24"/>
              </w:rPr>
            </w:pPr>
            <w:r w:rsidRPr="00617E0E">
              <w:rPr>
                <w:rFonts w:eastAsia="Times New Roman"/>
                <w:bCs/>
              </w:rPr>
              <w:t>Varicella</w:t>
            </w:r>
          </w:p>
        </w:tc>
        <w:tc>
          <w:tcPr>
            <w:tcW w:w="1395" w:type="dxa"/>
            <w:hideMark/>
          </w:tcPr>
          <w:p w14:paraId="23B51B57" w14:textId="77777777" w:rsidR="009E3A88" w:rsidRPr="00617E0E" w:rsidRDefault="009E3A88" w:rsidP="00617E0E">
            <w:pPr>
              <w:rPr>
                <w:rFonts w:eastAsia="Times New Roman"/>
                <w:bCs/>
                <w:sz w:val="24"/>
                <w:szCs w:val="24"/>
              </w:rPr>
            </w:pPr>
            <w:r w:rsidRPr="00617E0E">
              <w:rPr>
                <w:rFonts w:eastAsia="Times New Roman"/>
                <w:bCs/>
              </w:rPr>
              <w:t>Herpes zoster</w:t>
            </w:r>
          </w:p>
        </w:tc>
        <w:tc>
          <w:tcPr>
            <w:tcW w:w="0" w:type="auto"/>
            <w:hideMark/>
          </w:tcPr>
          <w:p w14:paraId="75E69B10" w14:textId="77777777" w:rsidR="009E3A88" w:rsidRPr="00617E0E" w:rsidRDefault="009E3A88" w:rsidP="00617E0E">
            <w:pPr>
              <w:rPr>
                <w:rFonts w:eastAsia="Times New Roman"/>
                <w:bCs/>
                <w:sz w:val="24"/>
                <w:szCs w:val="24"/>
              </w:rPr>
            </w:pPr>
            <w:r w:rsidRPr="00617E0E">
              <w:rPr>
                <w:rFonts w:eastAsia="Times New Roman"/>
                <w:bCs/>
              </w:rPr>
              <w:t>Not elsewhere classified</w:t>
            </w:r>
          </w:p>
        </w:tc>
      </w:tr>
      <w:tr w:rsidR="00481FA0" w14:paraId="6CA1B5BF" w14:textId="77777777" w:rsidTr="00481FA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0F1C4A5" w14:textId="77777777" w:rsidR="009E3A88" w:rsidRDefault="009E3A88">
            <w:pPr>
              <w:rPr>
                <w:rFonts w:eastAsia="Times New Roman"/>
                <w:sz w:val="24"/>
                <w:szCs w:val="24"/>
              </w:rPr>
            </w:pPr>
            <w:r>
              <w:rPr>
                <w:rFonts w:eastAsia="Times New Roman"/>
              </w:rPr>
              <w:t>New South Wales</w:t>
            </w:r>
          </w:p>
        </w:tc>
        <w:tc>
          <w:tcPr>
            <w:tcW w:w="1395" w:type="dxa"/>
            <w:hideMark/>
          </w:tcPr>
          <w:p w14:paraId="4611C84E" w14:textId="77777777" w:rsidR="009E3A88" w:rsidRDefault="009E3A88">
            <w:pPr>
              <w:rPr>
                <w:rFonts w:eastAsia="Times New Roman"/>
                <w:sz w:val="24"/>
                <w:szCs w:val="24"/>
              </w:rPr>
            </w:pPr>
            <w:r>
              <w:rPr>
                <w:rFonts w:eastAsia="Times New Roman"/>
              </w:rPr>
              <w:t>N/A</w:t>
            </w:r>
          </w:p>
        </w:tc>
        <w:tc>
          <w:tcPr>
            <w:tcW w:w="1559" w:type="dxa"/>
            <w:hideMark/>
          </w:tcPr>
          <w:p w14:paraId="333E346D" w14:textId="77777777" w:rsidR="009E3A88" w:rsidRDefault="009E3A88">
            <w:pPr>
              <w:rPr>
                <w:rFonts w:eastAsia="Times New Roman"/>
                <w:sz w:val="24"/>
                <w:szCs w:val="24"/>
              </w:rPr>
            </w:pPr>
            <w:r>
              <w:rPr>
                <w:rFonts w:eastAsia="Times New Roman"/>
              </w:rPr>
              <w:t>N/A</w:t>
            </w:r>
          </w:p>
        </w:tc>
        <w:tc>
          <w:tcPr>
            <w:tcW w:w="1701" w:type="dxa"/>
            <w:hideMark/>
          </w:tcPr>
          <w:p w14:paraId="746DF623" w14:textId="77777777" w:rsidR="009E3A88" w:rsidRDefault="009E3A88">
            <w:pPr>
              <w:rPr>
                <w:rFonts w:eastAsia="Times New Roman"/>
                <w:sz w:val="24"/>
                <w:szCs w:val="24"/>
              </w:rPr>
            </w:pPr>
            <w:r>
              <w:rPr>
                <w:rFonts w:eastAsia="Times New Roman"/>
              </w:rPr>
              <w:t>N/A</w:t>
            </w:r>
          </w:p>
        </w:tc>
        <w:tc>
          <w:tcPr>
            <w:tcW w:w="1276" w:type="dxa"/>
            <w:hideMark/>
          </w:tcPr>
          <w:p w14:paraId="398893ED" w14:textId="77777777" w:rsidR="009E3A88" w:rsidRDefault="009E3A88">
            <w:pPr>
              <w:rPr>
                <w:rFonts w:eastAsia="Times New Roman"/>
                <w:sz w:val="24"/>
                <w:szCs w:val="24"/>
              </w:rPr>
            </w:pPr>
            <w:r>
              <w:rPr>
                <w:rFonts w:eastAsia="Times New Roman"/>
              </w:rPr>
              <w:t>N/A</w:t>
            </w:r>
          </w:p>
        </w:tc>
        <w:tc>
          <w:tcPr>
            <w:tcW w:w="1395" w:type="dxa"/>
            <w:hideMark/>
          </w:tcPr>
          <w:p w14:paraId="479FC4A3" w14:textId="77777777" w:rsidR="009E3A88" w:rsidRDefault="009E3A88">
            <w:pPr>
              <w:rPr>
                <w:rFonts w:eastAsia="Times New Roman"/>
                <w:sz w:val="24"/>
                <w:szCs w:val="24"/>
              </w:rPr>
            </w:pPr>
            <w:r>
              <w:rPr>
                <w:rFonts w:eastAsia="Times New Roman"/>
              </w:rPr>
              <w:t>N/A</w:t>
            </w:r>
          </w:p>
        </w:tc>
        <w:tc>
          <w:tcPr>
            <w:tcW w:w="0" w:type="auto"/>
            <w:hideMark/>
          </w:tcPr>
          <w:p w14:paraId="57477D60" w14:textId="77777777" w:rsidR="009E3A88" w:rsidRDefault="009E3A88">
            <w:pPr>
              <w:rPr>
                <w:rFonts w:eastAsia="Times New Roman"/>
                <w:sz w:val="24"/>
                <w:szCs w:val="24"/>
              </w:rPr>
            </w:pPr>
            <w:r>
              <w:rPr>
                <w:rFonts w:eastAsia="Times New Roman"/>
              </w:rPr>
              <w:t>N/A</w:t>
            </w:r>
          </w:p>
        </w:tc>
      </w:tr>
      <w:tr w:rsidR="00481FA0" w14:paraId="46CD7D66" w14:textId="77777777" w:rsidTr="00481FA0">
        <w:tblPrEx>
          <w:tblCellMar>
            <w:top w:w="0" w:type="dxa"/>
            <w:left w:w="108" w:type="dxa"/>
            <w:bottom w:w="0" w:type="dxa"/>
            <w:right w:w="108" w:type="dxa"/>
          </w:tblCellMar>
        </w:tblPrEx>
        <w:tc>
          <w:tcPr>
            <w:tcW w:w="0" w:type="auto"/>
            <w:hideMark/>
          </w:tcPr>
          <w:p w14:paraId="12C6537B" w14:textId="77777777" w:rsidR="009E3A88" w:rsidRDefault="009E3A88">
            <w:pPr>
              <w:rPr>
                <w:rFonts w:eastAsia="Times New Roman"/>
                <w:sz w:val="24"/>
                <w:szCs w:val="24"/>
              </w:rPr>
            </w:pPr>
            <w:r>
              <w:rPr>
                <w:rFonts w:eastAsia="Times New Roman"/>
              </w:rPr>
              <w:t>Victoria</w:t>
            </w:r>
          </w:p>
        </w:tc>
        <w:tc>
          <w:tcPr>
            <w:tcW w:w="1395" w:type="dxa"/>
            <w:hideMark/>
          </w:tcPr>
          <w:p w14:paraId="5D7D4928" w14:textId="77777777" w:rsidR="009E3A88" w:rsidRDefault="009E3A88">
            <w:pPr>
              <w:rPr>
                <w:rFonts w:eastAsia="Times New Roman"/>
                <w:sz w:val="24"/>
                <w:szCs w:val="24"/>
              </w:rPr>
            </w:pPr>
            <w:r>
              <w:rPr>
                <w:rFonts w:eastAsia="Times New Roman"/>
              </w:rPr>
              <w:t>2009</w:t>
            </w:r>
          </w:p>
        </w:tc>
        <w:tc>
          <w:tcPr>
            <w:tcW w:w="1559" w:type="dxa"/>
            <w:hideMark/>
          </w:tcPr>
          <w:p w14:paraId="2A6C7B91" w14:textId="77777777" w:rsidR="009E3A88" w:rsidRDefault="009E3A88">
            <w:pPr>
              <w:rPr>
                <w:rFonts w:eastAsia="Times New Roman"/>
                <w:sz w:val="24"/>
                <w:szCs w:val="24"/>
              </w:rPr>
            </w:pPr>
            <w:r>
              <w:rPr>
                <w:rFonts w:eastAsia="Times New Roman"/>
              </w:rPr>
              <w:t>Yes</w:t>
            </w:r>
          </w:p>
        </w:tc>
        <w:tc>
          <w:tcPr>
            <w:tcW w:w="1701" w:type="dxa"/>
            <w:hideMark/>
          </w:tcPr>
          <w:p w14:paraId="1ECD4311" w14:textId="77777777" w:rsidR="009E3A88" w:rsidRDefault="009E3A88">
            <w:pPr>
              <w:rPr>
                <w:rFonts w:eastAsia="Times New Roman"/>
                <w:sz w:val="24"/>
                <w:szCs w:val="24"/>
              </w:rPr>
            </w:pPr>
            <w:r>
              <w:rPr>
                <w:rFonts w:eastAsia="Times New Roman"/>
              </w:rPr>
              <w:t>No</w:t>
            </w:r>
          </w:p>
        </w:tc>
        <w:tc>
          <w:tcPr>
            <w:tcW w:w="1276" w:type="dxa"/>
            <w:hideMark/>
          </w:tcPr>
          <w:p w14:paraId="4392B167" w14:textId="77777777" w:rsidR="009E3A88" w:rsidRDefault="009E3A88">
            <w:pPr>
              <w:rPr>
                <w:rFonts w:eastAsia="Times New Roman"/>
                <w:sz w:val="24"/>
                <w:szCs w:val="24"/>
              </w:rPr>
            </w:pPr>
            <w:r>
              <w:rPr>
                <w:rFonts w:eastAsia="Times New Roman"/>
              </w:rPr>
              <w:t>13.2</w:t>
            </w:r>
          </w:p>
        </w:tc>
        <w:tc>
          <w:tcPr>
            <w:tcW w:w="1395" w:type="dxa"/>
            <w:hideMark/>
          </w:tcPr>
          <w:p w14:paraId="6DAC882B" w14:textId="77777777" w:rsidR="009E3A88" w:rsidRDefault="009E3A88">
            <w:pPr>
              <w:rPr>
                <w:rFonts w:eastAsia="Times New Roman"/>
                <w:sz w:val="24"/>
                <w:szCs w:val="24"/>
              </w:rPr>
            </w:pPr>
            <w:r>
              <w:rPr>
                <w:rFonts w:eastAsia="Times New Roman"/>
              </w:rPr>
              <w:t>19.8</w:t>
            </w:r>
          </w:p>
        </w:tc>
        <w:tc>
          <w:tcPr>
            <w:tcW w:w="0" w:type="auto"/>
            <w:hideMark/>
          </w:tcPr>
          <w:p w14:paraId="0EF0CBF7" w14:textId="77777777" w:rsidR="009E3A88" w:rsidRDefault="009E3A88">
            <w:pPr>
              <w:rPr>
                <w:rFonts w:eastAsia="Times New Roman"/>
                <w:sz w:val="24"/>
                <w:szCs w:val="24"/>
              </w:rPr>
            </w:pPr>
            <w:r>
              <w:rPr>
                <w:rFonts w:eastAsia="Times New Roman"/>
              </w:rPr>
              <w:t>66.9</w:t>
            </w:r>
          </w:p>
        </w:tc>
      </w:tr>
      <w:tr w:rsidR="00481FA0" w14:paraId="53CED421" w14:textId="77777777" w:rsidTr="00481FA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4509482" w14:textId="77777777" w:rsidR="009E3A88" w:rsidRDefault="009E3A88">
            <w:pPr>
              <w:rPr>
                <w:rFonts w:eastAsia="Times New Roman"/>
                <w:sz w:val="24"/>
                <w:szCs w:val="24"/>
              </w:rPr>
            </w:pPr>
            <w:r>
              <w:rPr>
                <w:rFonts w:eastAsia="Times New Roman"/>
              </w:rPr>
              <w:t>Queensland</w:t>
            </w:r>
          </w:p>
        </w:tc>
        <w:tc>
          <w:tcPr>
            <w:tcW w:w="1395" w:type="dxa"/>
            <w:hideMark/>
          </w:tcPr>
          <w:p w14:paraId="325E32FE" w14:textId="77777777" w:rsidR="009E3A88" w:rsidRDefault="009E3A88">
            <w:pPr>
              <w:rPr>
                <w:rFonts w:eastAsia="Times New Roman"/>
                <w:sz w:val="24"/>
                <w:szCs w:val="24"/>
              </w:rPr>
            </w:pPr>
            <w:r>
              <w:rPr>
                <w:rFonts w:eastAsia="Times New Roman"/>
              </w:rPr>
              <w:t>2006</w:t>
            </w:r>
          </w:p>
        </w:tc>
        <w:tc>
          <w:tcPr>
            <w:tcW w:w="1559" w:type="dxa"/>
            <w:hideMark/>
          </w:tcPr>
          <w:p w14:paraId="62D70619" w14:textId="77777777" w:rsidR="009E3A88" w:rsidRDefault="009E3A88">
            <w:pPr>
              <w:rPr>
                <w:rFonts w:eastAsia="Times New Roman"/>
                <w:sz w:val="24"/>
                <w:szCs w:val="24"/>
              </w:rPr>
            </w:pPr>
            <w:r>
              <w:rPr>
                <w:rFonts w:eastAsia="Times New Roman"/>
              </w:rPr>
              <w:t>Yes</w:t>
            </w:r>
          </w:p>
        </w:tc>
        <w:tc>
          <w:tcPr>
            <w:tcW w:w="1701" w:type="dxa"/>
            <w:hideMark/>
          </w:tcPr>
          <w:p w14:paraId="6E11E663" w14:textId="77777777" w:rsidR="009E3A88" w:rsidRDefault="009E3A88">
            <w:pPr>
              <w:rPr>
                <w:rFonts w:eastAsia="Times New Roman"/>
                <w:sz w:val="24"/>
                <w:szCs w:val="24"/>
              </w:rPr>
            </w:pPr>
            <w:r>
              <w:rPr>
                <w:rFonts w:eastAsia="Times New Roman"/>
              </w:rPr>
              <w:t>No</w:t>
            </w:r>
          </w:p>
        </w:tc>
        <w:tc>
          <w:tcPr>
            <w:tcW w:w="1276" w:type="dxa"/>
            <w:hideMark/>
          </w:tcPr>
          <w:p w14:paraId="3FC06717" w14:textId="77777777" w:rsidR="009E3A88" w:rsidRDefault="009E3A88">
            <w:pPr>
              <w:rPr>
                <w:rFonts w:eastAsia="Times New Roman"/>
                <w:sz w:val="24"/>
                <w:szCs w:val="24"/>
              </w:rPr>
            </w:pPr>
            <w:r>
              <w:rPr>
                <w:rFonts w:eastAsia="Times New Roman"/>
              </w:rPr>
              <w:t>7.1</w:t>
            </w:r>
          </w:p>
        </w:tc>
        <w:tc>
          <w:tcPr>
            <w:tcW w:w="1395" w:type="dxa"/>
            <w:hideMark/>
          </w:tcPr>
          <w:p w14:paraId="533FB266" w14:textId="77777777" w:rsidR="009E3A88" w:rsidRDefault="009E3A88">
            <w:pPr>
              <w:rPr>
                <w:rFonts w:eastAsia="Times New Roman"/>
                <w:sz w:val="24"/>
                <w:szCs w:val="24"/>
              </w:rPr>
            </w:pPr>
            <w:r>
              <w:rPr>
                <w:rFonts w:eastAsia="Times New Roman"/>
              </w:rPr>
              <w:t>3.8</w:t>
            </w:r>
          </w:p>
        </w:tc>
        <w:tc>
          <w:tcPr>
            <w:tcW w:w="0" w:type="auto"/>
            <w:hideMark/>
          </w:tcPr>
          <w:p w14:paraId="4DABD31D" w14:textId="77777777" w:rsidR="009E3A88" w:rsidRDefault="009E3A88">
            <w:pPr>
              <w:rPr>
                <w:rFonts w:eastAsia="Times New Roman"/>
                <w:sz w:val="24"/>
                <w:szCs w:val="24"/>
              </w:rPr>
            </w:pPr>
            <w:r>
              <w:rPr>
                <w:rFonts w:eastAsia="Times New Roman"/>
              </w:rPr>
              <w:t>89.1</w:t>
            </w:r>
          </w:p>
        </w:tc>
      </w:tr>
      <w:tr w:rsidR="00481FA0" w14:paraId="3383A3F4" w14:textId="77777777" w:rsidTr="00481FA0">
        <w:tblPrEx>
          <w:tblCellMar>
            <w:top w:w="0" w:type="dxa"/>
            <w:left w:w="108" w:type="dxa"/>
            <w:bottom w:w="0" w:type="dxa"/>
            <w:right w:w="108" w:type="dxa"/>
          </w:tblCellMar>
        </w:tblPrEx>
        <w:tc>
          <w:tcPr>
            <w:tcW w:w="0" w:type="auto"/>
            <w:hideMark/>
          </w:tcPr>
          <w:p w14:paraId="40ACD29A" w14:textId="77777777" w:rsidR="009E3A88" w:rsidRDefault="009E3A88">
            <w:pPr>
              <w:rPr>
                <w:rFonts w:eastAsia="Times New Roman"/>
                <w:sz w:val="24"/>
                <w:szCs w:val="24"/>
              </w:rPr>
            </w:pPr>
            <w:r>
              <w:rPr>
                <w:rFonts w:eastAsia="Times New Roman"/>
              </w:rPr>
              <w:t>South Australia</w:t>
            </w:r>
          </w:p>
        </w:tc>
        <w:tc>
          <w:tcPr>
            <w:tcW w:w="1395" w:type="dxa"/>
            <w:hideMark/>
          </w:tcPr>
          <w:p w14:paraId="411824E7" w14:textId="77777777" w:rsidR="009E3A88" w:rsidRDefault="009E3A88">
            <w:pPr>
              <w:rPr>
                <w:rFonts w:eastAsia="Times New Roman"/>
                <w:sz w:val="24"/>
                <w:szCs w:val="24"/>
              </w:rPr>
            </w:pPr>
            <w:r>
              <w:rPr>
                <w:rFonts w:eastAsia="Times New Roman"/>
              </w:rPr>
              <w:t>2002</w:t>
            </w:r>
          </w:p>
        </w:tc>
        <w:tc>
          <w:tcPr>
            <w:tcW w:w="1559" w:type="dxa"/>
            <w:hideMark/>
          </w:tcPr>
          <w:p w14:paraId="564C8C48" w14:textId="77777777" w:rsidR="009E3A88" w:rsidRDefault="009E3A88">
            <w:pPr>
              <w:rPr>
                <w:rFonts w:eastAsia="Times New Roman"/>
                <w:sz w:val="24"/>
                <w:szCs w:val="24"/>
              </w:rPr>
            </w:pPr>
            <w:r>
              <w:rPr>
                <w:rFonts w:eastAsia="Times New Roman"/>
              </w:rPr>
              <w:t>Yes</w:t>
            </w:r>
          </w:p>
        </w:tc>
        <w:tc>
          <w:tcPr>
            <w:tcW w:w="1701" w:type="dxa"/>
            <w:hideMark/>
          </w:tcPr>
          <w:p w14:paraId="51AE823E" w14:textId="77777777" w:rsidR="009E3A88" w:rsidRDefault="009E3A88">
            <w:pPr>
              <w:rPr>
                <w:rFonts w:eastAsia="Times New Roman"/>
                <w:sz w:val="24"/>
                <w:szCs w:val="24"/>
              </w:rPr>
            </w:pPr>
            <w:r>
              <w:rPr>
                <w:rFonts w:eastAsia="Times New Roman"/>
              </w:rPr>
              <w:t>Yes</w:t>
            </w:r>
          </w:p>
        </w:tc>
        <w:tc>
          <w:tcPr>
            <w:tcW w:w="1276" w:type="dxa"/>
            <w:hideMark/>
          </w:tcPr>
          <w:p w14:paraId="2EC7676E" w14:textId="77777777" w:rsidR="009E3A88" w:rsidRDefault="009E3A88">
            <w:pPr>
              <w:rPr>
                <w:rFonts w:eastAsia="Times New Roman"/>
                <w:sz w:val="24"/>
                <w:szCs w:val="24"/>
              </w:rPr>
            </w:pPr>
            <w:r>
              <w:rPr>
                <w:rFonts w:eastAsia="Times New Roman"/>
              </w:rPr>
              <w:t>24.1</w:t>
            </w:r>
          </w:p>
        </w:tc>
        <w:tc>
          <w:tcPr>
            <w:tcW w:w="1395" w:type="dxa"/>
            <w:hideMark/>
          </w:tcPr>
          <w:p w14:paraId="32D7B7CF" w14:textId="77777777" w:rsidR="009E3A88" w:rsidRDefault="009E3A88">
            <w:pPr>
              <w:rPr>
                <w:rFonts w:eastAsia="Times New Roman"/>
                <w:sz w:val="24"/>
                <w:szCs w:val="24"/>
              </w:rPr>
            </w:pPr>
            <w:r>
              <w:rPr>
                <w:rFonts w:eastAsia="Times New Roman"/>
              </w:rPr>
              <w:t>66.3</w:t>
            </w:r>
          </w:p>
        </w:tc>
        <w:tc>
          <w:tcPr>
            <w:tcW w:w="0" w:type="auto"/>
            <w:hideMark/>
          </w:tcPr>
          <w:p w14:paraId="18B359AB" w14:textId="77777777" w:rsidR="009E3A88" w:rsidRDefault="009E3A88">
            <w:pPr>
              <w:rPr>
                <w:rFonts w:eastAsia="Times New Roman"/>
                <w:sz w:val="24"/>
                <w:szCs w:val="24"/>
              </w:rPr>
            </w:pPr>
            <w:r>
              <w:rPr>
                <w:rFonts w:eastAsia="Times New Roman"/>
              </w:rPr>
              <w:t>9.7</w:t>
            </w:r>
          </w:p>
        </w:tc>
      </w:tr>
      <w:tr w:rsidR="00481FA0" w14:paraId="27CA3D2F" w14:textId="77777777" w:rsidTr="00481FA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C358F45" w14:textId="77777777" w:rsidR="009E3A88" w:rsidRDefault="009E3A88">
            <w:pPr>
              <w:rPr>
                <w:rFonts w:eastAsia="Times New Roman"/>
                <w:sz w:val="24"/>
                <w:szCs w:val="24"/>
              </w:rPr>
            </w:pPr>
            <w:r>
              <w:rPr>
                <w:rFonts w:eastAsia="Times New Roman"/>
              </w:rPr>
              <w:t>Western Australia</w:t>
            </w:r>
          </w:p>
        </w:tc>
        <w:tc>
          <w:tcPr>
            <w:tcW w:w="1395" w:type="dxa"/>
            <w:hideMark/>
          </w:tcPr>
          <w:p w14:paraId="0DC63CC9" w14:textId="77777777" w:rsidR="009E3A88" w:rsidRDefault="009E3A88">
            <w:pPr>
              <w:rPr>
                <w:rFonts w:eastAsia="Times New Roman"/>
                <w:sz w:val="24"/>
                <w:szCs w:val="24"/>
              </w:rPr>
            </w:pPr>
            <w:r>
              <w:rPr>
                <w:rFonts w:eastAsia="Times New Roman"/>
              </w:rPr>
              <w:t>2006</w:t>
            </w:r>
          </w:p>
        </w:tc>
        <w:tc>
          <w:tcPr>
            <w:tcW w:w="1559" w:type="dxa"/>
            <w:hideMark/>
          </w:tcPr>
          <w:p w14:paraId="0916A205" w14:textId="77777777" w:rsidR="009E3A88" w:rsidRDefault="009E3A88">
            <w:pPr>
              <w:rPr>
                <w:rFonts w:eastAsia="Times New Roman"/>
                <w:sz w:val="24"/>
                <w:szCs w:val="24"/>
              </w:rPr>
            </w:pPr>
            <w:r>
              <w:rPr>
                <w:rFonts w:eastAsia="Times New Roman"/>
              </w:rPr>
              <w:t>Yes</w:t>
            </w:r>
          </w:p>
        </w:tc>
        <w:tc>
          <w:tcPr>
            <w:tcW w:w="1701" w:type="dxa"/>
            <w:hideMark/>
          </w:tcPr>
          <w:p w14:paraId="445259BB" w14:textId="77777777" w:rsidR="009E3A88" w:rsidRDefault="009E3A88">
            <w:pPr>
              <w:rPr>
                <w:rFonts w:eastAsia="Times New Roman"/>
                <w:sz w:val="24"/>
                <w:szCs w:val="24"/>
              </w:rPr>
            </w:pPr>
            <w:r>
              <w:rPr>
                <w:rFonts w:eastAsia="Times New Roman"/>
              </w:rPr>
              <w:t>No</w:t>
            </w:r>
          </w:p>
        </w:tc>
        <w:tc>
          <w:tcPr>
            <w:tcW w:w="1276" w:type="dxa"/>
            <w:hideMark/>
          </w:tcPr>
          <w:p w14:paraId="26493274" w14:textId="77777777" w:rsidR="009E3A88" w:rsidRDefault="009E3A88">
            <w:pPr>
              <w:rPr>
                <w:rFonts w:eastAsia="Times New Roman"/>
                <w:sz w:val="24"/>
                <w:szCs w:val="24"/>
              </w:rPr>
            </w:pPr>
            <w:r>
              <w:rPr>
                <w:rFonts w:eastAsia="Times New Roman"/>
              </w:rPr>
              <w:t>17.1</w:t>
            </w:r>
          </w:p>
        </w:tc>
        <w:tc>
          <w:tcPr>
            <w:tcW w:w="1395" w:type="dxa"/>
            <w:hideMark/>
          </w:tcPr>
          <w:p w14:paraId="6121459C" w14:textId="77777777" w:rsidR="009E3A88" w:rsidRDefault="009E3A88">
            <w:pPr>
              <w:rPr>
                <w:rFonts w:eastAsia="Times New Roman"/>
                <w:sz w:val="24"/>
                <w:szCs w:val="24"/>
              </w:rPr>
            </w:pPr>
            <w:r>
              <w:rPr>
                <w:rFonts w:eastAsia="Times New Roman"/>
              </w:rPr>
              <w:t>38.9</w:t>
            </w:r>
          </w:p>
        </w:tc>
        <w:tc>
          <w:tcPr>
            <w:tcW w:w="0" w:type="auto"/>
            <w:hideMark/>
          </w:tcPr>
          <w:p w14:paraId="547857B9" w14:textId="77777777" w:rsidR="009E3A88" w:rsidRDefault="009E3A88">
            <w:pPr>
              <w:rPr>
                <w:rFonts w:eastAsia="Times New Roman"/>
                <w:sz w:val="24"/>
                <w:szCs w:val="24"/>
              </w:rPr>
            </w:pPr>
            <w:r>
              <w:rPr>
                <w:rFonts w:eastAsia="Times New Roman"/>
              </w:rPr>
              <w:t>44</w:t>
            </w:r>
          </w:p>
        </w:tc>
      </w:tr>
      <w:tr w:rsidR="00481FA0" w14:paraId="47C6DBDF" w14:textId="77777777" w:rsidTr="00481FA0">
        <w:tblPrEx>
          <w:tblCellMar>
            <w:top w:w="0" w:type="dxa"/>
            <w:left w:w="108" w:type="dxa"/>
            <w:bottom w:w="0" w:type="dxa"/>
            <w:right w:w="108" w:type="dxa"/>
          </w:tblCellMar>
        </w:tblPrEx>
        <w:tc>
          <w:tcPr>
            <w:tcW w:w="0" w:type="auto"/>
            <w:hideMark/>
          </w:tcPr>
          <w:p w14:paraId="1499F9E9" w14:textId="77777777" w:rsidR="009E3A88" w:rsidRDefault="009E3A88">
            <w:pPr>
              <w:rPr>
                <w:rFonts w:eastAsia="Times New Roman"/>
                <w:sz w:val="24"/>
                <w:szCs w:val="24"/>
              </w:rPr>
            </w:pPr>
            <w:r>
              <w:rPr>
                <w:rFonts w:eastAsia="Times New Roman"/>
              </w:rPr>
              <w:t>Tasmania</w:t>
            </w:r>
          </w:p>
        </w:tc>
        <w:tc>
          <w:tcPr>
            <w:tcW w:w="1395" w:type="dxa"/>
            <w:hideMark/>
          </w:tcPr>
          <w:p w14:paraId="72151E35" w14:textId="77777777" w:rsidR="009E3A88" w:rsidRDefault="009E3A88">
            <w:pPr>
              <w:rPr>
                <w:rFonts w:eastAsia="Times New Roman"/>
                <w:sz w:val="24"/>
                <w:szCs w:val="24"/>
              </w:rPr>
            </w:pPr>
            <w:r>
              <w:rPr>
                <w:rFonts w:eastAsia="Times New Roman"/>
              </w:rPr>
              <w:t>2006</w:t>
            </w:r>
          </w:p>
        </w:tc>
        <w:tc>
          <w:tcPr>
            <w:tcW w:w="1559" w:type="dxa"/>
            <w:hideMark/>
          </w:tcPr>
          <w:p w14:paraId="2F34CACB" w14:textId="77777777" w:rsidR="009E3A88" w:rsidRDefault="009E3A88">
            <w:pPr>
              <w:rPr>
                <w:rFonts w:eastAsia="Times New Roman"/>
                <w:sz w:val="24"/>
                <w:szCs w:val="24"/>
              </w:rPr>
            </w:pPr>
            <w:r>
              <w:rPr>
                <w:rFonts w:eastAsia="Times New Roman"/>
              </w:rPr>
              <w:t>Yes</w:t>
            </w:r>
          </w:p>
        </w:tc>
        <w:tc>
          <w:tcPr>
            <w:tcW w:w="1701" w:type="dxa"/>
            <w:hideMark/>
          </w:tcPr>
          <w:p w14:paraId="1754AB2F" w14:textId="77777777" w:rsidR="009E3A88" w:rsidRDefault="009E3A88">
            <w:pPr>
              <w:rPr>
                <w:rFonts w:eastAsia="Times New Roman"/>
                <w:sz w:val="24"/>
                <w:szCs w:val="24"/>
              </w:rPr>
            </w:pPr>
            <w:r>
              <w:rPr>
                <w:rFonts w:eastAsia="Times New Roman"/>
              </w:rPr>
              <w:t>No</w:t>
            </w:r>
          </w:p>
        </w:tc>
        <w:tc>
          <w:tcPr>
            <w:tcW w:w="1276" w:type="dxa"/>
            <w:hideMark/>
          </w:tcPr>
          <w:p w14:paraId="2637F0F5" w14:textId="77777777" w:rsidR="009E3A88" w:rsidRDefault="009E3A88">
            <w:pPr>
              <w:rPr>
                <w:rFonts w:eastAsia="Times New Roman"/>
                <w:sz w:val="24"/>
                <w:szCs w:val="24"/>
              </w:rPr>
            </w:pPr>
            <w:r>
              <w:rPr>
                <w:rFonts w:eastAsia="Times New Roman"/>
              </w:rPr>
              <w:t>11.4</w:t>
            </w:r>
          </w:p>
        </w:tc>
        <w:tc>
          <w:tcPr>
            <w:tcW w:w="1395" w:type="dxa"/>
            <w:hideMark/>
          </w:tcPr>
          <w:p w14:paraId="4B23BA66" w14:textId="77777777" w:rsidR="009E3A88" w:rsidRDefault="009E3A88">
            <w:pPr>
              <w:rPr>
                <w:rFonts w:eastAsia="Times New Roman"/>
                <w:sz w:val="24"/>
                <w:szCs w:val="24"/>
              </w:rPr>
            </w:pPr>
            <w:r>
              <w:rPr>
                <w:rFonts w:eastAsia="Times New Roman"/>
              </w:rPr>
              <w:t>63.8</w:t>
            </w:r>
          </w:p>
        </w:tc>
        <w:tc>
          <w:tcPr>
            <w:tcW w:w="0" w:type="auto"/>
            <w:hideMark/>
          </w:tcPr>
          <w:p w14:paraId="34B2BB43" w14:textId="77777777" w:rsidR="009E3A88" w:rsidRDefault="009E3A88">
            <w:pPr>
              <w:rPr>
                <w:rFonts w:eastAsia="Times New Roman"/>
                <w:sz w:val="24"/>
                <w:szCs w:val="24"/>
              </w:rPr>
            </w:pPr>
            <w:r>
              <w:rPr>
                <w:rFonts w:eastAsia="Times New Roman"/>
              </w:rPr>
              <w:t>24.8</w:t>
            </w:r>
          </w:p>
        </w:tc>
      </w:tr>
      <w:tr w:rsidR="00481FA0" w14:paraId="5B5A84E7" w14:textId="77777777" w:rsidTr="00481FA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2EDCE62" w14:textId="77777777" w:rsidR="009E3A88" w:rsidRDefault="009E3A88">
            <w:pPr>
              <w:rPr>
                <w:rFonts w:eastAsia="Times New Roman"/>
                <w:sz w:val="24"/>
                <w:szCs w:val="24"/>
              </w:rPr>
            </w:pPr>
            <w:r>
              <w:rPr>
                <w:rFonts w:eastAsia="Times New Roman"/>
              </w:rPr>
              <w:t>Northern Territory</w:t>
            </w:r>
          </w:p>
        </w:tc>
        <w:tc>
          <w:tcPr>
            <w:tcW w:w="1395" w:type="dxa"/>
            <w:hideMark/>
          </w:tcPr>
          <w:p w14:paraId="68134D4E" w14:textId="77777777" w:rsidR="009E3A88" w:rsidRDefault="009E3A88">
            <w:pPr>
              <w:rPr>
                <w:rFonts w:eastAsia="Times New Roman"/>
                <w:sz w:val="24"/>
                <w:szCs w:val="24"/>
              </w:rPr>
            </w:pPr>
            <w:r>
              <w:rPr>
                <w:rFonts w:eastAsia="Times New Roman"/>
              </w:rPr>
              <w:t>2006</w:t>
            </w:r>
          </w:p>
        </w:tc>
        <w:tc>
          <w:tcPr>
            <w:tcW w:w="1559" w:type="dxa"/>
            <w:hideMark/>
          </w:tcPr>
          <w:p w14:paraId="4789A305" w14:textId="77777777" w:rsidR="009E3A88" w:rsidRDefault="009E3A88">
            <w:pPr>
              <w:rPr>
                <w:rFonts w:eastAsia="Times New Roman"/>
                <w:sz w:val="24"/>
                <w:szCs w:val="24"/>
              </w:rPr>
            </w:pPr>
            <w:r>
              <w:rPr>
                <w:rFonts w:eastAsia="Times New Roman"/>
              </w:rPr>
              <w:t>Yes</w:t>
            </w:r>
          </w:p>
        </w:tc>
        <w:tc>
          <w:tcPr>
            <w:tcW w:w="1701" w:type="dxa"/>
            <w:hideMark/>
          </w:tcPr>
          <w:p w14:paraId="063FD00F" w14:textId="77777777" w:rsidR="009E3A88" w:rsidRDefault="009E3A88">
            <w:pPr>
              <w:rPr>
                <w:rFonts w:eastAsia="Times New Roman"/>
                <w:sz w:val="24"/>
                <w:szCs w:val="24"/>
              </w:rPr>
            </w:pPr>
            <w:r>
              <w:rPr>
                <w:rFonts w:eastAsia="Times New Roman"/>
              </w:rPr>
              <w:t>Yes</w:t>
            </w:r>
          </w:p>
        </w:tc>
        <w:tc>
          <w:tcPr>
            <w:tcW w:w="1276" w:type="dxa"/>
            <w:hideMark/>
          </w:tcPr>
          <w:p w14:paraId="591D8FBD" w14:textId="77777777" w:rsidR="009E3A88" w:rsidRDefault="009E3A88">
            <w:pPr>
              <w:rPr>
                <w:rFonts w:eastAsia="Times New Roman"/>
                <w:sz w:val="24"/>
                <w:szCs w:val="24"/>
              </w:rPr>
            </w:pPr>
            <w:r>
              <w:rPr>
                <w:rFonts w:eastAsia="Times New Roman"/>
              </w:rPr>
              <w:t>41.9</w:t>
            </w:r>
          </w:p>
        </w:tc>
        <w:tc>
          <w:tcPr>
            <w:tcW w:w="1395" w:type="dxa"/>
            <w:hideMark/>
          </w:tcPr>
          <w:p w14:paraId="5E2019A7" w14:textId="77777777" w:rsidR="009E3A88" w:rsidRDefault="009E3A88">
            <w:pPr>
              <w:rPr>
                <w:rFonts w:eastAsia="Times New Roman"/>
                <w:sz w:val="24"/>
                <w:szCs w:val="24"/>
              </w:rPr>
            </w:pPr>
            <w:r>
              <w:rPr>
                <w:rFonts w:eastAsia="Times New Roman"/>
              </w:rPr>
              <w:t>56.4</w:t>
            </w:r>
          </w:p>
        </w:tc>
        <w:tc>
          <w:tcPr>
            <w:tcW w:w="0" w:type="auto"/>
            <w:hideMark/>
          </w:tcPr>
          <w:p w14:paraId="10850D43" w14:textId="77777777" w:rsidR="009E3A88" w:rsidRDefault="009E3A88">
            <w:pPr>
              <w:rPr>
                <w:rFonts w:eastAsia="Times New Roman"/>
                <w:sz w:val="24"/>
                <w:szCs w:val="24"/>
              </w:rPr>
            </w:pPr>
            <w:r>
              <w:rPr>
                <w:rFonts w:eastAsia="Times New Roman"/>
              </w:rPr>
              <w:t>1.8</w:t>
            </w:r>
          </w:p>
        </w:tc>
      </w:tr>
      <w:tr w:rsidR="00481FA0" w14:paraId="3B5DE810" w14:textId="77777777" w:rsidTr="00481FA0">
        <w:tblPrEx>
          <w:tblCellMar>
            <w:top w:w="0" w:type="dxa"/>
            <w:left w:w="108" w:type="dxa"/>
            <w:bottom w:w="0" w:type="dxa"/>
            <w:right w:w="108" w:type="dxa"/>
          </w:tblCellMar>
        </w:tblPrEx>
        <w:tc>
          <w:tcPr>
            <w:tcW w:w="0" w:type="auto"/>
            <w:hideMark/>
          </w:tcPr>
          <w:p w14:paraId="3AA96949" w14:textId="77777777" w:rsidR="009E3A88" w:rsidRDefault="009E3A88">
            <w:pPr>
              <w:rPr>
                <w:rFonts w:eastAsia="Times New Roman"/>
                <w:sz w:val="24"/>
                <w:szCs w:val="24"/>
              </w:rPr>
            </w:pPr>
            <w:r>
              <w:rPr>
                <w:rFonts w:eastAsia="Times New Roman"/>
              </w:rPr>
              <w:t>Australian Capital Territory</w:t>
            </w:r>
          </w:p>
        </w:tc>
        <w:tc>
          <w:tcPr>
            <w:tcW w:w="1395" w:type="dxa"/>
            <w:hideMark/>
          </w:tcPr>
          <w:p w14:paraId="1038E76B" w14:textId="77777777" w:rsidR="009E3A88" w:rsidRDefault="009E3A88">
            <w:pPr>
              <w:rPr>
                <w:rFonts w:eastAsia="Times New Roman"/>
                <w:sz w:val="24"/>
                <w:szCs w:val="24"/>
              </w:rPr>
            </w:pPr>
            <w:r>
              <w:rPr>
                <w:rFonts w:eastAsia="Times New Roman"/>
              </w:rPr>
              <w:t>2006</w:t>
            </w:r>
          </w:p>
        </w:tc>
        <w:tc>
          <w:tcPr>
            <w:tcW w:w="1559" w:type="dxa"/>
            <w:hideMark/>
          </w:tcPr>
          <w:p w14:paraId="7212BBCD" w14:textId="77777777" w:rsidR="009E3A88" w:rsidRDefault="009E3A88">
            <w:pPr>
              <w:rPr>
                <w:rFonts w:eastAsia="Times New Roman"/>
                <w:sz w:val="24"/>
                <w:szCs w:val="24"/>
              </w:rPr>
            </w:pPr>
            <w:r>
              <w:rPr>
                <w:rFonts w:eastAsia="Times New Roman"/>
              </w:rPr>
              <w:t>Yes</w:t>
            </w:r>
          </w:p>
        </w:tc>
        <w:tc>
          <w:tcPr>
            <w:tcW w:w="1701" w:type="dxa"/>
            <w:hideMark/>
          </w:tcPr>
          <w:p w14:paraId="53BB8FB2" w14:textId="77777777" w:rsidR="009E3A88" w:rsidRDefault="009E3A88">
            <w:pPr>
              <w:rPr>
                <w:rFonts w:eastAsia="Times New Roman"/>
                <w:sz w:val="24"/>
                <w:szCs w:val="24"/>
              </w:rPr>
            </w:pPr>
            <w:r>
              <w:rPr>
                <w:rFonts w:eastAsia="Times New Roman"/>
              </w:rPr>
              <w:t>No</w:t>
            </w:r>
          </w:p>
        </w:tc>
        <w:tc>
          <w:tcPr>
            <w:tcW w:w="1276" w:type="dxa"/>
            <w:hideMark/>
          </w:tcPr>
          <w:p w14:paraId="5D8492FA" w14:textId="77777777" w:rsidR="009E3A88" w:rsidRDefault="009E3A88">
            <w:pPr>
              <w:rPr>
                <w:rFonts w:eastAsia="Times New Roman"/>
                <w:sz w:val="24"/>
                <w:szCs w:val="24"/>
              </w:rPr>
            </w:pPr>
            <w:r>
              <w:rPr>
                <w:rFonts w:eastAsia="Times New Roman"/>
              </w:rPr>
              <w:t>12.7</w:t>
            </w:r>
          </w:p>
        </w:tc>
        <w:tc>
          <w:tcPr>
            <w:tcW w:w="1395" w:type="dxa"/>
            <w:hideMark/>
          </w:tcPr>
          <w:p w14:paraId="42076F91" w14:textId="77777777" w:rsidR="009E3A88" w:rsidRDefault="009E3A88">
            <w:pPr>
              <w:rPr>
                <w:rFonts w:eastAsia="Times New Roman"/>
                <w:sz w:val="24"/>
                <w:szCs w:val="24"/>
              </w:rPr>
            </w:pPr>
            <w:r>
              <w:rPr>
                <w:rFonts w:eastAsia="Times New Roman"/>
              </w:rPr>
              <w:t>26.5</w:t>
            </w:r>
          </w:p>
        </w:tc>
        <w:tc>
          <w:tcPr>
            <w:tcW w:w="0" w:type="auto"/>
            <w:hideMark/>
          </w:tcPr>
          <w:p w14:paraId="324FD2FC" w14:textId="77777777" w:rsidR="009E3A88" w:rsidRDefault="009E3A88">
            <w:pPr>
              <w:rPr>
                <w:rFonts w:eastAsia="Times New Roman"/>
                <w:sz w:val="24"/>
                <w:szCs w:val="24"/>
              </w:rPr>
            </w:pPr>
            <w:r>
              <w:rPr>
                <w:rFonts w:eastAsia="Times New Roman"/>
              </w:rPr>
              <w:t>60.7</w:t>
            </w:r>
          </w:p>
        </w:tc>
      </w:tr>
      <w:tr w:rsidR="00481FA0" w14:paraId="4ABBB214" w14:textId="77777777" w:rsidTr="00481FA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C9C717A" w14:textId="77777777" w:rsidR="009E3A88" w:rsidRDefault="009E3A88">
            <w:pPr>
              <w:rPr>
                <w:rFonts w:eastAsia="Times New Roman"/>
                <w:sz w:val="24"/>
                <w:szCs w:val="24"/>
              </w:rPr>
            </w:pPr>
            <w:r>
              <w:rPr>
                <w:rFonts w:eastAsia="Times New Roman"/>
              </w:rPr>
              <w:t>National</w:t>
            </w:r>
          </w:p>
        </w:tc>
        <w:tc>
          <w:tcPr>
            <w:tcW w:w="1395" w:type="dxa"/>
            <w:hideMark/>
          </w:tcPr>
          <w:p w14:paraId="38BA099F" w14:textId="77777777" w:rsidR="009E3A88" w:rsidRDefault="009E3A88">
            <w:pPr>
              <w:rPr>
                <w:rFonts w:eastAsia="Times New Roman"/>
                <w:sz w:val="24"/>
                <w:szCs w:val="24"/>
              </w:rPr>
            </w:pPr>
            <w:r>
              <w:rPr>
                <w:rFonts w:eastAsia="Times New Roman"/>
              </w:rPr>
              <w:t>2006</w:t>
            </w:r>
          </w:p>
        </w:tc>
        <w:tc>
          <w:tcPr>
            <w:tcW w:w="1559" w:type="dxa"/>
            <w:hideMark/>
          </w:tcPr>
          <w:p w14:paraId="540FEA5C" w14:textId="77777777" w:rsidR="009E3A88" w:rsidRDefault="009E3A88">
            <w:pPr>
              <w:rPr>
                <w:rFonts w:eastAsia="Times New Roman"/>
                <w:sz w:val="24"/>
                <w:szCs w:val="24"/>
              </w:rPr>
            </w:pPr>
            <w:r>
              <w:rPr>
                <w:rFonts w:eastAsia="Times New Roman"/>
              </w:rPr>
              <w:t>-</w:t>
            </w:r>
          </w:p>
        </w:tc>
        <w:tc>
          <w:tcPr>
            <w:tcW w:w="1701" w:type="dxa"/>
            <w:hideMark/>
          </w:tcPr>
          <w:p w14:paraId="019E9DD9" w14:textId="77777777" w:rsidR="009E3A88" w:rsidRDefault="009E3A88">
            <w:pPr>
              <w:rPr>
                <w:rFonts w:eastAsia="Times New Roman"/>
                <w:sz w:val="24"/>
                <w:szCs w:val="24"/>
              </w:rPr>
            </w:pPr>
            <w:r>
              <w:rPr>
                <w:rFonts w:eastAsia="Times New Roman"/>
              </w:rPr>
              <w:t>-</w:t>
            </w:r>
          </w:p>
        </w:tc>
        <w:tc>
          <w:tcPr>
            <w:tcW w:w="1276" w:type="dxa"/>
            <w:hideMark/>
          </w:tcPr>
          <w:p w14:paraId="3D1A39D1" w14:textId="77777777" w:rsidR="009E3A88" w:rsidRDefault="009E3A88">
            <w:pPr>
              <w:rPr>
                <w:rFonts w:eastAsia="Times New Roman"/>
                <w:sz w:val="24"/>
                <w:szCs w:val="24"/>
              </w:rPr>
            </w:pPr>
            <w:r>
              <w:rPr>
                <w:rFonts w:eastAsia="Times New Roman"/>
              </w:rPr>
              <w:t>14.1</w:t>
            </w:r>
          </w:p>
        </w:tc>
        <w:tc>
          <w:tcPr>
            <w:tcW w:w="1395" w:type="dxa"/>
            <w:hideMark/>
          </w:tcPr>
          <w:p w14:paraId="3228D24E" w14:textId="77777777" w:rsidR="009E3A88" w:rsidRDefault="009E3A88">
            <w:pPr>
              <w:rPr>
                <w:rFonts w:eastAsia="Times New Roman"/>
                <w:sz w:val="24"/>
                <w:szCs w:val="24"/>
              </w:rPr>
            </w:pPr>
            <w:r>
              <w:rPr>
                <w:rFonts w:eastAsia="Times New Roman"/>
              </w:rPr>
              <w:t>26.3</w:t>
            </w:r>
          </w:p>
        </w:tc>
        <w:tc>
          <w:tcPr>
            <w:tcW w:w="0" w:type="auto"/>
            <w:hideMark/>
          </w:tcPr>
          <w:p w14:paraId="6318D54C" w14:textId="77777777" w:rsidR="009E3A88" w:rsidRDefault="009E3A88">
            <w:pPr>
              <w:rPr>
                <w:rFonts w:eastAsia="Times New Roman"/>
                <w:sz w:val="24"/>
                <w:szCs w:val="24"/>
              </w:rPr>
            </w:pPr>
            <w:r>
              <w:rPr>
                <w:rFonts w:eastAsia="Times New Roman"/>
              </w:rPr>
              <w:t>59.6</w:t>
            </w:r>
          </w:p>
        </w:tc>
      </w:tr>
    </w:tbl>
    <w:p w14:paraId="1DAB9191" w14:textId="77777777" w:rsidR="009E3A88" w:rsidRDefault="009E3A88">
      <w:pPr>
        <w:pStyle w:val="NormalWeb"/>
      </w:pPr>
    </w:p>
    <w:p w14:paraId="59FC3B85" w14:textId="77777777" w:rsidR="009E3A88" w:rsidRDefault="009E3A88" w:rsidP="00530646">
      <w:r>
        <w:t>National case definitions exist for varicella-zoster infection (chickenpox), varicella-zoster infection (shingles) and varicella-zoster infection (not elsewhere classified).</w:t>
      </w:r>
      <w:r>
        <w:rPr>
          <w:vertAlign w:val="superscript"/>
        </w:rPr>
        <w:t>19</w:t>
      </w:r>
      <w:r w:rsidR="009A580B">
        <w:rPr>
          <w:vertAlign w:val="superscript"/>
        </w:rPr>
        <w:t xml:space="preserve"> </w:t>
      </w:r>
      <w:r>
        <w:t xml:space="preserve"> For chickenpox and shingles, confirmed and probable cases are required to be notified. Confirmed cases of shingles (HZ) and chickenpox (varicella) require laboratory definitive evidence and clinical evidence. Laboratory confirmation requires detection of VZV from a skin or lesion swab, or VZV-specific IgM in an unvaccinated person (for varicella). In case of varicella, a case is considered confirmed if clinical and epidemiological evidence of disease is available. For probable cases of chickenpox and shingles, clinical evidence of disease is sufficient. Varicella-zoster infection (not elsewhere classified) requires only laboratory confirmed definitive evidence of VZV.</w:t>
      </w:r>
      <w:r>
        <w:rPr>
          <w:vertAlign w:val="superscript"/>
        </w:rPr>
        <w:t>19</w:t>
      </w:r>
    </w:p>
    <w:p w14:paraId="3C8440F9" w14:textId="77777777" w:rsidR="009E3A88" w:rsidRDefault="009E3A88" w:rsidP="00530646">
      <w:r>
        <w:t>Notification data for the years 2006 to 2015 were sourced from the NNDSS database. South Australian notification data for the years 2002 to 2005 were sourced from the South Australian Department for Health and Ageing. Analysis of notification data was restricted to South Australia and Northern Territory, as these are the only jurisdictions that routinely follow up laboratory notifications of VZV infection for clinical and/or epidemiological evidence and had a low proportion of ‘not elsewhere classified’ notifications (Table 1).</w:t>
      </w:r>
    </w:p>
    <w:p w14:paraId="38BD5A43" w14:textId="77777777" w:rsidR="009E3A88" w:rsidRPr="00530646" w:rsidRDefault="009E3A88" w:rsidP="00530646">
      <w:pPr>
        <w:pStyle w:val="Heading3"/>
      </w:pPr>
      <w:r w:rsidRPr="00530646">
        <w:lastRenderedPageBreak/>
        <w:t>Hospitalisation data</w:t>
      </w:r>
    </w:p>
    <w:p w14:paraId="533C92F5" w14:textId="77777777" w:rsidR="009E3A88" w:rsidRDefault="009E3A88" w:rsidP="00530646">
      <w:r>
        <w:t>We obtained national data from the Australian Institute of Health and Welfare (AIHW) National Hospital Morbidity Database. All hospital admissions (public and private) in Australia are captured through this administrative database which collects demographic and clinical details. All eligible hospitalisations between 1 January 1999 and 31</w:t>
      </w:r>
      <w:r w:rsidR="00597C17">
        <w:t> </w:t>
      </w:r>
      <w:r>
        <w:t>December 2013 were identified using the International Statistical Classification of Diseases, 10</w:t>
      </w:r>
      <w:r>
        <w:rPr>
          <w:vertAlign w:val="superscript"/>
        </w:rPr>
        <w:t>th</w:t>
      </w:r>
      <w:r>
        <w:t xml:space="preserve"> Revision, Australian Modification (ICD-10-AM) codes B01.0-B01.9 (varicella or its complications), B02.0-B02.9 (HZ or its complications), where listed as the principal or other diagnosis. Cases of PHN were identified using ICD-10-AM codes B02.2 (PHN), G53.0 (PHN under cranial nerve disorders) and G53.1 (multiple cranial nerve palsies in infectious and parasitic diseases classified elsewhere).</w:t>
      </w:r>
    </w:p>
    <w:p w14:paraId="55DE99F1" w14:textId="77777777" w:rsidR="009E3A88" w:rsidRPr="00530646" w:rsidRDefault="009E3A88" w:rsidP="00530646">
      <w:pPr>
        <w:pStyle w:val="Heading3"/>
      </w:pPr>
      <w:r w:rsidRPr="00530646">
        <w:t>Mortality data</w:t>
      </w:r>
    </w:p>
    <w:p w14:paraId="57C4A3B1" w14:textId="77777777" w:rsidR="009E3A88" w:rsidRDefault="009E3A88" w:rsidP="00530646">
      <w:r>
        <w:t>Mortality data were obtained from the AIHW’s National Mortality Database (1998-2005) and the Australian Coordinating Registry (2006-2013). We restricted analysis to underlying cause of death (UCOD), which was identified using ICD-10-AM codes B01.0-B01.9 (varicella) and B02.0-B02.9 (herpes zoster). Age-specific analyses were limited due to the small cell size rule applied by the data custodians. In addition, as the positive predictive value for varicella coded deaths is known to be poor and due to issues of misclassification of HZ and varicella,</w:t>
      </w:r>
      <w:r>
        <w:rPr>
          <w:vertAlign w:val="superscript"/>
        </w:rPr>
        <w:t>20</w:t>
      </w:r>
      <w:r>
        <w:t xml:space="preserve"> we restricted analyses to persons aged &lt;40 and ≥40 years for varicella and HZ associated deaths, respectively.</w:t>
      </w:r>
    </w:p>
    <w:p w14:paraId="2DC8A1C8" w14:textId="77777777" w:rsidR="009E3A88" w:rsidRPr="00530646" w:rsidRDefault="009E3A88" w:rsidP="00530646">
      <w:pPr>
        <w:pStyle w:val="Heading3"/>
      </w:pPr>
      <w:r w:rsidRPr="00530646">
        <w:t>Population estimates</w:t>
      </w:r>
    </w:p>
    <w:p w14:paraId="04F33F64" w14:textId="77777777" w:rsidR="009E3A88" w:rsidRDefault="009E3A88" w:rsidP="00530646">
      <w:r>
        <w:t xml:space="preserve">National, </w:t>
      </w:r>
      <w:proofErr w:type="gramStart"/>
      <w:r>
        <w:t>jurisdictional</w:t>
      </w:r>
      <w:proofErr w:type="gramEnd"/>
      <w:r>
        <w:t xml:space="preserve"> and age-specific mid-year resident population estimates were obtained from the Australian Bureau of Statistics (ABS).</w:t>
      </w:r>
    </w:p>
    <w:p w14:paraId="02D3889E" w14:textId="77777777" w:rsidR="009E3A88" w:rsidRDefault="009E3A88">
      <w:pPr>
        <w:pStyle w:val="Heading3"/>
        <w:rPr>
          <w:rFonts w:eastAsia="Times New Roman"/>
        </w:rPr>
      </w:pPr>
      <w:r>
        <w:rPr>
          <w:rFonts w:eastAsia="Times New Roman"/>
        </w:rPr>
        <w:t>Data analysis</w:t>
      </w:r>
    </w:p>
    <w:p w14:paraId="082CCC1A" w14:textId="77777777" w:rsidR="009E3A88" w:rsidRDefault="009E3A88" w:rsidP="00530646">
      <w:r>
        <w:t>Annual crude and age-specific rates were calculated using ABS mid-year population estimates as the denominator and are expressed as rates per 100,000 total population or population in sex, geographical or Aboriginal and Torres Strait Islander (from here on referred to as Indigenous) subgroups as appropriate. Reported rates refer to hospitalisations where the relevant condition was coded as the principal diagnosis, unless otherwise stated.</w:t>
      </w:r>
    </w:p>
    <w:p w14:paraId="399EA57D" w14:textId="77777777" w:rsidR="009E3A88" w:rsidRDefault="009E3A88" w:rsidP="00530646">
      <w:r>
        <w:t>We calculated varicella and HZ notification and hospitalisation rates for the period 1999 to 2015. To assess changes in disease epidemiology following introduction of the national varicella immunisation program, we undertook comparative analyses over two time periods: pre-vaccine (1999-2004) and post-vaccine (2007-2015). Analysis of HZ hospitalisation rates for older age groups was restricted to non-Indigenous populations as age-specific counts for Indigenous persons were unavailable for persons aged ≥75 years for the latter years of the study period.</w:t>
      </w:r>
    </w:p>
    <w:p w14:paraId="163F850B" w14:textId="77777777" w:rsidR="009E3A88" w:rsidRDefault="009E3A88" w:rsidP="00530646">
      <w:r>
        <w:t xml:space="preserve">Summary statistics including </w:t>
      </w:r>
      <w:proofErr w:type="gramStart"/>
      <w:r>
        <w:t>median</w:t>
      </w:r>
      <w:proofErr w:type="gramEnd"/>
      <w:r>
        <w:t xml:space="preserve"> and range were calculated for length of hospital stay. </w:t>
      </w:r>
      <w:r>
        <w:rPr>
          <w:rStyle w:val="Emphasis"/>
        </w:rPr>
        <w:t>P</w:t>
      </w:r>
      <w:r>
        <w:t xml:space="preserve">-values were derived using the Wilcoxon-Mann-Whitney test. Incidence rates and 95% confidence intervals (CI) were calculated for the total population, non-Indigenous and Indigenous populations at the national level and relevant jurisdictional groupings, as indicated, assuming a negative binomial distribution. Negative binomial regression was used to analyse yearly trends in rates of hospitalisation and calculate the incidence rate ratios (IRR). All analyses were conducted using Microsoft Excel 2010 and STATA software (version 13.1; </w:t>
      </w:r>
      <w:proofErr w:type="spellStart"/>
      <w:r>
        <w:t>StataCorp</w:t>
      </w:r>
      <w:proofErr w:type="spellEnd"/>
      <w:r>
        <w:t>, College Station, Texas USA).</w:t>
      </w:r>
    </w:p>
    <w:p w14:paraId="1DDFBCFB" w14:textId="77777777" w:rsidR="009E3A88" w:rsidRDefault="009E3A88">
      <w:pPr>
        <w:pStyle w:val="Heading3"/>
        <w:rPr>
          <w:rFonts w:eastAsia="Times New Roman"/>
        </w:rPr>
      </w:pPr>
      <w:r>
        <w:rPr>
          <w:rFonts w:eastAsia="Times New Roman"/>
        </w:rPr>
        <w:t>Indigenous hospitalisation data</w:t>
      </w:r>
    </w:p>
    <w:p w14:paraId="2B61B5B0" w14:textId="77777777" w:rsidR="009E3A88" w:rsidRDefault="009E3A88" w:rsidP="00530646">
      <w:r>
        <w:t xml:space="preserve">We restricted analyses to the four jurisdictions (Queensland, Western Australia, South </w:t>
      </w:r>
      <w:proofErr w:type="gramStart"/>
      <w:r>
        <w:t>Australia</w:t>
      </w:r>
      <w:proofErr w:type="gramEnd"/>
      <w:r>
        <w:t xml:space="preserve"> and Northern Territory) with adequate</w:t>
      </w:r>
      <w:r>
        <w:rPr>
          <w:rStyle w:val="Emphasis"/>
        </w:rPr>
        <w:t xml:space="preserve"> </w:t>
      </w:r>
      <w:r>
        <w:t>Indigenous data quality prior to 2007</w:t>
      </w:r>
      <w:r w:rsidR="009A580B">
        <w:t>,</w:t>
      </w:r>
      <w:r w:rsidR="009A580B">
        <w:rPr>
          <w:vertAlign w:val="superscript"/>
        </w:rPr>
        <w:t xml:space="preserve"> 21</w:t>
      </w:r>
      <w:r>
        <w:t xml:space="preserve"> with supplementary analyses incorporating data from New South Wales and Victoria for the years 2007 to 2013. Hospitalisations with missing information on state of residence (&lt;1% of total) were excluded.</w:t>
      </w:r>
    </w:p>
    <w:p w14:paraId="5E83E5DF" w14:textId="77777777" w:rsidR="009E3A88" w:rsidRDefault="009E3A88" w:rsidP="00530646">
      <w:r>
        <w:t>Ethics approval was not required as de-identified aggregated population-based data were used for routine public health surveillance purposes only.</w:t>
      </w:r>
    </w:p>
    <w:p w14:paraId="05167A0D" w14:textId="77777777" w:rsidR="00647E9E" w:rsidRDefault="00647E9E">
      <w:pPr>
        <w:rPr>
          <w:rFonts w:asciiTheme="majorHAnsi" w:eastAsiaTheme="majorEastAsia" w:hAnsiTheme="majorHAnsi" w:cstheme="majorBidi"/>
          <w:b/>
          <w:bCs/>
          <w:sz w:val="26"/>
          <w:szCs w:val="26"/>
        </w:rPr>
      </w:pPr>
      <w:r>
        <w:br w:type="page"/>
      </w:r>
    </w:p>
    <w:p w14:paraId="4A54F6A0" w14:textId="77777777" w:rsidR="009E3A88" w:rsidRPr="00530646" w:rsidRDefault="009E3A88" w:rsidP="00530646">
      <w:pPr>
        <w:pStyle w:val="Heading2"/>
      </w:pPr>
      <w:r w:rsidRPr="00530646">
        <w:lastRenderedPageBreak/>
        <w:t>Results</w:t>
      </w:r>
    </w:p>
    <w:p w14:paraId="388630EA" w14:textId="77777777" w:rsidR="009E3A88" w:rsidRDefault="009E3A88">
      <w:pPr>
        <w:pStyle w:val="Heading3"/>
        <w:rPr>
          <w:rFonts w:eastAsia="Times New Roman"/>
        </w:rPr>
      </w:pPr>
      <w:r>
        <w:rPr>
          <w:rFonts w:eastAsia="Times New Roman"/>
        </w:rPr>
        <w:t>Notifications of varicella and herpes zoster</w:t>
      </w:r>
    </w:p>
    <w:p w14:paraId="0F0F6437" w14:textId="77777777" w:rsidR="009E3A88" w:rsidRPr="00530646" w:rsidRDefault="009E3A88" w:rsidP="00530646">
      <w:pPr>
        <w:pStyle w:val="Heading4"/>
      </w:pPr>
      <w:r w:rsidRPr="00530646">
        <w:t>Varicella</w:t>
      </w:r>
    </w:p>
    <w:p w14:paraId="5C845856" w14:textId="77777777" w:rsidR="009E3A88" w:rsidRDefault="009E3A88" w:rsidP="00530646">
      <w:r>
        <w:t>Varicella notification rates in South Australia declined from 41.8 per 100,000 (95% CI 38.6–45.2) in 2002 to 26.3 per 100,000 (95% CI 23.4–28.9) in 2015 (Figure 1A). Varicella notification rates in the Northern Territory reduced from 92.3 per 100,000 (95% CI 79.8–106.3) in 2006 to 48.2 per 100,000 (95% CI 39.4–57.8) in 2015.</w:t>
      </w:r>
    </w:p>
    <w:p w14:paraId="5C3DCA96" w14:textId="77777777" w:rsidR="009E3A88" w:rsidRPr="00530646" w:rsidRDefault="009E3A88">
      <w:pPr>
        <w:pStyle w:val="NormalWeb"/>
        <w:divId w:val="1134836914"/>
        <w:rPr>
          <w:b/>
        </w:rPr>
      </w:pPr>
      <w:r w:rsidRPr="00530646">
        <w:rPr>
          <w:b/>
        </w:rPr>
        <w:t>Figure 1: Notification rates for varicella by jurisdiction [South Australia (SA) and Northern Territory (NT)] (A) and age group (B and C), 2002- 2015</w:t>
      </w:r>
    </w:p>
    <w:p w14:paraId="4991B32F" w14:textId="77777777" w:rsidR="009E3A88" w:rsidRDefault="009E3A88">
      <w:pPr>
        <w:pStyle w:val="NormalWeb"/>
        <w:divId w:val="1134836914"/>
      </w:pPr>
      <w:r>
        <w:rPr>
          <w:noProof/>
        </w:rPr>
        <w:drawing>
          <wp:inline distT="0" distB="0" distL="0" distR="0" wp14:anchorId="216276C9" wp14:editId="5128B4F1">
            <wp:extent cx="5809992" cy="3932261"/>
            <wp:effectExtent l="0" t="0" r="635" b="0"/>
            <wp:docPr id="1" name="Picture 1" descr="Figure 1a is a trend graph showing notification rates per 100,000 populations for varicella in South Australia and the Northern Territory for the years 2002 to 2015.&#10;• There was a decline in notifications rates for varicella following the introduction of a nationally funded varicella vaccine in 2005.&#10;" title="Figure 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aging\CDESS\ZoFE\CDI\Desktopping\OpenCDI\OpenCDI-2018-volume\2-Sheel - Australian vaccine preventable disease\DOCx Export\table-web-resources\image\f1a.pn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809992" cy="3932261"/>
                    </a:xfrm>
                    <a:prstGeom prst="rect">
                      <a:avLst/>
                    </a:prstGeom>
                    <a:noFill/>
                    <a:ln>
                      <a:noFill/>
                    </a:ln>
                  </pic:spPr>
                </pic:pic>
              </a:graphicData>
            </a:graphic>
          </wp:inline>
        </w:drawing>
      </w:r>
    </w:p>
    <w:p w14:paraId="7593F1FB" w14:textId="77777777" w:rsidR="009E3A88" w:rsidRPr="004455F6" w:rsidRDefault="009E3A88" w:rsidP="004455F6">
      <w:pPr>
        <w:pStyle w:val="NormalWeb"/>
        <w:jc w:val="center"/>
        <w:divId w:val="1134836914"/>
        <w:rPr>
          <w:b/>
        </w:rPr>
      </w:pPr>
      <w:r w:rsidRPr="004455F6">
        <w:rPr>
          <w:b/>
        </w:rPr>
        <w:t>(A)</w:t>
      </w:r>
    </w:p>
    <w:p w14:paraId="47B71734" w14:textId="77777777" w:rsidR="009E3A88" w:rsidRDefault="009E3A88">
      <w:pPr>
        <w:pStyle w:val="NormalWeb"/>
        <w:divId w:val="1134836914"/>
      </w:pPr>
      <w:r>
        <w:rPr>
          <w:noProof/>
        </w:rPr>
        <w:lastRenderedPageBreak/>
        <w:drawing>
          <wp:inline distT="0" distB="0" distL="0" distR="0" wp14:anchorId="5973B3CA" wp14:editId="54EF9FE7">
            <wp:extent cx="5809992" cy="3792041"/>
            <wp:effectExtent l="0" t="0" r="635" b="0"/>
            <wp:docPr id="2" name="Picture 2" descr="Figure 1b is a trend graph showing notification rates per 100,000 populations for varicella in South Australia by age groups for the years 2002 to 2015.&#10;• There was a decline in notifications rates for varicella following the introduction of a nationally funded varicella vaccine in 2005. Most noticeable decrease was observed in children aged 0-4 years and 5-9 years." title="Figure 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taging\CDESS\ZoFE\CDI\Desktopping\OpenCDI\OpenCDI-2018-volume\2-Sheel - Australian vaccine preventable disease\DOCx Export\table-web-resources\image\f1b.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809992" cy="3792041"/>
                    </a:xfrm>
                    <a:prstGeom prst="rect">
                      <a:avLst/>
                    </a:prstGeom>
                    <a:noFill/>
                    <a:ln>
                      <a:noFill/>
                    </a:ln>
                  </pic:spPr>
                </pic:pic>
              </a:graphicData>
            </a:graphic>
          </wp:inline>
        </w:drawing>
      </w:r>
    </w:p>
    <w:p w14:paraId="56020AD1" w14:textId="77777777" w:rsidR="009E3A88" w:rsidRPr="004455F6" w:rsidRDefault="009E3A88" w:rsidP="004455F6">
      <w:pPr>
        <w:pStyle w:val="NormalWeb"/>
        <w:jc w:val="center"/>
        <w:divId w:val="1134836914"/>
        <w:rPr>
          <w:b/>
        </w:rPr>
      </w:pPr>
      <w:r w:rsidRPr="004455F6">
        <w:rPr>
          <w:b/>
        </w:rPr>
        <w:t>(B)</w:t>
      </w:r>
    </w:p>
    <w:p w14:paraId="2765E778" w14:textId="77777777" w:rsidR="006E3394" w:rsidRDefault="009E3A88">
      <w:pPr>
        <w:pStyle w:val="NormalWeb"/>
        <w:divId w:val="1134836914"/>
      </w:pPr>
      <w:r>
        <w:rPr>
          <w:noProof/>
        </w:rPr>
        <w:drawing>
          <wp:inline distT="0" distB="0" distL="0" distR="0" wp14:anchorId="46C5441E" wp14:editId="3F8DA22D">
            <wp:extent cx="6072142" cy="4224894"/>
            <wp:effectExtent l="0" t="0" r="5080" b="4445"/>
            <wp:docPr id="3" name="Picture 3" descr="Figure 1c is a trend graph showing notification rates per 100,000 populations for varicella in the Northern Territory by age groups for the years 2006 to 2015." title="Figure 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taging\CDESS\ZoFE\CDI\Desktopping\OpenCDI\OpenCDI-2018-volume\2-Sheel - Australian vaccine preventable disease\DOCx Export\table-web-resources\image\f1c.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072142" cy="4224894"/>
                    </a:xfrm>
                    <a:prstGeom prst="rect">
                      <a:avLst/>
                    </a:prstGeom>
                    <a:noFill/>
                    <a:ln>
                      <a:noFill/>
                    </a:ln>
                  </pic:spPr>
                </pic:pic>
              </a:graphicData>
            </a:graphic>
          </wp:inline>
        </w:drawing>
      </w:r>
    </w:p>
    <w:p w14:paraId="0B6D9D85" w14:textId="77777777" w:rsidR="009E3A88" w:rsidRPr="004455F6" w:rsidRDefault="009E3A88" w:rsidP="004455F6">
      <w:pPr>
        <w:pStyle w:val="NormalWeb"/>
        <w:jc w:val="center"/>
        <w:divId w:val="1134836914"/>
        <w:rPr>
          <w:b/>
        </w:rPr>
      </w:pPr>
      <w:r w:rsidRPr="004455F6">
        <w:rPr>
          <w:b/>
        </w:rPr>
        <w:t>(C)</w:t>
      </w:r>
    </w:p>
    <w:p w14:paraId="0740B044" w14:textId="77777777" w:rsidR="009E3A88" w:rsidRDefault="009E3A88" w:rsidP="00530646">
      <w:r>
        <w:lastRenderedPageBreak/>
        <w:t xml:space="preserve">Declines in age-specific varicella notification rates were observed in both South Australia and the Northern Territory (Figures 1B and 1C). In South Australia, varicella notification rates in persons aged 0-4 years reduced by 63% during the post-vaccine (2007-2015) period (IRR 0.37; 95% CI 0.23-0.59). Reduced varicella notification rates were also observed in other age groups &lt;40 years during the post-vaccine </w:t>
      </w:r>
      <w:r w:rsidR="00530646">
        <w:t>period.</w:t>
      </w:r>
    </w:p>
    <w:p w14:paraId="57B6D5FA" w14:textId="77777777" w:rsidR="009E3A88" w:rsidRPr="00530646" w:rsidRDefault="009E3A88" w:rsidP="00530646">
      <w:pPr>
        <w:pStyle w:val="Heading4"/>
      </w:pPr>
      <w:r w:rsidRPr="00530646">
        <w:t>Herpes zoster</w:t>
      </w:r>
    </w:p>
    <w:p w14:paraId="1C3BB748" w14:textId="77777777" w:rsidR="0041626C" w:rsidRPr="00572913" w:rsidRDefault="009E3A88">
      <w:r>
        <w:t>In contrast to varicella, HZ notification rates increased over time in both South Australia and in the Northern Territory (Figure 2A). In South Australia, HZ notification rates increased steadily from 23.1 per 100,000 (95% CI 20.7–25.6) in 2002 to 136.9 per 100,000 (95% CI 131.4–142.6) in 2015. In the Northern Territory, HZ notification rates increased from 38.2 per 100,000 (95%CI 30.3–47.6) in 2006 to 148.4 per 100,000 (95% CI 133.5–164.5) in 2015. Similar trends were also observed in age-specific rates with the highest incidence in persons aged ≥70 years, both in South Australia and the Northern Territory (Figures 2B and 2C). Fluctuations in notification rates in the Northern Territory are likely to be associated with its small population size, especially in older age groups.</w:t>
      </w:r>
    </w:p>
    <w:p w14:paraId="39F3085E" w14:textId="77777777" w:rsidR="009E3A88" w:rsidRPr="00530646" w:rsidRDefault="009E3A88">
      <w:pPr>
        <w:pStyle w:val="NormalWeb"/>
        <w:divId w:val="176579035"/>
        <w:rPr>
          <w:b/>
        </w:rPr>
      </w:pPr>
      <w:r w:rsidRPr="00530646">
        <w:rPr>
          <w:b/>
        </w:rPr>
        <w:t>Figure 2: Notification rates for herpes zoster, by jurisdiction [South Australia (SA) and Northern Territory (NT)] (A) and age group (B and C), 2002- 2015</w:t>
      </w:r>
    </w:p>
    <w:p w14:paraId="3B94D55E" w14:textId="77777777" w:rsidR="009E3A88" w:rsidRDefault="009E3A88">
      <w:pPr>
        <w:pStyle w:val="NormalWeb"/>
        <w:divId w:val="176579035"/>
      </w:pPr>
      <w:r>
        <w:rPr>
          <w:noProof/>
        </w:rPr>
        <w:drawing>
          <wp:inline distT="0" distB="0" distL="0" distR="0" wp14:anchorId="18D316C8" wp14:editId="2E70CE89">
            <wp:extent cx="5760000" cy="4006452"/>
            <wp:effectExtent l="0" t="0" r="0" b="0"/>
            <wp:docPr id="4" name="Picture 4" descr="Figure 2a is a trend graph showing notification rates per 100,000 populations for herpes zoster in South Australia and the Northern Territory for the years 2002 to 2015." title="Figure 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taging\CDESS\ZoFE\CDI\Desktopping\OpenCDI\OpenCDI-2018-volume\2-Sheel - Australian vaccine preventable disease\DOCx Export\table-web-resources\image\f2a.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760000" cy="4006452"/>
                    </a:xfrm>
                    <a:prstGeom prst="rect">
                      <a:avLst/>
                    </a:prstGeom>
                    <a:noFill/>
                    <a:ln>
                      <a:noFill/>
                    </a:ln>
                  </pic:spPr>
                </pic:pic>
              </a:graphicData>
            </a:graphic>
          </wp:inline>
        </w:drawing>
      </w:r>
    </w:p>
    <w:p w14:paraId="57CA3B1B" w14:textId="77777777" w:rsidR="009E3A88" w:rsidRPr="004455F6" w:rsidRDefault="009E3A88" w:rsidP="004455F6">
      <w:pPr>
        <w:pStyle w:val="NormalWeb"/>
        <w:jc w:val="center"/>
        <w:divId w:val="176579035"/>
        <w:rPr>
          <w:b/>
        </w:rPr>
      </w:pPr>
      <w:r w:rsidRPr="004455F6">
        <w:rPr>
          <w:b/>
        </w:rPr>
        <w:t>(A)</w:t>
      </w:r>
    </w:p>
    <w:p w14:paraId="044A7159" w14:textId="77777777" w:rsidR="009E3A88" w:rsidRDefault="009E3A88">
      <w:pPr>
        <w:pStyle w:val="NormalWeb"/>
        <w:divId w:val="176579035"/>
      </w:pPr>
      <w:r>
        <w:rPr>
          <w:noProof/>
        </w:rPr>
        <w:lastRenderedPageBreak/>
        <w:drawing>
          <wp:inline distT="0" distB="0" distL="0" distR="0" wp14:anchorId="751DAF00" wp14:editId="568C844E">
            <wp:extent cx="5760000" cy="3760805"/>
            <wp:effectExtent l="0" t="0" r="0" b="0"/>
            <wp:docPr id="5" name="Picture 5" descr="Figure 2b is a trend graph showing notification rates per 100,000 populations for herpes zoster in South Australia by age groups for the years 2002 to 2015." title="Figure 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taging\CDESS\ZoFE\CDI\Desktopping\OpenCDI\OpenCDI-2018-volume\2-Sheel - Australian vaccine preventable disease\DOCx Export\table-web-resources\image\f2b.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760000" cy="3760805"/>
                    </a:xfrm>
                    <a:prstGeom prst="rect">
                      <a:avLst/>
                    </a:prstGeom>
                    <a:noFill/>
                    <a:ln>
                      <a:noFill/>
                    </a:ln>
                  </pic:spPr>
                </pic:pic>
              </a:graphicData>
            </a:graphic>
          </wp:inline>
        </w:drawing>
      </w:r>
    </w:p>
    <w:p w14:paraId="36EB2472" w14:textId="77777777" w:rsidR="009E3A88" w:rsidRPr="004455F6" w:rsidRDefault="009E3A88" w:rsidP="004455F6">
      <w:pPr>
        <w:pStyle w:val="NormalWeb"/>
        <w:jc w:val="center"/>
        <w:divId w:val="176579035"/>
        <w:rPr>
          <w:b/>
        </w:rPr>
      </w:pPr>
      <w:r w:rsidRPr="004455F6">
        <w:rPr>
          <w:b/>
        </w:rPr>
        <w:t>(B)</w:t>
      </w:r>
    </w:p>
    <w:p w14:paraId="75E1FD55" w14:textId="77777777" w:rsidR="009E3A88" w:rsidRDefault="009E3A88">
      <w:pPr>
        <w:pStyle w:val="NormalWeb"/>
        <w:divId w:val="176579035"/>
      </w:pPr>
      <w:r>
        <w:rPr>
          <w:noProof/>
        </w:rPr>
        <w:drawing>
          <wp:inline distT="0" distB="0" distL="0" distR="0" wp14:anchorId="0ECF839F" wp14:editId="48F30B79">
            <wp:extent cx="5710362" cy="3971925"/>
            <wp:effectExtent l="0" t="0" r="5080" b="0"/>
            <wp:docPr id="6" name="Picture 6" descr="Figure 2c is a trend graph showing notification rates per 100,000 populations for herpes zoster in the Northern Territory by age groups for the years 2006 to 2015." title="Figure 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taging\CDESS\ZoFE\CDI\Desktopping\OpenCDI\OpenCDI-2018-volume\2-Sheel - Australian vaccine preventable disease\DOCx Export\table-web-resources\image\f2c.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09778" cy="3971519"/>
                    </a:xfrm>
                    <a:prstGeom prst="rect">
                      <a:avLst/>
                    </a:prstGeom>
                    <a:noFill/>
                    <a:ln>
                      <a:noFill/>
                    </a:ln>
                  </pic:spPr>
                </pic:pic>
              </a:graphicData>
            </a:graphic>
          </wp:inline>
        </w:drawing>
      </w:r>
    </w:p>
    <w:p w14:paraId="79C09080" w14:textId="77777777" w:rsidR="009E3A88" w:rsidRPr="004455F6" w:rsidRDefault="009E3A88" w:rsidP="004455F6">
      <w:pPr>
        <w:pStyle w:val="NormalWeb"/>
        <w:jc w:val="center"/>
        <w:divId w:val="176579035"/>
        <w:rPr>
          <w:b/>
        </w:rPr>
      </w:pPr>
      <w:r w:rsidRPr="004455F6">
        <w:rPr>
          <w:b/>
        </w:rPr>
        <w:t>(C)</w:t>
      </w:r>
    </w:p>
    <w:p w14:paraId="6B746A9F" w14:textId="77777777" w:rsidR="009E3A88" w:rsidRDefault="009E3A88">
      <w:pPr>
        <w:pStyle w:val="Heading3"/>
        <w:rPr>
          <w:rFonts w:eastAsia="Times New Roman"/>
        </w:rPr>
      </w:pPr>
      <w:r>
        <w:rPr>
          <w:rStyle w:val="Emphasis"/>
          <w:rFonts w:eastAsia="Times New Roman"/>
        </w:rPr>
        <w:t>Varicella</w:t>
      </w:r>
      <w:r>
        <w:rPr>
          <w:rFonts w:eastAsia="Times New Roman"/>
        </w:rPr>
        <w:t xml:space="preserve"> and herpes zoster associated </w:t>
      </w:r>
      <w:proofErr w:type="gramStart"/>
      <w:r>
        <w:rPr>
          <w:rFonts w:eastAsia="Times New Roman"/>
        </w:rPr>
        <w:t>hospitalisations</w:t>
      </w:r>
      <w:proofErr w:type="gramEnd"/>
    </w:p>
    <w:p w14:paraId="6C2B33CB" w14:textId="77777777" w:rsidR="009E3A88" w:rsidRDefault="009E3A88">
      <w:pPr>
        <w:pStyle w:val="Heading4"/>
        <w:rPr>
          <w:rFonts w:eastAsia="Times New Roman"/>
        </w:rPr>
      </w:pPr>
      <w:r>
        <w:rPr>
          <w:rFonts w:eastAsia="Times New Roman"/>
        </w:rPr>
        <w:t>Varicella</w:t>
      </w:r>
    </w:p>
    <w:p w14:paraId="506EF173" w14:textId="77777777" w:rsidR="009E3A88" w:rsidRDefault="009E3A88" w:rsidP="00530646">
      <w:r>
        <w:lastRenderedPageBreak/>
        <w:t>There were 18,615 episodes of varicella associated hospitalisation between January 1999 and December 2013, of which 12,824 (68.9%) had a principal diagnosis of varicella. The annual varicella hospitalisation rate reduced from 6.9 per 100,000 (95% CI 6.3–7.1) in 1999 to 2.1 per 100,000 (95% CI 1.9–2.3) in 2013.</w:t>
      </w:r>
    </w:p>
    <w:p w14:paraId="4B31A89C" w14:textId="77777777" w:rsidR="00567D12" w:rsidRPr="00572913" w:rsidRDefault="009E3A88">
      <w:r>
        <w:t>The average annual hospitalisation rate for the period 1999-2013 was 4.2 per 100,000 (95% CI 3.4–5.3). Hospitalisation rates were similar in females (3.3 per 100,000; 95% CI 2.6-4.1) and males (4.5 per 100,000; 95% CI 3.5–5.6). There was a rapid decline in hospitalisation rates after the varicella vaccine was added onto the NIP in 2005 (Figure 3A). Hospitalisation rates were 41% lower in 2007 compared to 2005 (IRR 0.59; 95% CI 0.53–0.65).</w:t>
      </w:r>
    </w:p>
    <w:p w14:paraId="4B1E4EB9" w14:textId="77777777" w:rsidR="009E3A88" w:rsidRPr="00530646" w:rsidRDefault="009E3A88">
      <w:pPr>
        <w:pStyle w:val="NormalWeb"/>
        <w:divId w:val="1038704693"/>
        <w:rPr>
          <w:b/>
        </w:rPr>
      </w:pPr>
      <w:r w:rsidRPr="00530646">
        <w:rPr>
          <w:b/>
        </w:rPr>
        <w:t>Figure 3: Varicella hospitalisation rates (A) and varicella hospitalisation (principal diagnosis) by age group (B), Australia, 1999-2013</w:t>
      </w:r>
    </w:p>
    <w:p w14:paraId="64BEF82E" w14:textId="77777777" w:rsidR="009E3A88" w:rsidRDefault="009E3A88">
      <w:pPr>
        <w:pStyle w:val="NormalWeb"/>
        <w:divId w:val="1038704693"/>
      </w:pPr>
      <w:r>
        <w:rPr>
          <w:noProof/>
        </w:rPr>
        <w:drawing>
          <wp:inline distT="0" distB="0" distL="0" distR="0" wp14:anchorId="49F91E89" wp14:editId="7798ED30">
            <wp:extent cx="5760000" cy="3890262"/>
            <wp:effectExtent l="0" t="0" r="0" b="0"/>
            <wp:docPr id="7" name="Picture 7" descr="Figure 3a is trend graph showing hospitalisation rates per 100,000 populations for varicella in Australia for the years 1999 to 2013.&#10;• There was a noticeable decline in rates for varicella related hospitalisations (principal and all diagnoses) following the introduction of a varicella vaccine under the National Immunisation Program in 2005. &#10;" title="Figure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taging\CDESS\ZoFE\CDI\Desktopping\OpenCDI\OpenCDI-2018-volume\2-Sheel - Australian vaccine preventable disease\DOCx Export\table-web-resources\image\f3a.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760000" cy="3890262"/>
                    </a:xfrm>
                    <a:prstGeom prst="rect">
                      <a:avLst/>
                    </a:prstGeom>
                    <a:noFill/>
                    <a:ln>
                      <a:noFill/>
                    </a:ln>
                  </pic:spPr>
                </pic:pic>
              </a:graphicData>
            </a:graphic>
          </wp:inline>
        </w:drawing>
      </w:r>
    </w:p>
    <w:p w14:paraId="0D43E8E9" w14:textId="77777777" w:rsidR="009E3A88" w:rsidRPr="004455F6" w:rsidRDefault="009E3A88" w:rsidP="004455F6">
      <w:pPr>
        <w:pStyle w:val="NormalWeb"/>
        <w:jc w:val="center"/>
        <w:divId w:val="1038704693"/>
        <w:rPr>
          <w:b/>
        </w:rPr>
      </w:pPr>
      <w:r w:rsidRPr="004455F6">
        <w:rPr>
          <w:b/>
        </w:rPr>
        <w:t>(A)</w:t>
      </w:r>
    </w:p>
    <w:p w14:paraId="014AF137" w14:textId="77777777" w:rsidR="009E3A88" w:rsidRDefault="009E3A88">
      <w:pPr>
        <w:pStyle w:val="NormalWeb"/>
        <w:divId w:val="1038704693"/>
      </w:pPr>
      <w:r>
        <w:rPr>
          <w:noProof/>
        </w:rPr>
        <w:lastRenderedPageBreak/>
        <w:drawing>
          <wp:inline distT="0" distB="0" distL="0" distR="0" wp14:anchorId="75155B50" wp14:editId="0E87CCE3">
            <wp:extent cx="5760000" cy="3930282"/>
            <wp:effectExtent l="0" t="0" r="0" b="0"/>
            <wp:docPr id="9" name="Picture 9" descr="Figure 3b is trend graph showing hospitalisation rates per 100,000 populations for varicella in Australia by age groups for the years 1999 to 2013.&#10;• Decline in hospitalisation rates was observed amongst all age groups, but was most noticeable in children aged 18-59 months, most of whom would have received varicella vaccine under the National Immunisation Program. The varicella vaccine was introduced for children aged 18 months in 2005. Herd impact of the national immunisation program was observed in children aged 0-17 months who are not eligible to receive the varicella vaccine." title="Figure 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taging\CDESS\ZoFE\CDI\Desktopping\OpenCDI\OpenCDI-2018-volume\2-Sheel - Australian vaccine preventable disease\DOCx Export\table-web-resources\image\f3b.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760000" cy="3930282"/>
                    </a:xfrm>
                    <a:prstGeom prst="rect">
                      <a:avLst/>
                    </a:prstGeom>
                    <a:noFill/>
                    <a:ln>
                      <a:noFill/>
                    </a:ln>
                  </pic:spPr>
                </pic:pic>
              </a:graphicData>
            </a:graphic>
          </wp:inline>
        </w:drawing>
      </w:r>
    </w:p>
    <w:p w14:paraId="331471CB" w14:textId="77777777" w:rsidR="009E3A88" w:rsidRPr="004455F6" w:rsidRDefault="006B7448" w:rsidP="004455F6">
      <w:pPr>
        <w:pStyle w:val="NormalWeb"/>
        <w:jc w:val="center"/>
        <w:divId w:val="1038704693"/>
        <w:rPr>
          <w:b/>
        </w:rPr>
      </w:pPr>
      <w:r w:rsidRPr="004455F6">
        <w:rPr>
          <w:b/>
        </w:rPr>
        <w:t>(B)</w:t>
      </w:r>
    </w:p>
    <w:p w14:paraId="325E5609" w14:textId="77777777" w:rsidR="009E3A88" w:rsidRDefault="009E3A88" w:rsidP="00530646">
      <w:r>
        <w:t>Age-specific trends in hospitalisation rates are presented in Figure 3B. During 1999-2013, hospitalisation rates were highest in children aged ≤17 months (30.3 per 100,000; 95% CI 23.0–40.0) and lowest in adults aged ≥40 years (1.5 per 100,000; 95% CI 1.4–1.6).</w:t>
      </w:r>
    </w:p>
    <w:p w14:paraId="68175BB7" w14:textId="77777777" w:rsidR="00572913" w:rsidRDefault="009E3A88" w:rsidP="00530646">
      <w:r>
        <w:t>There were significant reductions in hospitalisation rates for all age groups &lt;40 years during the post-vaccine period (2007-2013) compared to the pre-vaccine period (1999-2004) (Table 2). The largest decreases were seen in children aged 18-59 months (IRR 0.16; 95% CI 0.12–0.23), and in those aged ≤17 months (IRR 0.33; 95% CI 0.26–0.40). Despite the rapid decline during the first five years after varicella vaccine was introduced under the NIP, limited additional decline in hospitalisation rates was observed in more recent years (Figure 3A and 3B). Similar findings were observed on analyses of hospitalisations where varicella was recorded in any diagnosis field (Table 2). Trends in hospitalisation rates by jurisdiction were broadly similar (Figure 4).</w:t>
      </w:r>
    </w:p>
    <w:p w14:paraId="632665C4" w14:textId="77777777" w:rsidR="00572913" w:rsidRDefault="00572913" w:rsidP="00572913">
      <w:r>
        <w:br w:type="page"/>
      </w:r>
    </w:p>
    <w:p w14:paraId="531AF01C" w14:textId="77777777" w:rsidR="009E3A88" w:rsidRDefault="009E3A88" w:rsidP="00530646"/>
    <w:p w14:paraId="4B7A4F31" w14:textId="77777777" w:rsidR="009E3A88" w:rsidRPr="00530646" w:rsidRDefault="009E3A88" w:rsidP="00530646">
      <w:pPr>
        <w:divId w:val="2146854827"/>
        <w:rPr>
          <w:b/>
        </w:rPr>
      </w:pPr>
      <w:r w:rsidRPr="00530646">
        <w:rPr>
          <w:b/>
        </w:rPr>
        <w:t>Figure 4: Varicella hospitalisation rates, by state or territory, Australia, 1999-2013</w:t>
      </w:r>
    </w:p>
    <w:p w14:paraId="2E3CEFA8" w14:textId="77777777" w:rsidR="009E3A88" w:rsidRDefault="009E3A88">
      <w:pPr>
        <w:pStyle w:val="NormalWeb"/>
        <w:divId w:val="2146854827"/>
      </w:pPr>
      <w:r>
        <w:rPr>
          <w:noProof/>
        </w:rPr>
        <w:drawing>
          <wp:inline distT="0" distB="0" distL="0" distR="0" wp14:anchorId="4F5CFB55" wp14:editId="49FBA5CC">
            <wp:extent cx="6108721" cy="4249280"/>
            <wp:effectExtent l="0" t="0" r="6350" b="0"/>
            <wp:docPr id="10" name="Picture 10" descr="Figure 4 is a panel of line graphs showing trends in varicella associated hospitalisation rates per 100,000 populations in all states and territories of Australia over the period of 1999-2013. Trends in hospitalisation rates (principal and all diagnoses) in each jurisdiction were similar to that observed nationally." title="Figure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taging\CDESS\ZoFE\CDI\Desktopping\OpenCDI\OpenCDI-2018-volume\2-Sheel - Australian vaccine preventable disease\DOCx Export\table-web-resources\image\f4a.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108721" cy="4249280"/>
                    </a:xfrm>
                    <a:prstGeom prst="rect">
                      <a:avLst/>
                    </a:prstGeom>
                    <a:noFill/>
                    <a:ln>
                      <a:noFill/>
                    </a:ln>
                  </pic:spPr>
                </pic:pic>
              </a:graphicData>
            </a:graphic>
          </wp:inline>
        </w:drawing>
      </w:r>
    </w:p>
    <w:p w14:paraId="72C2C63C" w14:textId="77777777" w:rsidR="009E3A88" w:rsidRDefault="009E3A88">
      <w:pPr>
        <w:pStyle w:val="NormalWeb"/>
        <w:divId w:val="2146854827"/>
      </w:pPr>
      <w:r>
        <w:rPr>
          <w:noProof/>
        </w:rPr>
        <w:drawing>
          <wp:inline distT="0" distB="0" distL="0" distR="0" wp14:anchorId="3D22BBAE" wp14:editId="683B710E">
            <wp:extent cx="6114818" cy="4255377"/>
            <wp:effectExtent l="0" t="0" r="635" b="0"/>
            <wp:docPr id="11" name="Picture 11" descr="Figure 4 is a panel of line graphs showing trends in varicella associated hospitalisation rates per 100,000 populations in all states and territories of Australia over the period of 1999-2013. Trends in hospitalisation rates (principal and all diagnoses) in each jurisdiction were similar to that observed nationally." title="Figure 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taging\CDESS\ZoFE\CDI\Desktopping\OpenCDI\OpenCDI-2018-volume\2-Sheel - Australian vaccine preventable disease\DOCx Export\table-web-resources\image\f4b.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114818" cy="4255377"/>
                    </a:xfrm>
                    <a:prstGeom prst="rect">
                      <a:avLst/>
                    </a:prstGeom>
                    <a:noFill/>
                    <a:ln>
                      <a:noFill/>
                    </a:ln>
                  </pic:spPr>
                </pic:pic>
              </a:graphicData>
            </a:graphic>
          </wp:inline>
        </w:drawing>
      </w:r>
    </w:p>
    <w:p w14:paraId="353BF391" w14:textId="77777777" w:rsidR="009E3A88" w:rsidRDefault="009E3A88">
      <w:pPr>
        <w:pStyle w:val="NormalWeb"/>
        <w:divId w:val="2146854827"/>
      </w:pPr>
      <w:r>
        <w:rPr>
          <w:noProof/>
        </w:rPr>
        <w:lastRenderedPageBreak/>
        <w:drawing>
          <wp:inline distT="0" distB="0" distL="0" distR="0" wp14:anchorId="7886C6D8" wp14:editId="353D583D">
            <wp:extent cx="6114818" cy="4255377"/>
            <wp:effectExtent l="0" t="0" r="635" b="0"/>
            <wp:docPr id="12" name="Picture 12" descr="Figure 4 is a panel of line graphs showing trends in varicella associated hospitalisation rates per 100,000 populations in all states and territories of Australia over the period of 1999-2013. Trends in hospitalisation rates (principal and all diagnoses) in each jurisdiction were similar to that observed nationally." title="Figure 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taging\CDESS\ZoFE\CDI\Desktopping\OpenCDI\OpenCDI-2018-volume\2-Sheel - Australian vaccine preventable disease\DOCx Export\table-web-resources\image\f4c.pn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114818" cy="4255377"/>
                    </a:xfrm>
                    <a:prstGeom prst="rect">
                      <a:avLst/>
                    </a:prstGeom>
                    <a:noFill/>
                    <a:ln>
                      <a:noFill/>
                    </a:ln>
                  </pic:spPr>
                </pic:pic>
              </a:graphicData>
            </a:graphic>
          </wp:inline>
        </w:drawing>
      </w:r>
    </w:p>
    <w:p w14:paraId="57FBE09C" w14:textId="77777777" w:rsidR="009E3A88" w:rsidRDefault="009E3A88">
      <w:pPr>
        <w:pStyle w:val="NormalWeb"/>
        <w:divId w:val="2146854827"/>
      </w:pPr>
      <w:r>
        <w:rPr>
          <w:noProof/>
        </w:rPr>
        <w:drawing>
          <wp:inline distT="0" distB="0" distL="0" distR="0" wp14:anchorId="658734FE" wp14:editId="7156B868">
            <wp:extent cx="6084335" cy="4237087"/>
            <wp:effectExtent l="0" t="0" r="0" b="0"/>
            <wp:docPr id="13" name="Picture 13" descr="Figure 4 is a panel of line graphs showing trends in varicella associated hospitalisation rates per 100,000 populations in all states and territories of Australia over the period of 1999-2013. Trends in hospitalisation rates (principal and all diagnoses) in each jurisdiction were similar to that observed nationally." title="Figure 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Staging\CDESS\ZoFE\CDI\Desktopping\OpenCDI\OpenCDI-2018-volume\2-Sheel - Australian vaccine preventable disease\DOCx Export\table-web-resources\image\f4d.pn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6084335" cy="4237087"/>
                    </a:xfrm>
                    <a:prstGeom prst="rect">
                      <a:avLst/>
                    </a:prstGeom>
                    <a:noFill/>
                    <a:ln>
                      <a:noFill/>
                    </a:ln>
                  </pic:spPr>
                </pic:pic>
              </a:graphicData>
            </a:graphic>
          </wp:inline>
        </w:drawing>
      </w:r>
    </w:p>
    <w:p w14:paraId="74E49FD4" w14:textId="77777777" w:rsidR="009E3A88" w:rsidRDefault="009E3A88">
      <w:pPr>
        <w:pStyle w:val="NormalWeb"/>
        <w:divId w:val="2146854827"/>
      </w:pPr>
      <w:r>
        <w:rPr>
          <w:noProof/>
        </w:rPr>
        <w:lastRenderedPageBreak/>
        <w:drawing>
          <wp:inline distT="0" distB="0" distL="0" distR="0" wp14:anchorId="0F08DD1A" wp14:editId="7CA159BA">
            <wp:extent cx="6084335" cy="4237087"/>
            <wp:effectExtent l="0" t="0" r="0" b="0"/>
            <wp:docPr id="14" name="Picture 14" descr="Figure 4 is a panel of line graphs showing trends in varicella associated hospitalisation rates per 100,000 populations in all states and territories of Australia over the period of 1999-2013. Trends in hospitalisation rates (principal and all diagnoses) in each jurisdiction were similar to that observed nationally." title="Figure 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Staging\CDESS\ZoFE\CDI\Desktopping\OpenCDI\OpenCDI-2018-volume\2-Sheel - Australian vaccine preventable disease\DOCx Export\table-web-resources\image\f4e.pn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6084335" cy="4237087"/>
                    </a:xfrm>
                    <a:prstGeom prst="rect">
                      <a:avLst/>
                    </a:prstGeom>
                    <a:noFill/>
                    <a:ln>
                      <a:noFill/>
                    </a:ln>
                  </pic:spPr>
                </pic:pic>
              </a:graphicData>
            </a:graphic>
          </wp:inline>
        </w:drawing>
      </w:r>
    </w:p>
    <w:p w14:paraId="01D47C15" w14:textId="77777777" w:rsidR="009E3A88" w:rsidRDefault="009E3A88">
      <w:pPr>
        <w:pStyle w:val="NormalWeb"/>
        <w:divId w:val="2146854827"/>
      </w:pPr>
      <w:r>
        <w:rPr>
          <w:noProof/>
        </w:rPr>
        <w:drawing>
          <wp:inline distT="0" distB="0" distL="0" distR="0" wp14:anchorId="6216E657" wp14:editId="67E95F79">
            <wp:extent cx="6120914" cy="4261473"/>
            <wp:effectExtent l="0" t="0" r="0" b="6350"/>
            <wp:docPr id="15" name="Picture 15" descr="Figure 4 is a panel of line graphs showing trends in varicella associated hospitalisation rates per 100,000 populations in all states and territories of Australia over the period of 1999-2013. Trends in hospitalisation rates (principal and all diagnoses) in each jurisdiction were similar to that observed nationally." title="Figure 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Staging\CDESS\ZoFE\CDI\Desktopping\OpenCDI\OpenCDI-2018-volume\2-Sheel - Australian vaccine preventable disease\DOCx Export\table-web-resources\image\f4f.png"/>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6120914" cy="4261473"/>
                    </a:xfrm>
                    <a:prstGeom prst="rect">
                      <a:avLst/>
                    </a:prstGeom>
                    <a:noFill/>
                    <a:ln>
                      <a:noFill/>
                    </a:ln>
                  </pic:spPr>
                </pic:pic>
              </a:graphicData>
            </a:graphic>
          </wp:inline>
        </w:drawing>
      </w:r>
    </w:p>
    <w:p w14:paraId="4FA8F30A" w14:textId="77777777" w:rsidR="009E3A88" w:rsidRDefault="009E3A88">
      <w:pPr>
        <w:pStyle w:val="NormalWeb"/>
        <w:divId w:val="2146854827"/>
      </w:pPr>
      <w:r>
        <w:rPr>
          <w:noProof/>
        </w:rPr>
        <w:lastRenderedPageBreak/>
        <w:drawing>
          <wp:inline distT="0" distB="0" distL="0" distR="0" wp14:anchorId="238F84C7" wp14:editId="55AA94A1">
            <wp:extent cx="6139204" cy="4273666"/>
            <wp:effectExtent l="0" t="0" r="0" b="0"/>
            <wp:docPr id="16" name="Picture 16" descr="Figure 4 is a panel of line graphs showing trends in varicella associated hospitalisation rates per 100,000 populations in all states and territories of Australia over the period of 1999-2013. Trends in hospitalisation rates (principal and all diagnoses) in each jurisdiction were similar to that observed nationally." title="Figure 4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Staging\CDESS\ZoFE\CDI\Desktopping\OpenCDI\OpenCDI-2018-volume\2-Sheel - Australian vaccine preventable disease\DOCx Export\table-web-resources\image\f4g.png"/>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6139204" cy="4273666"/>
                    </a:xfrm>
                    <a:prstGeom prst="rect">
                      <a:avLst/>
                    </a:prstGeom>
                    <a:noFill/>
                    <a:ln>
                      <a:noFill/>
                    </a:ln>
                  </pic:spPr>
                </pic:pic>
              </a:graphicData>
            </a:graphic>
          </wp:inline>
        </w:drawing>
      </w:r>
    </w:p>
    <w:p w14:paraId="1F80B66E" w14:textId="77777777" w:rsidR="009E3A88" w:rsidRDefault="009E3A88">
      <w:pPr>
        <w:pStyle w:val="NormalWeb"/>
        <w:divId w:val="2146854827"/>
      </w:pPr>
      <w:r>
        <w:rPr>
          <w:noProof/>
        </w:rPr>
        <w:drawing>
          <wp:inline distT="0" distB="0" distL="0" distR="0" wp14:anchorId="53E592B8" wp14:editId="11EAB8CC">
            <wp:extent cx="6114818" cy="4255377"/>
            <wp:effectExtent l="0" t="0" r="635" b="0"/>
            <wp:docPr id="17" name="Picture 17" descr="Figure 4 is a panel of line graphs showing trends in varicella associated hospitalisation rates per 100,000 populations in all states and territories of Australia over the period of 1999-2013. Trends in hospitalisation rates (principal and all diagnoses) in each jurisdiction were similar to that observed nationally." title="Figure 4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Staging\CDESS\ZoFE\CDI\Desktopping\OpenCDI\OpenCDI-2018-volume\2-Sheel - Australian vaccine preventable disease\DOCx Export\table-web-resources\image\f4h.pn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6114818" cy="4255377"/>
                    </a:xfrm>
                    <a:prstGeom prst="rect">
                      <a:avLst/>
                    </a:prstGeom>
                    <a:noFill/>
                    <a:ln>
                      <a:noFill/>
                    </a:ln>
                  </pic:spPr>
                </pic:pic>
              </a:graphicData>
            </a:graphic>
          </wp:inline>
        </w:drawing>
      </w:r>
    </w:p>
    <w:p w14:paraId="27E364BE" w14:textId="77777777" w:rsidR="00572913" w:rsidRDefault="00572913">
      <w:pPr>
        <w:rPr>
          <w:rFonts w:eastAsia="Times New Roman"/>
          <w:b/>
        </w:rPr>
      </w:pPr>
      <w:r>
        <w:rPr>
          <w:rFonts w:eastAsia="Times New Roman"/>
          <w:b/>
        </w:rPr>
        <w:br w:type="page"/>
      </w:r>
    </w:p>
    <w:p w14:paraId="599C8B23" w14:textId="77777777" w:rsidR="009E3A88" w:rsidRPr="00530646" w:rsidRDefault="009E3A88" w:rsidP="00530646">
      <w:pPr>
        <w:rPr>
          <w:rFonts w:eastAsia="Times New Roman"/>
          <w:b/>
        </w:rPr>
      </w:pPr>
      <w:r w:rsidRPr="00530646">
        <w:rPr>
          <w:rFonts w:eastAsia="Times New Roman"/>
          <w:b/>
        </w:rPr>
        <w:lastRenderedPageBreak/>
        <w:t>Table 2 Varicella associated hospitalisations, Australia, 1999-2013</w:t>
      </w:r>
      <w:r w:rsidRPr="00530646">
        <w:rPr>
          <w:rFonts w:eastAsia="Times New Roman"/>
          <w:b/>
          <w:vertAlign w:val="superscript"/>
        </w:rPr>
        <w:t>*</w:t>
      </w:r>
      <w:r w:rsidRPr="00530646">
        <w:rPr>
          <w:rFonts w:eastAsia="Times New Roman"/>
          <w:b/>
        </w:rPr>
        <w:t xml:space="preserve"> </w:t>
      </w:r>
    </w:p>
    <w:tbl>
      <w:tblPr>
        <w:tblStyle w:val="CDI-StandardTable"/>
        <w:tblW w:w="0" w:type="auto"/>
        <w:tblLook w:val="04A0" w:firstRow="1" w:lastRow="0" w:firstColumn="1" w:lastColumn="0" w:noHBand="0" w:noVBand="1"/>
        <w:tblCaption w:val="Table 2 Varicella associated hospitalisations, Australia, 1999-2013* "/>
        <w:tblDescription w:val="Table 2 reports on varicella associated hospitalisations (principal and all diagnoses) by age groups, in all Australians during the pre-varicella vaccine period (1999-2004) and post-varicella vaccine period (2007-2013). The last column contains incidence rate ratios comparing hospitalisation rates over the two periods, demonstrating the impact of the national varicella immunisation program on varicella hospitalisations."/>
      </w:tblPr>
      <w:tblGrid>
        <w:gridCol w:w="1462"/>
        <w:gridCol w:w="1934"/>
        <w:gridCol w:w="1637"/>
        <w:gridCol w:w="1934"/>
        <w:gridCol w:w="1637"/>
        <w:gridCol w:w="1637"/>
      </w:tblGrid>
      <w:tr w:rsidR="009E3A88" w14:paraId="41560838" w14:textId="77777777" w:rsidTr="00A30C7C">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592ADCE" w14:textId="77777777" w:rsidR="009E3A88" w:rsidRPr="00024D61" w:rsidRDefault="009E3A88">
            <w:pPr>
              <w:rPr>
                <w:rFonts w:eastAsia="Times New Roman"/>
                <w:color w:val="FFFFFF" w:themeColor="background1"/>
                <w:sz w:val="24"/>
                <w:szCs w:val="24"/>
              </w:rPr>
            </w:pPr>
          </w:p>
        </w:tc>
        <w:tc>
          <w:tcPr>
            <w:tcW w:w="0" w:type="auto"/>
            <w:gridSpan w:val="2"/>
            <w:hideMark/>
          </w:tcPr>
          <w:p w14:paraId="4722ADD9" w14:textId="77777777" w:rsidR="009E3A88" w:rsidRPr="00024D61" w:rsidRDefault="009E3A88">
            <w:pPr>
              <w:rPr>
                <w:rFonts w:eastAsia="Times New Roman"/>
                <w:color w:val="FFFFFF" w:themeColor="background1"/>
                <w:sz w:val="24"/>
                <w:szCs w:val="24"/>
              </w:rPr>
            </w:pPr>
            <w:r w:rsidRPr="00024D61">
              <w:rPr>
                <w:rFonts w:eastAsia="Times New Roman"/>
                <w:color w:val="FFFFFF" w:themeColor="background1"/>
              </w:rPr>
              <w:t>Pre-varicella vaccine 1999-2004</w:t>
            </w:r>
          </w:p>
        </w:tc>
        <w:tc>
          <w:tcPr>
            <w:tcW w:w="0" w:type="auto"/>
            <w:gridSpan w:val="2"/>
            <w:hideMark/>
          </w:tcPr>
          <w:p w14:paraId="18743AE5" w14:textId="77777777" w:rsidR="009E3A88" w:rsidRPr="00024D61" w:rsidRDefault="009E3A88">
            <w:pPr>
              <w:rPr>
                <w:rFonts w:eastAsia="Times New Roman"/>
                <w:color w:val="FFFFFF" w:themeColor="background1"/>
                <w:sz w:val="24"/>
                <w:szCs w:val="24"/>
              </w:rPr>
            </w:pPr>
            <w:r w:rsidRPr="00024D61">
              <w:rPr>
                <w:rFonts w:eastAsia="Times New Roman"/>
                <w:color w:val="FFFFFF" w:themeColor="background1"/>
              </w:rPr>
              <w:t>Post-varicella vaccine 2007-2013</w:t>
            </w:r>
          </w:p>
        </w:tc>
        <w:tc>
          <w:tcPr>
            <w:tcW w:w="0" w:type="auto"/>
            <w:hideMark/>
          </w:tcPr>
          <w:p w14:paraId="3E042D98" w14:textId="77777777" w:rsidR="009E3A88" w:rsidRPr="00024D61" w:rsidRDefault="009E3A88">
            <w:pPr>
              <w:rPr>
                <w:rFonts w:eastAsia="Times New Roman"/>
                <w:color w:val="FFFFFF" w:themeColor="background1"/>
                <w:sz w:val="24"/>
                <w:szCs w:val="24"/>
              </w:rPr>
            </w:pPr>
          </w:p>
        </w:tc>
      </w:tr>
      <w:tr w:rsidR="009E3A88" w14:paraId="173AFC1B" w14:textId="77777777" w:rsidTr="00024D61">
        <w:tblPrEx>
          <w:tblCellMar>
            <w:top w:w="0" w:type="dxa"/>
            <w:left w:w="108" w:type="dxa"/>
            <w:bottom w:w="0" w:type="dxa"/>
            <w:right w:w="108" w:type="dxa"/>
          </w:tblCellMar>
        </w:tblPrEx>
        <w:tc>
          <w:tcPr>
            <w:tcW w:w="0" w:type="auto"/>
            <w:hideMark/>
          </w:tcPr>
          <w:p w14:paraId="1C862AAE" w14:textId="77777777" w:rsidR="009E3A88" w:rsidRDefault="009E3A88">
            <w:pPr>
              <w:rPr>
                <w:rFonts w:eastAsia="Times New Roman"/>
                <w:sz w:val="24"/>
                <w:szCs w:val="24"/>
              </w:rPr>
            </w:pPr>
            <w:r>
              <w:rPr>
                <w:rFonts w:eastAsia="Times New Roman"/>
              </w:rPr>
              <w:t> Age group</w:t>
            </w:r>
          </w:p>
        </w:tc>
        <w:tc>
          <w:tcPr>
            <w:tcW w:w="0" w:type="auto"/>
            <w:hideMark/>
          </w:tcPr>
          <w:p w14:paraId="622022FC" w14:textId="77777777" w:rsidR="009E3A88" w:rsidRDefault="009E3A88">
            <w:pPr>
              <w:rPr>
                <w:rFonts w:eastAsia="Times New Roman"/>
                <w:sz w:val="24"/>
                <w:szCs w:val="24"/>
              </w:rPr>
            </w:pPr>
            <w:r>
              <w:rPr>
                <w:rFonts w:eastAsia="Times New Roman"/>
              </w:rPr>
              <w:t>Hospitalisations (n)</w:t>
            </w:r>
          </w:p>
        </w:tc>
        <w:tc>
          <w:tcPr>
            <w:tcW w:w="0" w:type="auto"/>
            <w:hideMark/>
          </w:tcPr>
          <w:p w14:paraId="05EB0C38" w14:textId="77777777" w:rsidR="009E3A88" w:rsidRDefault="009E3A88">
            <w:pPr>
              <w:rPr>
                <w:rFonts w:eastAsia="Times New Roman"/>
                <w:sz w:val="24"/>
                <w:szCs w:val="24"/>
              </w:rPr>
            </w:pPr>
            <w:r>
              <w:rPr>
                <w:rFonts w:eastAsia="Times New Roman"/>
              </w:rPr>
              <w:t>Rate</w:t>
            </w:r>
            <w:r>
              <w:rPr>
                <w:rFonts w:eastAsia="Times New Roman"/>
                <w:vertAlign w:val="superscript"/>
              </w:rPr>
              <w:t>†</w:t>
            </w:r>
            <w:r>
              <w:rPr>
                <w:rFonts w:eastAsia="Times New Roman"/>
              </w:rPr>
              <w:t xml:space="preserve"> (95% CI)</w:t>
            </w:r>
          </w:p>
        </w:tc>
        <w:tc>
          <w:tcPr>
            <w:tcW w:w="0" w:type="auto"/>
            <w:hideMark/>
          </w:tcPr>
          <w:p w14:paraId="25407EB0" w14:textId="77777777" w:rsidR="009E3A88" w:rsidRDefault="009E3A88">
            <w:pPr>
              <w:rPr>
                <w:rFonts w:eastAsia="Times New Roman"/>
                <w:sz w:val="24"/>
                <w:szCs w:val="24"/>
              </w:rPr>
            </w:pPr>
            <w:r>
              <w:rPr>
                <w:rFonts w:eastAsia="Times New Roman"/>
              </w:rPr>
              <w:t>Hospitalisations (n)</w:t>
            </w:r>
          </w:p>
        </w:tc>
        <w:tc>
          <w:tcPr>
            <w:tcW w:w="0" w:type="auto"/>
            <w:hideMark/>
          </w:tcPr>
          <w:p w14:paraId="3648DE36" w14:textId="77777777" w:rsidR="009E3A88" w:rsidRDefault="009E3A88">
            <w:pPr>
              <w:rPr>
                <w:rFonts w:eastAsia="Times New Roman"/>
                <w:sz w:val="24"/>
                <w:szCs w:val="24"/>
              </w:rPr>
            </w:pPr>
            <w:r>
              <w:rPr>
                <w:rFonts w:eastAsia="Times New Roman"/>
              </w:rPr>
              <w:t>Rate</w:t>
            </w:r>
            <w:r>
              <w:rPr>
                <w:rFonts w:eastAsia="Times New Roman"/>
                <w:vertAlign w:val="superscript"/>
              </w:rPr>
              <w:t>‡</w:t>
            </w:r>
            <w:r>
              <w:rPr>
                <w:rFonts w:eastAsia="Times New Roman"/>
              </w:rPr>
              <w:t xml:space="preserve"> (95% CI)</w:t>
            </w:r>
          </w:p>
        </w:tc>
        <w:tc>
          <w:tcPr>
            <w:tcW w:w="0" w:type="auto"/>
            <w:hideMark/>
          </w:tcPr>
          <w:p w14:paraId="248180E8" w14:textId="77777777" w:rsidR="009E3A88" w:rsidRDefault="009E3A88">
            <w:pPr>
              <w:rPr>
                <w:rFonts w:eastAsia="Times New Roman"/>
                <w:sz w:val="24"/>
                <w:szCs w:val="24"/>
              </w:rPr>
            </w:pPr>
            <w:r>
              <w:rPr>
                <w:rFonts w:eastAsia="Times New Roman"/>
              </w:rPr>
              <w:t>IRR</w:t>
            </w:r>
            <w:r>
              <w:rPr>
                <w:rFonts w:eastAsia="Times New Roman"/>
                <w:vertAlign w:val="superscript"/>
              </w:rPr>
              <w:t>§</w:t>
            </w:r>
            <w:r>
              <w:rPr>
                <w:rFonts w:eastAsia="Times New Roman"/>
              </w:rPr>
              <w:t xml:space="preserve"> (95% CI)</w:t>
            </w:r>
          </w:p>
        </w:tc>
      </w:tr>
      <w:tr w:rsidR="009E3A88" w:rsidRPr="006E5C42" w14:paraId="3BBD4BDA" w14:textId="77777777" w:rsidTr="00A30C7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6"/>
            <w:shd w:val="clear" w:color="auto" w:fill="808080" w:themeFill="background1" w:themeFillShade="80"/>
            <w:hideMark/>
          </w:tcPr>
          <w:p w14:paraId="4CE657A6" w14:textId="77777777" w:rsidR="009E3A88" w:rsidRPr="006E5C42" w:rsidRDefault="009E3A88">
            <w:pPr>
              <w:rPr>
                <w:rFonts w:eastAsia="Times New Roman"/>
                <w:b/>
                <w:bCs/>
                <w:color w:val="FFFFFF" w:themeColor="background1"/>
                <w:sz w:val="24"/>
                <w:szCs w:val="24"/>
              </w:rPr>
            </w:pPr>
            <w:r w:rsidRPr="006E5C42">
              <w:rPr>
                <w:rFonts w:eastAsia="Times New Roman"/>
                <w:b/>
                <w:bCs/>
                <w:color w:val="FFFFFF" w:themeColor="background1"/>
              </w:rPr>
              <w:t>Principal varicella in all Australians</w:t>
            </w:r>
          </w:p>
        </w:tc>
      </w:tr>
      <w:tr w:rsidR="009E3A88" w14:paraId="51A6D1FA" w14:textId="77777777" w:rsidTr="00024D61">
        <w:tblPrEx>
          <w:tblCellMar>
            <w:top w:w="0" w:type="dxa"/>
            <w:left w:w="108" w:type="dxa"/>
            <w:bottom w:w="0" w:type="dxa"/>
            <w:right w:w="108" w:type="dxa"/>
          </w:tblCellMar>
        </w:tblPrEx>
        <w:tc>
          <w:tcPr>
            <w:tcW w:w="0" w:type="auto"/>
            <w:hideMark/>
          </w:tcPr>
          <w:p w14:paraId="6813CE26" w14:textId="77777777" w:rsidR="009E3A88" w:rsidRDefault="009E3A88">
            <w:pPr>
              <w:rPr>
                <w:rFonts w:eastAsia="Times New Roman"/>
                <w:sz w:val="24"/>
                <w:szCs w:val="24"/>
              </w:rPr>
            </w:pPr>
            <w:r>
              <w:rPr>
                <w:rFonts w:eastAsia="Times New Roman"/>
              </w:rPr>
              <w:t>0-17 months</w:t>
            </w:r>
          </w:p>
        </w:tc>
        <w:tc>
          <w:tcPr>
            <w:tcW w:w="0" w:type="auto"/>
            <w:hideMark/>
          </w:tcPr>
          <w:p w14:paraId="5AD86D7B" w14:textId="77777777" w:rsidR="009E3A88" w:rsidRDefault="009E3A88">
            <w:pPr>
              <w:rPr>
                <w:rFonts w:eastAsia="Times New Roman"/>
                <w:sz w:val="24"/>
                <w:szCs w:val="24"/>
              </w:rPr>
            </w:pPr>
            <w:r>
              <w:rPr>
                <w:rFonts w:eastAsia="Times New Roman"/>
              </w:rPr>
              <w:t>1,020</w:t>
            </w:r>
          </w:p>
        </w:tc>
        <w:tc>
          <w:tcPr>
            <w:tcW w:w="0" w:type="auto"/>
            <w:hideMark/>
          </w:tcPr>
          <w:p w14:paraId="3BECF42E" w14:textId="77777777" w:rsidR="009E3A88" w:rsidRDefault="009E3A88">
            <w:pPr>
              <w:rPr>
                <w:rFonts w:eastAsia="Times New Roman"/>
                <w:sz w:val="24"/>
                <w:szCs w:val="24"/>
              </w:rPr>
            </w:pPr>
            <w:r>
              <w:rPr>
                <w:rFonts w:eastAsia="Times New Roman"/>
              </w:rPr>
              <w:t>45.2 (41.6-49.1)</w:t>
            </w:r>
          </w:p>
        </w:tc>
        <w:tc>
          <w:tcPr>
            <w:tcW w:w="0" w:type="auto"/>
            <w:hideMark/>
          </w:tcPr>
          <w:p w14:paraId="0C606327" w14:textId="77777777" w:rsidR="009E3A88" w:rsidRDefault="009E3A88">
            <w:pPr>
              <w:rPr>
                <w:rFonts w:eastAsia="Times New Roman"/>
                <w:sz w:val="24"/>
                <w:szCs w:val="24"/>
              </w:rPr>
            </w:pPr>
            <w:r>
              <w:rPr>
                <w:rFonts w:eastAsia="Times New Roman"/>
              </w:rPr>
              <w:t>454</w:t>
            </w:r>
          </w:p>
        </w:tc>
        <w:tc>
          <w:tcPr>
            <w:tcW w:w="0" w:type="auto"/>
            <w:hideMark/>
          </w:tcPr>
          <w:p w14:paraId="68C88BDC" w14:textId="77777777" w:rsidR="009E3A88" w:rsidRDefault="009E3A88">
            <w:pPr>
              <w:rPr>
                <w:rFonts w:eastAsia="Times New Roman"/>
                <w:sz w:val="24"/>
                <w:szCs w:val="24"/>
              </w:rPr>
            </w:pPr>
            <w:r>
              <w:rPr>
                <w:rFonts w:eastAsia="Times New Roman"/>
              </w:rPr>
              <w:t>14.8 (12.1-18.1)</w:t>
            </w:r>
          </w:p>
        </w:tc>
        <w:tc>
          <w:tcPr>
            <w:tcW w:w="0" w:type="auto"/>
            <w:hideMark/>
          </w:tcPr>
          <w:p w14:paraId="70AA55B4" w14:textId="77777777" w:rsidR="009E3A88" w:rsidRDefault="009E3A88">
            <w:pPr>
              <w:rPr>
                <w:rFonts w:eastAsia="Times New Roman"/>
                <w:sz w:val="24"/>
                <w:szCs w:val="24"/>
              </w:rPr>
            </w:pPr>
            <w:r>
              <w:rPr>
                <w:rFonts w:eastAsia="Times New Roman"/>
              </w:rPr>
              <w:t>0.33 (0.26-0.40)</w:t>
            </w:r>
          </w:p>
        </w:tc>
      </w:tr>
      <w:tr w:rsidR="009E3A88" w14:paraId="760A55B7" w14:textId="77777777" w:rsidTr="00024D61">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7D239C4" w14:textId="77777777" w:rsidR="009E3A88" w:rsidRDefault="009E3A88">
            <w:pPr>
              <w:rPr>
                <w:rFonts w:eastAsia="Times New Roman"/>
                <w:sz w:val="24"/>
                <w:szCs w:val="24"/>
              </w:rPr>
            </w:pPr>
            <w:r>
              <w:rPr>
                <w:rFonts w:eastAsia="Times New Roman"/>
              </w:rPr>
              <w:t>18-59 months</w:t>
            </w:r>
          </w:p>
        </w:tc>
        <w:tc>
          <w:tcPr>
            <w:tcW w:w="0" w:type="auto"/>
            <w:hideMark/>
          </w:tcPr>
          <w:p w14:paraId="26FED4CB" w14:textId="77777777" w:rsidR="009E3A88" w:rsidRDefault="009E3A88">
            <w:pPr>
              <w:rPr>
                <w:rFonts w:eastAsia="Times New Roman"/>
                <w:sz w:val="24"/>
                <w:szCs w:val="24"/>
              </w:rPr>
            </w:pPr>
            <w:r>
              <w:rPr>
                <w:rFonts w:eastAsia="Times New Roman"/>
              </w:rPr>
              <w:t>2,188</w:t>
            </w:r>
          </w:p>
        </w:tc>
        <w:tc>
          <w:tcPr>
            <w:tcW w:w="0" w:type="auto"/>
            <w:hideMark/>
          </w:tcPr>
          <w:p w14:paraId="19363941" w14:textId="77777777" w:rsidR="009E3A88" w:rsidRDefault="009E3A88">
            <w:pPr>
              <w:rPr>
                <w:rFonts w:eastAsia="Times New Roman"/>
                <w:sz w:val="24"/>
                <w:szCs w:val="24"/>
              </w:rPr>
            </w:pPr>
            <w:r>
              <w:rPr>
                <w:rFonts w:eastAsia="Times New Roman"/>
              </w:rPr>
              <w:t>40.7 (35.1-47.2)</w:t>
            </w:r>
          </w:p>
        </w:tc>
        <w:tc>
          <w:tcPr>
            <w:tcW w:w="0" w:type="auto"/>
            <w:hideMark/>
          </w:tcPr>
          <w:p w14:paraId="503F2D5B" w14:textId="77777777" w:rsidR="009E3A88" w:rsidRDefault="009E3A88">
            <w:pPr>
              <w:rPr>
                <w:rFonts w:eastAsia="Times New Roman"/>
                <w:sz w:val="24"/>
                <w:szCs w:val="24"/>
              </w:rPr>
            </w:pPr>
            <w:r>
              <w:rPr>
                <w:rFonts w:eastAsia="Times New Roman"/>
              </w:rPr>
              <w:t>458</w:t>
            </w:r>
          </w:p>
        </w:tc>
        <w:tc>
          <w:tcPr>
            <w:tcW w:w="0" w:type="auto"/>
            <w:hideMark/>
          </w:tcPr>
          <w:p w14:paraId="22BBE57C" w14:textId="77777777" w:rsidR="009E3A88" w:rsidRDefault="009E3A88">
            <w:pPr>
              <w:rPr>
                <w:rFonts w:eastAsia="Times New Roman"/>
                <w:sz w:val="24"/>
                <w:szCs w:val="24"/>
              </w:rPr>
            </w:pPr>
            <w:r>
              <w:rPr>
                <w:rFonts w:eastAsia="Times New Roman"/>
              </w:rPr>
              <w:t>6.7 (5.0-8.9)</w:t>
            </w:r>
          </w:p>
        </w:tc>
        <w:tc>
          <w:tcPr>
            <w:tcW w:w="0" w:type="auto"/>
            <w:hideMark/>
          </w:tcPr>
          <w:p w14:paraId="1D5F8F54" w14:textId="77777777" w:rsidR="009E3A88" w:rsidRDefault="009E3A88">
            <w:pPr>
              <w:rPr>
                <w:rFonts w:eastAsia="Times New Roman"/>
                <w:sz w:val="24"/>
                <w:szCs w:val="24"/>
              </w:rPr>
            </w:pPr>
            <w:r>
              <w:rPr>
                <w:rFonts w:eastAsia="Times New Roman"/>
              </w:rPr>
              <w:t>0.16 (0.12-0.23)</w:t>
            </w:r>
          </w:p>
        </w:tc>
      </w:tr>
      <w:tr w:rsidR="009E3A88" w14:paraId="20CE78F1" w14:textId="77777777" w:rsidTr="00024D61">
        <w:tblPrEx>
          <w:tblCellMar>
            <w:top w:w="0" w:type="dxa"/>
            <w:left w:w="108" w:type="dxa"/>
            <w:bottom w:w="0" w:type="dxa"/>
            <w:right w:w="108" w:type="dxa"/>
          </w:tblCellMar>
        </w:tblPrEx>
        <w:tc>
          <w:tcPr>
            <w:tcW w:w="0" w:type="auto"/>
            <w:hideMark/>
          </w:tcPr>
          <w:p w14:paraId="05874346" w14:textId="77777777" w:rsidR="009E3A88" w:rsidRDefault="009E3A88">
            <w:pPr>
              <w:rPr>
                <w:rFonts w:eastAsia="Times New Roman"/>
                <w:sz w:val="24"/>
                <w:szCs w:val="24"/>
              </w:rPr>
            </w:pPr>
            <w:r>
              <w:rPr>
                <w:rFonts w:eastAsia="Times New Roman"/>
              </w:rPr>
              <w:t>5-9 years</w:t>
            </w:r>
          </w:p>
        </w:tc>
        <w:tc>
          <w:tcPr>
            <w:tcW w:w="0" w:type="auto"/>
            <w:hideMark/>
          </w:tcPr>
          <w:p w14:paraId="312C7639" w14:textId="77777777" w:rsidR="009E3A88" w:rsidRDefault="009E3A88">
            <w:pPr>
              <w:rPr>
                <w:rFonts w:eastAsia="Times New Roman"/>
                <w:sz w:val="24"/>
                <w:szCs w:val="24"/>
              </w:rPr>
            </w:pPr>
            <w:r>
              <w:rPr>
                <w:rFonts w:eastAsia="Times New Roman"/>
              </w:rPr>
              <w:t>713</w:t>
            </w:r>
          </w:p>
        </w:tc>
        <w:tc>
          <w:tcPr>
            <w:tcW w:w="0" w:type="auto"/>
            <w:hideMark/>
          </w:tcPr>
          <w:p w14:paraId="11C03F7A" w14:textId="77777777" w:rsidR="009E3A88" w:rsidRDefault="009E3A88">
            <w:pPr>
              <w:rPr>
                <w:rFonts w:eastAsia="Times New Roman"/>
                <w:sz w:val="24"/>
                <w:szCs w:val="24"/>
              </w:rPr>
            </w:pPr>
            <w:r>
              <w:rPr>
                <w:rFonts w:eastAsia="Times New Roman"/>
              </w:rPr>
              <w:t>8.9 (7.82-10.2)</w:t>
            </w:r>
          </w:p>
        </w:tc>
        <w:tc>
          <w:tcPr>
            <w:tcW w:w="0" w:type="auto"/>
            <w:hideMark/>
          </w:tcPr>
          <w:p w14:paraId="174FEBD6" w14:textId="77777777" w:rsidR="009E3A88" w:rsidRDefault="009E3A88">
            <w:pPr>
              <w:rPr>
                <w:rFonts w:eastAsia="Times New Roman"/>
                <w:sz w:val="24"/>
                <w:szCs w:val="24"/>
              </w:rPr>
            </w:pPr>
            <w:r>
              <w:rPr>
                <w:rFonts w:eastAsia="Times New Roman"/>
              </w:rPr>
              <w:t>338</w:t>
            </w:r>
          </w:p>
        </w:tc>
        <w:tc>
          <w:tcPr>
            <w:tcW w:w="0" w:type="auto"/>
            <w:hideMark/>
          </w:tcPr>
          <w:p w14:paraId="70173347" w14:textId="77777777" w:rsidR="009E3A88" w:rsidRDefault="009E3A88">
            <w:pPr>
              <w:rPr>
                <w:rFonts w:eastAsia="Times New Roman"/>
                <w:sz w:val="24"/>
                <w:szCs w:val="24"/>
              </w:rPr>
            </w:pPr>
            <w:r>
              <w:rPr>
                <w:rFonts w:eastAsia="Times New Roman"/>
              </w:rPr>
              <w:t>3.6 (2.5-5.0)</w:t>
            </w:r>
          </w:p>
        </w:tc>
        <w:tc>
          <w:tcPr>
            <w:tcW w:w="0" w:type="auto"/>
            <w:hideMark/>
          </w:tcPr>
          <w:p w14:paraId="45171005" w14:textId="77777777" w:rsidR="009E3A88" w:rsidRDefault="009E3A88">
            <w:pPr>
              <w:rPr>
                <w:rFonts w:eastAsia="Times New Roman"/>
                <w:sz w:val="24"/>
                <w:szCs w:val="24"/>
              </w:rPr>
            </w:pPr>
            <w:r>
              <w:rPr>
                <w:rFonts w:eastAsia="Times New Roman"/>
              </w:rPr>
              <w:t>0.40 (0.27-0.58)</w:t>
            </w:r>
          </w:p>
        </w:tc>
      </w:tr>
      <w:tr w:rsidR="009E3A88" w14:paraId="49F77C93" w14:textId="77777777" w:rsidTr="00024D61">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C028952" w14:textId="77777777" w:rsidR="009E3A88" w:rsidRDefault="009E3A88">
            <w:pPr>
              <w:rPr>
                <w:rFonts w:eastAsia="Times New Roman"/>
                <w:sz w:val="24"/>
                <w:szCs w:val="24"/>
              </w:rPr>
            </w:pPr>
            <w:r>
              <w:rPr>
                <w:rFonts w:eastAsia="Times New Roman"/>
              </w:rPr>
              <w:t>10-14 years</w:t>
            </w:r>
          </w:p>
        </w:tc>
        <w:tc>
          <w:tcPr>
            <w:tcW w:w="0" w:type="auto"/>
            <w:hideMark/>
          </w:tcPr>
          <w:p w14:paraId="785AEB79" w14:textId="77777777" w:rsidR="009E3A88" w:rsidRDefault="009E3A88">
            <w:pPr>
              <w:rPr>
                <w:rFonts w:eastAsia="Times New Roman"/>
                <w:sz w:val="24"/>
                <w:szCs w:val="24"/>
              </w:rPr>
            </w:pPr>
            <w:r>
              <w:rPr>
                <w:rFonts w:eastAsia="Times New Roman"/>
              </w:rPr>
              <w:t>269</w:t>
            </w:r>
          </w:p>
        </w:tc>
        <w:tc>
          <w:tcPr>
            <w:tcW w:w="0" w:type="auto"/>
            <w:hideMark/>
          </w:tcPr>
          <w:p w14:paraId="5308753F" w14:textId="77777777" w:rsidR="009E3A88" w:rsidRDefault="009E3A88">
            <w:pPr>
              <w:rPr>
                <w:rFonts w:eastAsia="Times New Roman"/>
                <w:sz w:val="24"/>
                <w:szCs w:val="24"/>
              </w:rPr>
            </w:pPr>
            <w:r>
              <w:rPr>
                <w:rFonts w:eastAsia="Times New Roman"/>
              </w:rPr>
              <w:t>3.3 (2.9-3.9)</w:t>
            </w:r>
          </w:p>
        </w:tc>
        <w:tc>
          <w:tcPr>
            <w:tcW w:w="0" w:type="auto"/>
            <w:hideMark/>
          </w:tcPr>
          <w:p w14:paraId="0686C822" w14:textId="77777777" w:rsidR="009E3A88" w:rsidRDefault="009E3A88">
            <w:pPr>
              <w:rPr>
                <w:rFonts w:eastAsia="Times New Roman"/>
                <w:sz w:val="24"/>
                <w:szCs w:val="24"/>
              </w:rPr>
            </w:pPr>
            <w:r>
              <w:rPr>
                <w:rFonts w:eastAsia="Times New Roman"/>
              </w:rPr>
              <w:t>202</w:t>
            </w:r>
          </w:p>
        </w:tc>
        <w:tc>
          <w:tcPr>
            <w:tcW w:w="0" w:type="auto"/>
            <w:hideMark/>
          </w:tcPr>
          <w:p w14:paraId="7BB87672" w14:textId="77777777" w:rsidR="009E3A88" w:rsidRDefault="009E3A88">
            <w:pPr>
              <w:rPr>
                <w:rFonts w:eastAsia="Times New Roman"/>
                <w:sz w:val="24"/>
                <w:szCs w:val="24"/>
              </w:rPr>
            </w:pPr>
            <w:r>
              <w:rPr>
                <w:rFonts w:eastAsia="Times New Roman"/>
              </w:rPr>
              <w:t>2.1 (1.8-2.4)</w:t>
            </w:r>
          </w:p>
        </w:tc>
        <w:tc>
          <w:tcPr>
            <w:tcW w:w="0" w:type="auto"/>
            <w:hideMark/>
          </w:tcPr>
          <w:p w14:paraId="6EA4F929" w14:textId="77777777" w:rsidR="009E3A88" w:rsidRDefault="009E3A88">
            <w:pPr>
              <w:rPr>
                <w:rFonts w:eastAsia="Times New Roman"/>
                <w:sz w:val="24"/>
                <w:szCs w:val="24"/>
              </w:rPr>
            </w:pPr>
            <w:r>
              <w:rPr>
                <w:rFonts w:eastAsia="Times New Roman"/>
              </w:rPr>
              <w:t>0.63 (0.52-0.76)</w:t>
            </w:r>
          </w:p>
        </w:tc>
      </w:tr>
      <w:tr w:rsidR="009E3A88" w14:paraId="598E751C" w14:textId="77777777" w:rsidTr="00024D61">
        <w:tblPrEx>
          <w:tblCellMar>
            <w:top w:w="0" w:type="dxa"/>
            <w:left w:w="108" w:type="dxa"/>
            <w:bottom w:w="0" w:type="dxa"/>
            <w:right w:w="108" w:type="dxa"/>
          </w:tblCellMar>
        </w:tblPrEx>
        <w:tc>
          <w:tcPr>
            <w:tcW w:w="0" w:type="auto"/>
            <w:hideMark/>
          </w:tcPr>
          <w:p w14:paraId="3672F5C9" w14:textId="77777777" w:rsidR="009E3A88" w:rsidRDefault="009E3A88">
            <w:pPr>
              <w:rPr>
                <w:rFonts w:eastAsia="Times New Roman"/>
                <w:sz w:val="24"/>
                <w:szCs w:val="24"/>
              </w:rPr>
            </w:pPr>
            <w:r>
              <w:rPr>
                <w:rFonts w:eastAsia="Times New Roman"/>
              </w:rPr>
              <w:t>15-19 years</w:t>
            </w:r>
          </w:p>
        </w:tc>
        <w:tc>
          <w:tcPr>
            <w:tcW w:w="0" w:type="auto"/>
            <w:hideMark/>
          </w:tcPr>
          <w:p w14:paraId="734BE673" w14:textId="77777777" w:rsidR="009E3A88" w:rsidRDefault="009E3A88">
            <w:pPr>
              <w:rPr>
                <w:rFonts w:eastAsia="Times New Roman"/>
                <w:sz w:val="24"/>
                <w:szCs w:val="24"/>
              </w:rPr>
            </w:pPr>
            <w:r>
              <w:rPr>
                <w:rFonts w:eastAsia="Times New Roman"/>
              </w:rPr>
              <w:t>291</w:t>
            </w:r>
          </w:p>
        </w:tc>
        <w:tc>
          <w:tcPr>
            <w:tcW w:w="0" w:type="auto"/>
            <w:hideMark/>
          </w:tcPr>
          <w:p w14:paraId="41D4C017" w14:textId="77777777" w:rsidR="009E3A88" w:rsidRDefault="009E3A88">
            <w:pPr>
              <w:rPr>
                <w:rFonts w:eastAsia="Times New Roman"/>
                <w:sz w:val="24"/>
                <w:szCs w:val="24"/>
              </w:rPr>
            </w:pPr>
            <w:r>
              <w:rPr>
                <w:rFonts w:eastAsia="Times New Roman"/>
              </w:rPr>
              <w:t>3.6 (3.1-4.2)</w:t>
            </w:r>
          </w:p>
        </w:tc>
        <w:tc>
          <w:tcPr>
            <w:tcW w:w="0" w:type="auto"/>
            <w:hideMark/>
          </w:tcPr>
          <w:p w14:paraId="19DA0501" w14:textId="77777777" w:rsidR="009E3A88" w:rsidRDefault="009E3A88">
            <w:pPr>
              <w:rPr>
                <w:rFonts w:eastAsia="Times New Roman"/>
                <w:sz w:val="24"/>
                <w:szCs w:val="24"/>
              </w:rPr>
            </w:pPr>
            <w:r>
              <w:rPr>
                <w:rFonts w:eastAsia="Times New Roman"/>
              </w:rPr>
              <w:t>165</w:t>
            </w:r>
          </w:p>
        </w:tc>
        <w:tc>
          <w:tcPr>
            <w:tcW w:w="0" w:type="auto"/>
            <w:hideMark/>
          </w:tcPr>
          <w:p w14:paraId="5BFEB840" w14:textId="77777777" w:rsidR="009E3A88" w:rsidRDefault="009E3A88">
            <w:pPr>
              <w:rPr>
                <w:rFonts w:eastAsia="Times New Roman"/>
                <w:sz w:val="24"/>
                <w:szCs w:val="24"/>
              </w:rPr>
            </w:pPr>
            <w:r>
              <w:rPr>
                <w:rFonts w:eastAsia="Times New Roman"/>
              </w:rPr>
              <w:t>1.6 (1.4-1.9)</w:t>
            </w:r>
          </w:p>
        </w:tc>
        <w:tc>
          <w:tcPr>
            <w:tcW w:w="0" w:type="auto"/>
            <w:hideMark/>
          </w:tcPr>
          <w:p w14:paraId="55EF54A1" w14:textId="77777777" w:rsidR="009E3A88" w:rsidRDefault="009E3A88">
            <w:pPr>
              <w:rPr>
                <w:rFonts w:eastAsia="Times New Roman"/>
                <w:sz w:val="24"/>
                <w:szCs w:val="24"/>
              </w:rPr>
            </w:pPr>
            <w:r>
              <w:rPr>
                <w:rFonts w:eastAsia="Times New Roman"/>
              </w:rPr>
              <w:t>0.45 (0.36-0.56)</w:t>
            </w:r>
          </w:p>
        </w:tc>
      </w:tr>
      <w:tr w:rsidR="009E3A88" w14:paraId="391460C1" w14:textId="77777777" w:rsidTr="00024D61">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92F9E18" w14:textId="77777777" w:rsidR="009E3A88" w:rsidRDefault="009E3A88">
            <w:pPr>
              <w:rPr>
                <w:rFonts w:eastAsia="Times New Roman"/>
                <w:sz w:val="24"/>
                <w:szCs w:val="24"/>
              </w:rPr>
            </w:pPr>
            <w:r>
              <w:rPr>
                <w:rFonts w:eastAsia="Times New Roman"/>
              </w:rPr>
              <w:t>20-29 years</w:t>
            </w:r>
          </w:p>
        </w:tc>
        <w:tc>
          <w:tcPr>
            <w:tcW w:w="0" w:type="auto"/>
            <w:hideMark/>
          </w:tcPr>
          <w:p w14:paraId="42D0E047" w14:textId="77777777" w:rsidR="009E3A88" w:rsidRDefault="009E3A88">
            <w:pPr>
              <w:rPr>
                <w:rFonts w:eastAsia="Times New Roman"/>
                <w:sz w:val="24"/>
                <w:szCs w:val="24"/>
              </w:rPr>
            </w:pPr>
            <w:r>
              <w:rPr>
                <w:rFonts w:eastAsia="Times New Roman"/>
              </w:rPr>
              <w:t>913</w:t>
            </w:r>
          </w:p>
        </w:tc>
        <w:tc>
          <w:tcPr>
            <w:tcW w:w="0" w:type="auto"/>
            <w:hideMark/>
          </w:tcPr>
          <w:p w14:paraId="6238CA4C" w14:textId="77777777" w:rsidR="009E3A88" w:rsidRDefault="009E3A88">
            <w:pPr>
              <w:rPr>
                <w:rFonts w:eastAsia="Times New Roman"/>
                <w:sz w:val="24"/>
                <w:szCs w:val="24"/>
              </w:rPr>
            </w:pPr>
            <w:r>
              <w:rPr>
                <w:rFonts w:eastAsia="Times New Roman"/>
              </w:rPr>
              <w:t>5.6 (5.2-6.1)</w:t>
            </w:r>
          </w:p>
        </w:tc>
        <w:tc>
          <w:tcPr>
            <w:tcW w:w="0" w:type="auto"/>
            <w:hideMark/>
          </w:tcPr>
          <w:p w14:paraId="37B5C2E4" w14:textId="77777777" w:rsidR="009E3A88" w:rsidRDefault="009E3A88">
            <w:pPr>
              <w:rPr>
                <w:rFonts w:eastAsia="Times New Roman"/>
                <w:sz w:val="24"/>
                <w:szCs w:val="24"/>
              </w:rPr>
            </w:pPr>
            <w:r>
              <w:rPr>
                <w:rFonts w:eastAsia="Times New Roman"/>
              </w:rPr>
              <w:t>432</w:t>
            </w:r>
          </w:p>
        </w:tc>
        <w:tc>
          <w:tcPr>
            <w:tcW w:w="0" w:type="auto"/>
            <w:hideMark/>
          </w:tcPr>
          <w:p w14:paraId="53027347" w14:textId="77777777" w:rsidR="009E3A88" w:rsidRDefault="009E3A88">
            <w:pPr>
              <w:rPr>
                <w:rFonts w:eastAsia="Times New Roman"/>
                <w:sz w:val="24"/>
                <w:szCs w:val="24"/>
              </w:rPr>
            </w:pPr>
            <w:r>
              <w:rPr>
                <w:rFonts w:eastAsia="Times New Roman"/>
              </w:rPr>
              <w:t>2.0 (1.6-2.3)</w:t>
            </w:r>
          </w:p>
        </w:tc>
        <w:tc>
          <w:tcPr>
            <w:tcW w:w="0" w:type="auto"/>
            <w:hideMark/>
          </w:tcPr>
          <w:p w14:paraId="200D4B74" w14:textId="77777777" w:rsidR="009E3A88" w:rsidRDefault="009E3A88">
            <w:pPr>
              <w:rPr>
                <w:rFonts w:eastAsia="Times New Roman"/>
                <w:sz w:val="24"/>
                <w:szCs w:val="24"/>
              </w:rPr>
            </w:pPr>
            <w:r>
              <w:rPr>
                <w:rFonts w:eastAsia="Times New Roman"/>
              </w:rPr>
              <w:t>0.35 (0.29-0.41)</w:t>
            </w:r>
          </w:p>
        </w:tc>
      </w:tr>
      <w:tr w:rsidR="009E3A88" w14:paraId="6BA34DE8" w14:textId="77777777" w:rsidTr="00024D61">
        <w:tblPrEx>
          <w:tblCellMar>
            <w:top w:w="0" w:type="dxa"/>
            <w:left w:w="108" w:type="dxa"/>
            <w:bottom w:w="0" w:type="dxa"/>
            <w:right w:w="108" w:type="dxa"/>
          </w:tblCellMar>
        </w:tblPrEx>
        <w:tc>
          <w:tcPr>
            <w:tcW w:w="0" w:type="auto"/>
            <w:hideMark/>
          </w:tcPr>
          <w:p w14:paraId="5DD0AE1E" w14:textId="77777777" w:rsidR="009E3A88" w:rsidRDefault="009E3A88">
            <w:pPr>
              <w:rPr>
                <w:rFonts w:eastAsia="Times New Roman"/>
                <w:sz w:val="24"/>
                <w:szCs w:val="24"/>
              </w:rPr>
            </w:pPr>
            <w:r>
              <w:rPr>
                <w:rFonts w:eastAsia="Times New Roman"/>
              </w:rPr>
              <w:t>30-39 years</w:t>
            </w:r>
          </w:p>
        </w:tc>
        <w:tc>
          <w:tcPr>
            <w:tcW w:w="0" w:type="auto"/>
            <w:hideMark/>
          </w:tcPr>
          <w:p w14:paraId="29B4A538" w14:textId="77777777" w:rsidR="009E3A88" w:rsidRDefault="009E3A88">
            <w:pPr>
              <w:rPr>
                <w:rFonts w:eastAsia="Times New Roman"/>
                <w:sz w:val="24"/>
                <w:szCs w:val="24"/>
              </w:rPr>
            </w:pPr>
            <w:r>
              <w:rPr>
                <w:rFonts w:eastAsia="Times New Roman"/>
              </w:rPr>
              <w:t>850</w:t>
            </w:r>
          </w:p>
        </w:tc>
        <w:tc>
          <w:tcPr>
            <w:tcW w:w="0" w:type="auto"/>
            <w:hideMark/>
          </w:tcPr>
          <w:p w14:paraId="1233138A" w14:textId="77777777" w:rsidR="009E3A88" w:rsidRDefault="009E3A88">
            <w:pPr>
              <w:rPr>
                <w:rFonts w:eastAsia="Times New Roman"/>
                <w:sz w:val="24"/>
                <w:szCs w:val="24"/>
              </w:rPr>
            </w:pPr>
            <w:r>
              <w:rPr>
                <w:rFonts w:eastAsia="Times New Roman"/>
              </w:rPr>
              <w:t>4.8 (4.4-5.3)</w:t>
            </w:r>
          </w:p>
        </w:tc>
        <w:tc>
          <w:tcPr>
            <w:tcW w:w="0" w:type="auto"/>
            <w:hideMark/>
          </w:tcPr>
          <w:p w14:paraId="4C813F78" w14:textId="77777777" w:rsidR="009E3A88" w:rsidRDefault="009E3A88">
            <w:pPr>
              <w:rPr>
                <w:rFonts w:eastAsia="Times New Roman"/>
                <w:sz w:val="24"/>
                <w:szCs w:val="24"/>
              </w:rPr>
            </w:pPr>
            <w:r>
              <w:rPr>
                <w:rFonts w:eastAsia="Times New Roman"/>
              </w:rPr>
              <w:t>584</w:t>
            </w:r>
          </w:p>
        </w:tc>
        <w:tc>
          <w:tcPr>
            <w:tcW w:w="0" w:type="auto"/>
            <w:hideMark/>
          </w:tcPr>
          <w:p w14:paraId="156CAA20" w14:textId="77777777" w:rsidR="009E3A88" w:rsidRDefault="009E3A88">
            <w:pPr>
              <w:rPr>
                <w:rFonts w:eastAsia="Times New Roman"/>
                <w:sz w:val="24"/>
                <w:szCs w:val="24"/>
              </w:rPr>
            </w:pPr>
            <w:r>
              <w:rPr>
                <w:rFonts w:eastAsia="Times New Roman"/>
              </w:rPr>
              <w:t>2.7 (2.3-3.2)</w:t>
            </w:r>
          </w:p>
        </w:tc>
        <w:tc>
          <w:tcPr>
            <w:tcW w:w="0" w:type="auto"/>
            <w:hideMark/>
          </w:tcPr>
          <w:p w14:paraId="04C744B4" w14:textId="77777777" w:rsidR="009E3A88" w:rsidRDefault="009E3A88">
            <w:pPr>
              <w:rPr>
                <w:rFonts w:eastAsia="Times New Roman"/>
                <w:sz w:val="24"/>
                <w:szCs w:val="24"/>
              </w:rPr>
            </w:pPr>
            <w:r>
              <w:rPr>
                <w:rFonts w:eastAsia="Times New Roman"/>
              </w:rPr>
              <w:t>0.56 (0.46-0.68)</w:t>
            </w:r>
          </w:p>
        </w:tc>
      </w:tr>
      <w:tr w:rsidR="009E3A88" w14:paraId="36C7B638" w14:textId="77777777" w:rsidTr="00024D61">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2F0B709" w14:textId="77777777" w:rsidR="009E3A88" w:rsidRDefault="009E3A88">
            <w:pPr>
              <w:rPr>
                <w:rFonts w:eastAsia="Times New Roman"/>
                <w:sz w:val="24"/>
                <w:szCs w:val="24"/>
              </w:rPr>
            </w:pPr>
            <w:r>
              <w:rPr>
                <w:rFonts w:eastAsia="Times New Roman"/>
              </w:rPr>
              <w:t>≥40 years</w:t>
            </w:r>
          </w:p>
        </w:tc>
        <w:tc>
          <w:tcPr>
            <w:tcW w:w="0" w:type="auto"/>
            <w:hideMark/>
          </w:tcPr>
          <w:p w14:paraId="17AADAEB" w14:textId="77777777" w:rsidR="009E3A88" w:rsidRDefault="009E3A88">
            <w:pPr>
              <w:rPr>
                <w:rFonts w:eastAsia="Times New Roman"/>
                <w:sz w:val="24"/>
                <w:szCs w:val="24"/>
              </w:rPr>
            </w:pPr>
            <w:r>
              <w:rPr>
                <w:rFonts w:eastAsia="Times New Roman"/>
              </w:rPr>
              <w:t>690</w:t>
            </w:r>
          </w:p>
        </w:tc>
        <w:tc>
          <w:tcPr>
            <w:tcW w:w="0" w:type="auto"/>
            <w:hideMark/>
          </w:tcPr>
          <w:p w14:paraId="109D2C96" w14:textId="77777777" w:rsidR="009E3A88" w:rsidRDefault="009E3A88">
            <w:pPr>
              <w:rPr>
                <w:rFonts w:eastAsia="Times New Roman"/>
                <w:sz w:val="24"/>
                <w:szCs w:val="24"/>
              </w:rPr>
            </w:pPr>
            <w:r>
              <w:rPr>
                <w:rFonts w:eastAsia="Times New Roman"/>
              </w:rPr>
              <w:t>1.4 (1.3-1.5)</w:t>
            </w:r>
          </w:p>
        </w:tc>
        <w:tc>
          <w:tcPr>
            <w:tcW w:w="0" w:type="auto"/>
            <w:hideMark/>
          </w:tcPr>
          <w:p w14:paraId="78C42758" w14:textId="77777777" w:rsidR="009E3A88" w:rsidRDefault="009E3A88">
            <w:pPr>
              <w:rPr>
                <w:rFonts w:eastAsia="Times New Roman"/>
                <w:sz w:val="24"/>
                <w:szCs w:val="24"/>
              </w:rPr>
            </w:pPr>
            <w:r>
              <w:rPr>
                <w:rFonts w:eastAsia="Times New Roman"/>
              </w:rPr>
              <w:t>1,105</w:t>
            </w:r>
          </w:p>
        </w:tc>
        <w:tc>
          <w:tcPr>
            <w:tcW w:w="0" w:type="auto"/>
            <w:hideMark/>
          </w:tcPr>
          <w:p w14:paraId="1826454B" w14:textId="77777777" w:rsidR="009E3A88" w:rsidRDefault="009E3A88">
            <w:pPr>
              <w:rPr>
                <w:rFonts w:eastAsia="Times New Roman"/>
                <w:sz w:val="24"/>
                <w:szCs w:val="24"/>
              </w:rPr>
            </w:pPr>
            <w:r>
              <w:rPr>
                <w:rFonts w:eastAsia="Times New Roman"/>
              </w:rPr>
              <w:t>1.6 (1.4-1.7)</w:t>
            </w:r>
          </w:p>
        </w:tc>
        <w:tc>
          <w:tcPr>
            <w:tcW w:w="0" w:type="auto"/>
            <w:hideMark/>
          </w:tcPr>
          <w:p w14:paraId="0F3D1E7F" w14:textId="77777777" w:rsidR="009E3A88" w:rsidRDefault="009E3A88">
            <w:pPr>
              <w:rPr>
                <w:rFonts w:eastAsia="Times New Roman"/>
                <w:sz w:val="24"/>
                <w:szCs w:val="24"/>
              </w:rPr>
            </w:pPr>
            <w:r>
              <w:rPr>
                <w:rFonts w:eastAsia="Times New Roman"/>
              </w:rPr>
              <w:t>1.15 (1.01-1.30)</w:t>
            </w:r>
          </w:p>
        </w:tc>
      </w:tr>
      <w:tr w:rsidR="009E3A88" w14:paraId="651377EB" w14:textId="77777777" w:rsidTr="00A30C7C">
        <w:tblPrEx>
          <w:tblCellMar>
            <w:top w:w="0" w:type="dxa"/>
            <w:left w:w="108" w:type="dxa"/>
            <w:bottom w:w="0" w:type="dxa"/>
            <w:right w:w="108" w:type="dxa"/>
          </w:tblCellMar>
        </w:tblPrEx>
        <w:tc>
          <w:tcPr>
            <w:tcW w:w="0" w:type="auto"/>
            <w:shd w:val="clear" w:color="auto" w:fill="FDE9D9" w:themeFill="accent6" w:themeFillTint="33"/>
            <w:hideMark/>
          </w:tcPr>
          <w:p w14:paraId="26A65225" w14:textId="77777777" w:rsidR="009E3A88" w:rsidRDefault="009E3A88">
            <w:pPr>
              <w:rPr>
                <w:rFonts w:eastAsia="Times New Roman"/>
                <w:sz w:val="24"/>
                <w:szCs w:val="24"/>
              </w:rPr>
            </w:pPr>
            <w:r>
              <w:rPr>
                <w:rFonts w:eastAsia="Times New Roman"/>
              </w:rPr>
              <w:t>All ages</w:t>
            </w:r>
          </w:p>
        </w:tc>
        <w:tc>
          <w:tcPr>
            <w:tcW w:w="0" w:type="auto"/>
            <w:shd w:val="clear" w:color="auto" w:fill="FDE9D9" w:themeFill="accent6" w:themeFillTint="33"/>
            <w:hideMark/>
          </w:tcPr>
          <w:p w14:paraId="55AA1A13" w14:textId="77777777" w:rsidR="009E3A88" w:rsidRDefault="009E3A88">
            <w:pPr>
              <w:rPr>
                <w:rFonts w:eastAsia="Times New Roman"/>
                <w:sz w:val="24"/>
                <w:szCs w:val="24"/>
              </w:rPr>
            </w:pPr>
            <w:r>
              <w:rPr>
                <w:rFonts w:eastAsia="Times New Roman"/>
              </w:rPr>
              <w:t>6,934</w:t>
            </w:r>
          </w:p>
        </w:tc>
        <w:tc>
          <w:tcPr>
            <w:tcW w:w="0" w:type="auto"/>
            <w:shd w:val="clear" w:color="auto" w:fill="FDE9D9" w:themeFill="accent6" w:themeFillTint="33"/>
            <w:hideMark/>
          </w:tcPr>
          <w:p w14:paraId="79B7336D" w14:textId="77777777" w:rsidR="009E3A88" w:rsidRDefault="009E3A88">
            <w:pPr>
              <w:rPr>
                <w:rFonts w:eastAsia="Times New Roman"/>
                <w:sz w:val="24"/>
                <w:szCs w:val="24"/>
              </w:rPr>
            </w:pPr>
            <w:r>
              <w:rPr>
                <w:rFonts w:eastAsia="Times New Roman"/>
              </w:rPr>
              <w:t>6.0 (5.5-6.5)</w:t>
            </w:r>
          </w:p>
        </w:tc>
        <w:tc>
          <w:tcPr>
            <w:tcW w:w="0" w:type="auto"/>
            <w:shd w:val="clear" w:color="auto" w:fill="FDE9D9" w:themeFill="accent6" w:themeFillTint="33"/>
            <w:hideMark/>
          </w:tcPr>
          <w:p w14:paraId="043CC55A" w14:textId="77777777" w:rsidR="009E3A88" w:rsidRDefault="009E3A88">
            <w:pPr>
              <w:rPr>
                <w:rFonts w:eastAsia="Times New Roman"/>
                <w:sz w:val="24"/>
                <w:szCs w:val="24"/>
              </w:rPr>
            </w:pPr>
            <w:r>
              <w:rPr>
                <w:rFonts w:eastAsia="Times New Roman"/>
              </w:rPr>
              <w:t>3,738</w:t>
            </w:r>
          </w:p>
        </w:tc>
        <w:tc>
          <w:tcPr>
            <w:tcW w:w="0" w:type="auto"/>
            <w:shd w:val="clear" w:color="auto" w:fill="FDE9D9" w:themeFill="accent6" w:themeFillTint="33"/>
            <w:hideMark/>
          </w:tcPr>
          <w:p w14:paraId="2A6BBEC6" w14:textId="77777777" w:rsidR="009E3A88" w:rsidRDefault="009E3A88">
            <w:pPr>
              <w:rPr>
                <w:rFonts w:eastAsia="Times New Roman"/>
                <w:sz w:val="24"/>
                <w:szCs w:val="24"/>
              </w:rPr>
            </w:pPr>
            <w:r>
              <w:rPr>
                <w:rFonts w:eastAsia="Times New Roman"/>
              </w:rPr>
              <w:t>2.4 (2.2-2.7)</w:t>
            </w:r>
          </w:p>
        </w:tc>
        <w:tc>
          <w:tcPr>
            <w:tcW w:w="0" w:type="auto"/>
            <w:shd w:val="clear" w:color="auto" w:fill="FDE9D9" w:themeFill="accent6" w:themeFillTint="33"/>
            <w:hideMark/>
          </w:tcPr>
          <w:p w14:paraId="02828ACC" w14:textId="77777777" w:rsidR="009E3A88" w:rsidRDefault="009E3A88">
            <w:pPr>
              <w:rPr>
                <w:rFonts w:eastAsia="Times New Roman"/>
                <w:sz w:val="24"/>
                <w:szCs w:val="24"/>
              </w:rPr>
            </w:pPr>
            <w:r>
              <w:rPr>
                <w:rFonts w:eastAsia="Times New Roman"/>
              </w:rPr>
              <w:t>0.41 (0.35-0.47)</w:t>
            </w:r>
          </w:p>
        </w:tc>
      </w:tr>
      <w:tr w:rsidR="009E3A88" w:rsidRPr="006E5C42" w14:paraId="246AE2D1" w14:textId="77777777" w:rsidTr="00A30C7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6"/>
            <w:shd w:val="clear" w:color="auto" w:fill="808080" w:themeFill="background1" w:themeFillShade="80"/>
            <w:hideMark/>
          </w:tcPr>
          <w:p w14:paraId="36EC5AF9" w14:textId="77777777" w:rsidR="009E3A88" w:rsidRPr="006E5C42" w:rsidRDefault="009E3A88">
            <w:pPr>
              <w:rPr>
                <w:rFonts w:eastAsia="Times New Roman"/>
                <w:b/>
                <w:bCs/>
                <w:color w:val="FFFFFF" w:themeColor="background1"/>
                <w:sz w:val="24"/>
                <w:szCs w:val="24"/>
              </w:rPr>
            </w:pPr>
            <w:r w:rsidRPr="006E5C42">
              <w:rPr>
                <w:rFonts w:eastAsia="Times New Roman"/>
                <w:b/>
                <w:bCs/>
                <w:color w:val="FFFFFF" w:themeColor="background1"/>
              </w:rPr>
              <w:t>All varicella in all Australians</w:t>
            </w:r>
          </w:p>
        </w:tc>
      </w:tr>
      <w:tr w:rsidR="009E3A88" w14:paraId="250377F4" w14:textId="77777777" w:rsidTr="00024D61">
        <w:tblPrEx>
          <w:tblCellMar>
            <w:top w:w="0" w:type="dxa"/>
            <w:left w:w="108" w:type="dxa"/>
            <w:bottom w:w="0" w:type="dxa"/>
            <w:right w:w="108" w:type="dxa"/>
          </w:tblCellMar>
        </w:tblPrEx>
        <w:tc>
          <w:tcPr>
            <w:tcW w:w="0" w:type="auto"/>
            <w:hideMark/>
          </w:tcPr>
          <w:p w14:paraId="338C3608" w14:textId="77777777" w:rsidR="009E3A88" w:rsidRDefault="009E3A88">
            <w:pPr>
              <w:rPr>
                <w:rFonts w:eastAsia="Times New Roman"/>
                <w:sz w:val="24"/>
                <w:szCs w:val="24"/>
              </w:rPr>
            </w:pPr>
            <w:r>
              <w:rPr>
                <w:rFonts w:eastAsia="Times New Roman"/>
              </w:rPr>
              <w:t>0-17 months</w:t>
            </w:r>
          </w:p>
        </w:tc>
        <w:tc>
          <w:tcPr>
            <w:tcW w:w="0" w:type="auto"/>
            <w:hideMark/>
          </w:tcPr>
          <w:p w14:paraId="25019D09" w14:textId="77777777" w:rsidR="009E3A88" w:rsidRDefault="009E3A88">
            <w:pPr>
              <w:rPr>
                <w:rFonts w:eastAsia="Times New Roman"/>
                <w:sz w:val="24"/>
                <w:szCs w:val="24"/>
              </w:rPr>
            </w:pPr>
            <w:r>
              <w:rPr>
                <w:rFonts w:eastAsia="Times New Roman"/>
              </w:rPr>
              <w:t>1,421</w:t>
            </w:r>
          </w:p>
        </w:tc>
        <w:tc>
          <w:tcPr>
            <w:tcW w:w="0" w:type="auto"/>
            <w:hideMark/>
          </w:tcPr>
          <w:p w14:paraId="49F22ABA" w14:textId="77777777" w:rsidR="009E3A88" w:rsidRDefault="009E3A88">
            <w:pPr>
              <w:rPr>
                <w:rFonts w:eastAsia="Times New Roman"/>
                <w:sz w:val="24"/>
                <w:szCs w:val="24"/>
              </w:rPr>
            </w:pPr>
            <w:r>
              <w:rPr>
                <w:rFonts w:eastAsia="Times New Roman"/>
              </w:rPr>
              <w:t>62.9 (56.8-69.7)</w:t>
            </w:r>
          </w:p>
        </w:tc>
        <w:tc>
          <w:tcPr>
            <w:tcW w:w="0" w:type="auto"/>
            <w:hideMark/>
          </w:tcPr>
          <w:p w14:paraId="6A5DEDD8" w14:textId="77777777" w:rsidR="009E3A88" w:rsidRDefault="009E3A88">
            <w:pPr>
              <w:rPr>
                <w:rFonts w:eastAsia="Times New Roman"/>
                <w:sz w:val="24"/>
                <w:szCs w:val="24"/>
              </w:rPr>
            </w:pPr>
            <w:r>
              <w:rPr>
                <w:rFonts w:eastAsia="Times New Roman"/>
              </w:rPr>
              <w:t>592</w:t>
            </w:r>
          </w:p>
        </w:tc>
        <w:tc>
          <w:tcPr>
            <w:tcW w:w="0" w:type="auto"/>
            <w:hideMark/>
          </w:tcPr>
          <w:p w14:paraId="307A743A" w14:textId="77777777" w:rsidR="009E3A88" w:rsidRDefault="009E3A88">
            <w:pPr>
              <w:rPr>
                <w:rFonts w:eastAsia="Times New Roman"/>
                <w:sz w:val="24"/>
                <w:szCs w:val="24"/>
              </w:rPr>
            </w:pPr>
            <w:r>
              <w:rPr>
                <w:rFonts w:eastAsia="Times New Roman"/>
              </w:rPr>
              <w:t>19.3 (15.4-24.2)</w:t>
            </w:r>
          </w:p>
        </w:tc>
        <w:tc>
          <w:tcPr>
            <w:tcW w:w="0" w:type="auto"/>
            <w:hideMark/>
          </w:tcPr>
          <w:p w14:paraId="64C9991A" w14:textId="77777777" w:rsidR="009E3A88" w:rsidRDefault="009E3A88">
            <w:pPr>
              <w:rPr>
                <w:rFonts w:eastAsia="Times New Roman"/>
                <w:sz w:val="24"/>
                <w:szCs w:val="24"/>
              </w:rPr>
            </w:pPr>
            <w:r>
              <w:rPr>
                <w:rFonts w:eastAsia="Times New Roman"/>
              </w:rPr>
              <w:t>0.31 (0.24-0.39)</w:t>
            </w:r>
          </w:p>
        </w:tc>
      </w:tr>
      <w:tr w:rsidR="009E3A88" w14:paraId="50DE25CA" w14:textId="77777777" w:rsidTr="00024D61">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11D88A3" w14:textId="77777777" w:rsidR="009E3A88" w:rsidRDefault="009E3A88">
            <w:pPr>
              <w:rPr>
                <w:rFonts w:eastAsia="Times New Roman"/>
                <w:sz w:val="24"/>
                <w:szCs w:val="24"/>
              </w:rPr>
            </w:pPr>
            <w:r>
              <w:rPr>
                <w:rFonts w:eastAsia="Times New Roman"/>
              </w:rPr>
              <w:t>18-59 months</w:t>
            </w:r>
          </w:p>
        </w:tc>
        <w:tc>
          <w:tcPr>
            <w:tcW w:w="0" w:type="auto"/>
            <w:hideMark/>
          </w:tcPr>
          <w:p w14:paraId="350F8326" w14:textId="77777777" w:rsidR="009E3A88" w:rsidRDefault="009E3A88">
            <w:pPr>
              <w:rPr>
                <w:rFonts w:eastAsia="Times New Roman"/>
                <w:sz w:val="24"/>
                <w:szCs w:val="24"/>
              </w:rPr>
            </w:pPr>
            <w:r>
              <w:rPr>
                <w:rFonts w:eastAsia="Times New Roman"/>
              </w:rPr>
              <w:t>2,455</w:t>
            </w:r>
          </w:p>
        </w:tc>
        <w:tc>
          <w:tcPr>
            <w:tcW w:w="0" w:type="auto"/>
            <w:hideMark/>
          </w:tcPr>
          <w:p w14:paraId="2F27098B" w14:textId="77777777" w:rsidR="009E3A88" w:rsidRDefault="009E3A88">
            <w:pPr>
              <w:rPr>
                <w:rFonts w:eastAsia="Times New Roman"/>
                <w:sz w:val="24"/>
                <w:szCs w:val="24"/>
              </w:rPr>
            </w:pPr>
            <w:r>
              <w:rPr>
                <w:rFonts w:eastAsia="Times New Roman"/>
              </w:rPr>
              <w:t>45.6 (40.1-52.0)</w:t>
            </w:r>
          </w:p>
        </w:tc>
        <w:tc>
          <w:tcPr>
            <w:tcW w:w="0" w:type="auto"/>
            <w:hideMark/>
          </w:tcPr>
          <w:p w14:paraId="07A5F0F1" w14:textId="77777777" w:rsidR="009E3A88" w:rsidRDefault="009E3A88">
            <w:pPr>
              <w:rPr>
                <w:rFonts w:eastAsia="Times New Roman"/>
                <w:sz w:val="24"/>
                <w:szCs w:val="24"/>
              </w:rPr>
            </w:pPr>
            <w:r>
              <w:rPr>
                <w:rFonts w:eastAsia="Times New Roman"/>
              </w:rPr>
              <w:t>529</w:t>
            </w:r>
          </w:p>
        </w:tc>
        <w:tc>
          <w:tcPr>
            <w:tcW w:w="0" w:type="auto"/>
            <w:hideMark/>
          </w:tcPr>
          <w:p w14:paraId="0419000E" w14:textId="77777777" w:rsidR="009E3A88" w:rsidRDefault="009E3A88">
            <w:pPr>
              <w:rPr>
                <w:rFonts w:eastAsia="Times New Roman"/>
                <w:sz w:val="24"/>
                <w:szCs w:val="24"/>
              </w:rPr>
            </w:pPr>
            <w:r>
              <w:rPr>
                <w:rFonts w:eastAsia="Times New Roman"/>
              </w:rPr>
              <w:t>7.7 (5.5-10.1)</w:t>
            </w:r>
          </w:p>
        </w:tc>
        <w:tc>
          <w:tcPr>
            <w:tcW w:w="0" w:type="auto"/>
            <w:hideMark/>
          </w:tcPr>
          <w:p w14:paraId="4E23DCE5" w14:textId="77777777" w:rsidR="009E3A88" w:rsidRDefault="009E3A88">
            <w:pPr>
              <w:rPr>
                <w:rFonts w:eastAsia="Times New Roman"/>
                <w:sz w:val="24"/>
                <w:szCs w:val="24"/>
              </w:rPr>
            </w:pPr>
            <w:r>
              <w:rPr>
                <w:rFonts w:eastAsia="Times New Roman"/>
              </w:rPr>
              <w:t>0.17 (0.12-0.25)</w:t>
            </w:r>
          </w:p>
        </w:tc>
      </w:tr>
      <w:tr w:rsidR="009E3A88" w14:paraId="24E199DB" w14:textId="77777777" w:rsidTr="00024D61">
        <w:tblPrEx>
          <w:tblCellMar>
            <w:top w:w="0" w:type="dxa"/>
            <w:left w:w="108" w:type="dxa"/>
            <w:bottom w:w="0" w:type="dxa"/>
            <w:right w:w="108" w:type="dxa"/>
          </w:tblCellMar>
        </w:tblPrEx>
        <w:tc>
          <w:tcPr>
            <w:tcW w:w="0" w:type="auto"/>
            <w:hideMark/>
          </w:tcPr>
          <w:p w14:paraId="755CA619" w14:textId="77777777" w:rsidR="009E3A88" w:rsidRDefault="009E3A88">
            <w:pPr>
              <w:rPr>
                <w:rFonts w:eastAsia="Times New Roman"/>
                <w:sz w:val="24"/>
                <w:szCs w:val="24"/>
              </w:rPr>
            </w:pPr>
            <w:r>
              <w:rPr>
                <w:rFonts w:eastAsia="Times New Roman"/>
              </w:rPr>
              <w:t>5-9 years</w:t>
            </w:r>
          </w:p>
        </w:tc>
        <w:tc>
          <w:tcPr>
            <w:tcW w:w="0" w:type="auto"/>
            <w:hideMark/>
          </w:tcPr>
          <w:p w14:paraId="7E5D069D" w14:textId="77777777" w:rsidR="009E3A88" w:rsidRDefault="009E3A88">
            <w:pPr>
              <w:rPr>
                <w:rFonts w:eastAsia="Times New Roman"/>
                <w:sz w:val="24"/>
                <w:szCs w:val="24"/>
              </w:rPr>
            </w:pPr>
            <w:r>
              <w:rPr>
                <w:rFonts w:eastAsia="Times New Roman"/>
              </w:rPr>
              <w:t>1,129</w:t>
            </w:r>
          </w:p>
        </w:tc>
        <w:tc>
          <w:tcPr>
            <w:tcW w:w="0" w:type="auto"/>
            <w:hideMark/>
          </w:tcPr>
          <w:p w14:paraId="51D3A6DA" w14:textId="77777777" w:rsidR="009E3A88" w:rsidRDefault="009E3A88">
            <w:pPr>
              <w:rPr>
                <w:rFonts w:eastAsia="Times New Roman"/>
                <w:sz w:val="24"/>
                <w:szCs w:val="24"/>
              </w:rPr>
            </w:pPr>
            <w:r>
              <w:rPr>
                <w:rFonts w:eastAsia="Times New Roman"/>
              </w:rPr>
              <w:t>14.1 (12.5-15.9)</w:t>
            </w:r>
          </w:p>
        </w:tc>
        <w:tc>
          <w:tcPr>
            <w:tcW w:w="0" w:type="auto"/>
            <w:hideMark/>
          </w:tcPr>
          <w:p w14:paraId="3FB4CFBD" w14:textId="77777777" w:rsidR="009E3A88" w:rsidRDefault="009E3A88">
            <w:pPr>
              <w:rPr>
                <w:rFonts w:eastAsia="Times New Roman"/>
                <w:sz w:val="24"/>
                <w:szCs w:val="24"/>
              </w:rPr>
            </w:pPr>
            <w:r>
              <w:rPr>
                <w:rFonts w:eastAsia="Times New Roman"/>
              </w:rPr>
              <w:t>525</w:t>
            </w:r>
          </w:p>
        </w:tc>
        <w:tc>
          <w:tcPr>
            <w:tcW w:w="0" w:type="auto"/>
            <w:hideMark/>
          </w:tcPr>
          <w:p w14:paraId="169257A2" w14:textId="77777777" w:rsidR="009E3A88" w:rsidRDefault="009E3A88">
            <w:pPr>
              <w:rPr>
                <w:rFonts w:eastAsia="Times New Roman"/>
                <w:sz w:val="24"/>
                <w:szCs w:val="24"/>
              </w:rPr>
            </w:pPr>
            <w:r>
              <w:rPr>
                <w:rFonts w:eastAsia="Times New Roman"/>
              </w:rPr>
              <w:t>5.5 (4.0-7.6)</w:t>
            </w:r>
          </w:p>
        </w:tc>
        <w:tc>
          <w:tcPr>
            <w:tcW w:w="0" w:type="auto"/>
            <w:hideMark/>
          </w:tcPr>
          <w:p w14:paraId="0738B0C1" w14:textId="77777777" w:rsidR="009E3A88" w:rsidRDefault="009E3A88">
            <w:pPr>
              <w:rPr>
                <w:rFonts w:eastAsia="Times New Roman"/>
                <w:sz w:val="24"/>
                <w:szCs w:val="24"/>
              </w:rPr>
            </w:pPr>
            <w:r>
              <w:rPr>
                <w:rFonts w:eastAsia="Times New Roman"/>
              </w:rPr>
              <w:t>0.39 (0.27-0.56)</w:t>
            </w:r>
          </w:p>
        </w:tc>
      </w:tr>
      <w:tr w:rsidR="009E3A88" w14:paraId="0B757AA7" w14:textId="77777777" w:rsidTr="00024D61">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DD833CE" w14:textId="77777777" w:rsidR="009E3A88" w:rsidRDefault="009E3A88">
            <w:pPr>
              <w:rPr>
                <w:rFonts w:eastAsia="Times New Roman"/>
                <w:sz w:val="24"/>
                <w:szCs w:val="24"/>
              </w:rPr>
            </w:pPr>
            <w:r>
              <w:rPr>
                <w:rFonts w:eastAsia="Times New Roman"/>
              </w:rPr>
              <w:t>10-14 years</w:t>
            </w:r>
          </w:p>
        </w:tc>
        <w:tc>
          <w:tcPr>
            <w:tcW w:w="0" w:type="auto"/>
            <w:hideMark/>
          </w:tcPr>
          <w:p w14:paraId="6A487073" w14:textId="77777777" w:rsidR="009E3A88" w:rsidRDefault="009E3A88">
            <w:pPr>
              <w:rPr>
                <w:rFonts w:eastAsia="Times New Roman"/>
                <w:sz w:val="24"/>
                <w:szCs w:val="24"/>
              </w:rPr>
            </w:pPr>
            <w:r>
              <w:rPr>
                <w:rFonts w:eastAsia="Times New Roman"/>
              </w:rPr>
              <w:t>420</w:t>
            </w:r>
          </w:p>
        </w:tc>
        <w:tc>
          <w:tcPr>
            <w:tcW w:w="0" w:type="auto"/>
            <w:hideMark/>
          </w:tcPr>
          <w:p w14:paraId="780EED7A" w14:textId="77777777" w:rsidR="009E3A88" w:rsidRDefault="009E3A88">
            <w:pPr>
              <w:rPr>
                <w:rFonts w:eastAsia="Times New Roman"/>
                <w:sz w:val="24"/>
                <w:szCs w:val="24"/>
              </w:rPr>
            </w:pPr>
            <w:r>
              <w:rPr>
                <w:rFonts w:eastAsia="Times New Roman"/>
              </w:rPr>
              <w:t>5.2 (4.6-5.8)</w:t>
            </w:r>
          </w:p>
        </w:tc>
        <w:tc>
          <w:tcPr>
            <w:tcW w:w="0" w:type="auto"/>
            <w:hideMark/>
          </w:tcPr>
          <w:p w14:paraId="6FB94B44" w14:textId="77777777" w:rsidR="009E3A88" w:rsidRDefault="009E3A88">
            <w:pPr>
              <w:rPr>
                <w:rFonts w:eastAsia="Times New Roman"/>
                <w:sz w:val="24"/>
                <w:szCs w:val="24"/>
              </w:rPr>
            </w:pPr>
            <w:r>
              <w:rPr>
                <w:rFonts w:eastAsia="Times New Roman"/>
              </w:rPr>
              <w:t>302</w:t>
            </w:r>
          </w:p>
        </w:tc>
        <w:tc>
          <w:tcPr>
            <w:tcW w:w="0" w:type="auto"/>
            <w:hideMark/>
          </w:tcPr>
          <w:p w14:paraId="328969EA" w14:textId="77777777" w:rsidR="009E3A88" w:rsidRDefault="009E3A88">
            <w:pPr>
              <w:rPr>
                <w:rFonts w:eastAsia="Times New Roman"/>
                <w:sz w:val="24"/>
                <w:szCs w:val="24"/>
              </w:rPr>
            </w:pPr>
            <w:r>
              <w:rPr>
                <w:rFonts w:eastAsia="Times New Roman"/>
              </w:rPr>
              <w:t>3.1 (2.8-3.9)</w:t>
            </w:r>
          </w:p>
        </w:tc>
        <w:tc>
          <w:tcPr>
            <w:tcW w:w="0" w:type="auto"/>
            <w:hideMark/>
          </w:tcPr>
          <w:p w14:paraId="5CB0F35F" w14:textId="77777777" w:rsidR="009E3A88" w:rsidRDefault="009E3A88">
            <w:pPr>
              <w:rPr>
                <w:rFonts w:eastAsia="Times New Roman"/>
                <w:sz w:val="24"/>
                <w:szCs w:val="24"/>
              </w:rPr>
            </w:pPr>
            <w:r>
              <w:rPr>
                <w:rFonts w:eastAsia="Times New Roman"/>
              </w:rPr>
              <w:t>0.60 (0.52-0.69)</w:t>
            </w:r>
          </w:p>
        </w:tc>
      </w:tr>
      <w:tr w:rsidR="009E3A88" w14:paraId="1ADD8C82" w14:textId="77777777" w:rsidTr="00024D61">
        <w:tblPrEx>
          <w:tblCellMar>
            <w:top w:w="0" w:type="dxa"/>
            <w:left w:w="108" w:type="dxa"/>
            <w:bottom w:w="0" w:type="dxa"/>
            <w:right w:w="108" w:type="dxa"/>
          </w:tblCellMar>
        </w:tblPrEx>
        <w:tc>
          <w:tcPr>
            <w:tcW w:w="0" w:type="auto"/>
            <w:hideMark/>
          </w:tcPr>
          <w:p w14:paraId="34EF04CD" w14:textId="77777777" w:rsidR="009E3A88" w:rsidRDefault="009E3A88">
            <w:pPr>
              <w:rPr>
                <w:rFonts w:eastAsia="Times New Roman"/>
                <w:sz w:val="24"/>
                <w:szCs w:val="24"/>
              </w:rPr>
            </w:pPr>
            <w:r>
              <w:rPr>
                <w:rFonts w:eastAsia="Times New Roman"/>
              </w:rPr>
              <w:t>15-19 years</w:t>
            </w:r>
          </w:p>
        </w:tc>
        <w:tc>
          <w:tcPr>
            <w:tcW w:w="0" w:type="auto"/>
            <w:hideMark/>
          </w:tcPr>
          <w:p w14:paraId="509805C9" w14:textId="77777777" w:rsidR="009E3A88" w:rsidRDefault="009E3A88">
            <w:pPr>
              <w:rPr>
                <w:rFonts w:eastAsia="Times New Roman"/>
                <w:sz w:val="24"/>
                <w:szCs w:val="24"/>
              </w:rPr>
            </w:pPr>
            <w:r>
              <w:rPr>
                <w:rFonts w:eastAsia="Times New Roman"/>
              </w:rPr>
              <w:t>409</w:t>
            </w:r>
          </w:p>
        </w:tc>
        <w:tc>
          <w:tcPr>
            <w:tcW w:w="0" w:type="auto"/>
            <w:hideMark/>
          </w:tcPr>
          <w:p w14:paraId="7322DDA3" w14:textId="77777777" w:rsidR="009E3A88" w:rsidRDefault="009E3A88">
            <w:pPr>
              <w:rPr>
                <w:rFonts w:eastAsia="Times New Roman"/>
                <w:sz w:val="24"/>
                <w:szCs w:val="24"/>
              </w:rPr>
            </w:pPr>
            <w:r>
              <w:rPr>
                <w:rFonts w:eastAsia="Times New Roman"/>
              </w:rPr>
              <w:t>5.1 (4.2-6.1)</w:t>
            </w:r>
          </w:p>
        </w:tc>
        <w:tc>
          <w:tcPr>
            <w:tcW w:w="0" w:type="auto"/>
            <w:hideMark/>
          </w:tcPr>
          <w:p w14:paraId="1B9DAC74" w14:textId="77777777" w:rsidR="009E3A88" w:rsidRDefault="009E3A88">
            <w:pPr>
              <w:rPr>
                <w:rFonts w:eastAsia="Times New Roman"/>
                <w:sz w:val="24"/>
                <w:szCs w:val="24"/>
              </w:rPr>
            </w:pPr>
            <w:r>
              <w:rPr>
                <w:rFonts w:eastAsia="Times New Roman"/>
              </w:rPr>
              <w:t>228</w:t>
            </w:r>
          </w:p>
        </w:tc>
        <w:tc>
          <w:tcPr>
            <w:tcW w:w="0" w:type="auto"/>
            <w:hideMark/>
          </w:tcPr>
          <w:p w14:paraId="0AEDA9E6" w14:textId="77777777" w:rsidR="009E3A88" w:rsidRDefault="009E3A88">
            <w:pPr>
              <w:rPr>
                <w:rFonts w:eastAsia="Times New Roman"/>
                <w:sz w:val="24"/>
                <w:szCs w:val="24"/>
              </w:rPr>
            </w:pPr>
            <w:r>
              <w:rPr>
                <w:rFonts w:eastAsia="Times New Roman"/>
              </w:rPr>
              <w:t>2.2 (1.9-2.6)</w:t>
            </w:r>
          </w:p>
        </w:tc>
        <w:tc>
          <w:tcPr>
            <w:tcW w:w="0" w:type="auto"/>
            <w:hideMark/>
          </w:tcPr>
          <w:p w14:paraId="5A9B822B" w14:textId="77777777" w:rsidR="009E3A88" w:rsidRDefault="009E3A88">
            <w:pPr>
              <w:rPr>
                <w:rFonts w:eastAsia="Times New Roman"/>
                <w:sz w:val="24"/>
                <w:szCs w:val="24"/>
              </w:rPr>
            </w:pPr>
            <w:r>
              <w:rPr>
                <w:rFonts w:eastAsia="Times New Roman"/>
              </w:rPr>
              <w:t>0.44 (0.35-0.56)</w:t>
            </w:r>
          </w:p>
        </w:tc>
      </w:tr>
      <w:tr w:rsidR="009E3A88" w14:paraId="1B0D08DC" w14:textId="77777777" w:rsidTr="00024D61">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0640562" w14:textId="77777777" w:rsidR="009E3A88" w:rsidRDefault="009E3A88">
            <w:pPr>
              <w:rPr>
                <w:rFonts w:eastAsia="Times New Roman"/>
                <w:sz w:val="24"/>
                <w:szCs w:val="24"/>
              </w:rPr>
            </w:pPr>
            <w:r>
              <w:rPr>
                <w:rFonts w:eastAsia="Times New Roman"/>
              </w:rPr>
              <w:t>20-29 years</w:t>
            </w:r>
          </w:p>
        </w:tc>
        <w:tc>
          <w:tcPr>
            <w:tcW w:w="0" w:type="auto"/>
            <w:hideMark/>
          </w:tcPr>
          <w:p w14:paraId="582F563E" w14:textId="77777777" w:rsidR="009E3A88" w:rsidRDefault="009E3A88">
            <w:pPr>
              <w:rPr>
                <w:rFonts w:eastAsia="Times New Roman"/>
                <w:sz w:val="24"/>
                <w:szCs w:val="24"/>
              </w:rPr>
            </w:pPr>
            <w:r>
              <w:rPr>
                <w:rFonts w:eastAsia="Times New Roman"/>
              </w:rPr>
              <w:t>1,366</w:t>
            </w:r>
          </w:p>
        </w:tc>
        <w:tc>
          <w:tcPr>
            <w:tcW w:w="0" w:type="auto"/>
            <w:hideMark/>
          </w:tcPr>
          <w:p w14:paraId="2B0C79F7" w14:textId="77777777" w:rsidR="009E3A88" w:rsidRDefault="009E3A88">
            <w:pPr>
              <w:rPr>
                <w:rFonts w:eastAsia="Times New Roman"/>
                <w:sz w:val="24"/>
                <w:szCs w:val="24"/>
              </w:rPr>
            </w:pPr>
            <w:r>
              <w:rPr>
                <w:rFonts w:eastAsia="Times New Roman"/>
              </w:rPr>
              <w:t>8.4 (7.6-9.3)</w:t>
            </w:r>
          </w:p>
        </w:tc>
        <w:tc>
          <w:tcPr>
            <w:tcW w:w="0" w:type="auto"/>
            <w:hideMark/>
          </w:tcPr>
          <w:p w14:paraId="18AFD2B9" w14:textId="77777777" w:rsidR="009E3A88" w:rsidRDefault="009E3A88">
            <w:pPr>
              <w:rPr>
                <w:rFonts w:eastAsia="Times New Roman"/>
                <w:sz w:val="24"/>
                <w:szCs w:val="24"/>
              </w:rPr>
            </w:pPr>
            <w:r>
              <w:rPr>
                <w:rFonts w:eastAsia="Times New Roman"/>
              </w:rPr>
              <w:t>648</w:t>
            </w:r>
          </w:p>
        </w:tc>
        <w:tc>
          <w:tcPr>
            <w:tcW w:w="0" w:type="auto"/>
            <w:hideMark/>
          </w:tcPr>
          <w:p w14:paraId="2C33BC74" w14:textId="77777777" w:rsidR="009E3A88" w:rsidRDefault="009E3A88">
            <w:pPr>
              <w:rPr>
                <w:rFonts w:eastAsia="Times New Roman"/>
                <w:sz w:val="24"/>
                <w:szCs w:val="24"/>
              </w:rPr>
            </w:pPr>
            <w:r>
              <w:rPr>
                <w:rFonts w:eastAsia="Times New Roman"/>
              </w:rPr>
              <w:t>2.9 (2.4-3.5)</w:t>
            </w:r>
          </w:p>
        </w:tc>
        <w:tc>
          <w:tcPr>
            <w:tcW w:w="0" w:type="auto"/>
            <w:hideMark/>
          </w:tcPr>
          <w:p w14:paraId="57D17F49" w14:textId="77777777" w:rsidR="009E3A88" w:rsidRDefault="009E3A88">
            <w:pPr>
              <w:rPr>
                <w:rFonts w:eastAsia="Times New Roman"/>
                <w:sz w:val="24"/>
                <w:szCs w:val="24"/>
              </w:rPr>
            </w:pPr>
            <w:r>
              <w:rPr>
                <w:rFonts w:eastAsia="Times New Roman"/>
              </w:rPr>
              <w:t>0.35 (0.28-0.43)</w:t>
            </w:r>
          </w:p>
        </w:tc>
      </w:tr>
      <w:tr w:rsidR="009E3A88" w14:paraId="14B7F0BC" w14:textId="77777777" w:rsidTr="00024D61">
        <w:tblPrEx>
          <w:tblCellMar>
            <w:top w:w="0" w:type="dxa"/>
            <w:left w:w="108" w:type="dxa"/>
            <w:bottom w:w="0" w:type="dxa"/>
            <w:right w:w="108" w:type="dxa"/>
          </w:tblCellMar>
        </w:tblPrEx>
        <w:tc>
          <w:tcPr>
            <w:tcW w:w="0" w:type="auto"/>
            <w:hideMark/>
          </w:tcPr>
          <w:p w14:paraId="5E19A4A1" w14:textId="77777777" w:rsidR="009E3A88" w:rsidRDefault="009E3A88">
            <w:pPr>
              <w:rPr>
                <w:rFonts w:eastAsia="Times New Roman"/>
                <w:sz w:val="24"/>
                <w:szCs w:val="24"/>
              </w:rPr>
            </w:pPr>
            <w:r>
              <w:rPr>
                <w:rFonts w:eastAsia="Times New Roman"/>
              </w:rPr>
              <w:t>30-39 years</w:t>
            </w:r>
          </w:p>
        </w:tc>
        <w:tc>
          <w:tcPr>
            <w:tcW w:w="0" w:type="auto"/>
            <w:hideMark/>
          </w:tcPr>
          <w:p w14:paraId="18CDA3FC" w14:textId="77777777" w:rsidR="009E3A88" w:rsidRDefault="009E3A88">
            <w:pPr>
              <w:rPr>
                <w:rFonts w:eastAsia="Times New Roman"/>
                <w:sz w:val="24"/>
                <w:szCs w:val="24"/>
              </w:rPr>
            </w:pPr>
            <w:r>
              <w:rPr>
                <w:rFonts w:eastAsia="Times New Roman"/>
              </w:rPr>
              <w:t>1,205</w:t>
            </w:r>
          </w:p>
        </w:tc>
        <w:tc>
          <w:tcPr>
            <w:tcW w:w="0" w:type="auto"/>
            <w:hideMark/>
          </w:tcPr>
          <w:p w14:paraId="2418B8D0" w14:textId="77777777" w:rsidR="009E3A88" w:rsidRDefault="009E3A88">
            <w:pPr>
              <w:rPr>
                <w:rFonts w:eastAsia="Times New Roman"/>
                <w:sz w:val="24"/>
                <w:szCs w:val="24"/>
              </w:rPr>
            </w:pPr>
            <w:r>
              <w:rPr>
                <w:rFonts w:eastAsia="Times New Roman"/>
              </w:rPr>
              <w:t>6.8 (6.3-7.4)</w:t>
            </w:r>
          </w:p>
        </w:tc>
        <w:tc>
          <w:tcPr>
            <w:tcW w:w="0" w:type="auto"/>
            <w:hideMark/>
          </w:tcPr>
          <w:p w14:paraId="6376DB3A" w14:textId="77777777" w:rsidR="009E3A88" w:rsidRDefault="009E3A88">
            <w:pPr>
              <w:rPr>
                <w:rFonts w:eastAsia="Times New Roman"/>
                <w:sz w:val="24"/>
                <w:szCs w:val="24"/>
              </w:rPr>
            </w:pPr>
            <w:r>
              <w:rPr>
                <w:rFonts w:eastAsia="Times New Roman"/>
              </w:rPr>
              <w:t>821</w:t>
            </w:r>
          </w:p>
        </w:tc>
        <w:tc>
          <w:tcPr>
            <w:tcW w:w="0" w:type="auto"/>
            <w:hideMark/>
          </w:tcPr>
          <w:p w14:paraId="61C52DD7" w14:textId="77777777" w:rsidR="009E3A88" w:rsidRDefault="009E3A88">
            <w:pPr>
              <w:rPr>
                <w:rFonts w:eastAsia="Times New Roman"/>
                <w:sz w:val="24"/>
                <w:szCs w:val="24"/>
              </w:rPr>
            </w:pPr>
            <w:r>
              <w:rPr>
                <w:rFonts w:eastAsia="Times New Roman"/>
              </w:rPr>
              <w:t>3.8 (3.4-4.3)</w:t>
            </w:r>
          </w:p>
        </w:tc>
        <w:tc>
          <w:tcPr>
            <w:tcW w:w="0" w:type="auto"/>
            <w:hideMark/>
          </w:tcPr>
          <w:p w14:paraId="647C6EEA" w14:textId="77777777" w:rsidR="009E3A88" w:rsidRDefault="009E3A88">
            <w:pPr>
              <w:rPr>
                <w:rFonts w:eastAsia="Times New Roman"/>
                <w:sz w:val="24"/>
                <w:szCs w:val="24"/>
              </w:rPr>
            </w:pPr>
            <w:r>
              <w:rPr>
                <w:rFonts w:eastAsia="Times New Roman"/>
              </w:rPr>
              <w:t>0.55 (0.48-0.64)</w:t>
            </w:r>
          </w:p>
        </w:tc>
      </w:tr>
      <w:tr w:rsidR="009E3A88" w14:paraId="2884A146" w14:textId="77777777" w:rsidTr="00024D61">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F9B1B16" w14:textId="77777777" w:rsidR="009E3A88" w:rsidRDefault="009E3A88">
            <w:pPr>
              <w:rPr>
                <w:rFonts w:eastAsia="Times New Roman"/>
                <w:sz w:val="24"/>
                <w:szCs w:val="24"/>
              </w:rPr>
            </w:pPr>
            <w:r>
              <w:rPr>
                <w:rFonts w:eastAsia="Times New Roman"/>
              </w:rPr>
              <w:t>≥40 years</w:t>
            </w:r>
          </w:p>
        </w:tc>
        <w:tc>
          <w:tcPr>
            <w:tcW w:w="0" w:type="auto"/>
            <w:hideMark/>
          </w:tcPr>
          <w:p w14:paraId="2C6AFD13" w14:textId="77777777" w:rsidR="009E3A88" w:rsidRDefault="009E3A88">
            <w:pPr>
              <w:rPr>
                <w:rFonts w:eastAsia="Times New Roman"/>
                <w:sz w:val="24"/>
                <w:szCs w:val="24"/>
              </w:rPr>
            </w:pPr>
            <w:r>
              <w:rPr>
                <w:rFonts w:eastAsia="Times New Roman"/>
              </w:rPr>
              <w:t>1,236</w:t>
            </w:r>
          </w:p>
        </w:tc>
        <w:tc>
          <w:tcPr>
            <w:tcW w:w="0" w:type="auto"/>
            <w:hideMark/>
          </w:tcPr>
          <w:p w14:paraId="1F7B92E7" w14:textId="77777777" w:rsidR="009E3A88" w:rsidRDefault="009E3A88">
            <w:pPr>
              <w:rPr>
                <w:rFonts w:eastAsia="Times New Roman"/>
                <w:sz w:val="24"/>
                <w:szCs w:val="24"/>
              </w:rPr>
            </w:pPr>
            <w:r>
              <w:rPr>
                <w:rFonts w:eastAsia="Times New Roman"/>
              </w:rPr>
              <w:t>2.4 (2.3-2.6)</w:t>
            </w:r>
          </w:p>
        </w:tc>
        <w:tc>
          <w:tcPr>
            <w:tcW w:w="0" w:type="auto"/>
            <w:hideMark/>
          </w:tcPr>
          <w:p w14:paraId="62BF68F4" w14:textId="77777777" w:rsidR="009E3A88" w:rsidRDefault="009E3A88">
            <w:pPr>
              <w:rPr>
                <w:rFonts w:eastAsia="Times New Roman"/>
                <w:sz w:val="24"/>
                <w:szCs w:val="24"/>
              </w:rPr>
            </w:pPr>
            <w:r>
              <w:rPr>
                <w:rFonts w:eastAsia="Times New Roman"/>
              </w:rPr>
              <w:t>2,369</w:t>
            </w:r>
          </w:p>
        </w:tc>
        <w:tc>
          <w:tcPr>
            <w:tcW w:w="0" w:type="auto"/>
            <w:hideMark/>
          </w:tcPr>
          <w:p w14:paraId="642A4BF4" w14:textId="77777777" w:rsidR="009E3A88" w:rsidRDefault="009E3A88">
            <w:pPr>
              <w:rPr>
                <w:rFonts w:eastAsia="Times New Roman"/>
                <w:sz w:val="24"/>
                <w:szCs w:val="24"/>
              </w:rPr>
            </w:pPr>
            <w:r>
              <w:rPr>
                <w:rFonts w:eastAsia="Times New Roman"/>
              </w:rPr>
              <w:t>3.4 (3.0-3.8)</w:t>
            </w:r>
          </w:p>
        </w:tc>
        <w:tc>
          <w:tcPr>
            <w:tcW w:w="0" w:type="auto"/>
            <w:hideMark/>
          </w:tcPr>
          <w:p w14:paraId="45B0BE62" w14:textId="77777777" w:rsidR="009E3A88" w:rsidRDefault="009E3A88">
            <w:pPr>
              <w:rPr>
                <w:rFonts w:eastAsia="Times New Roman"/>
                <w:sz w:val="24"/>
                <w:szCs w:val="24"/>
              </w:rPr>
            </w:pPr>
            <w:r>
              <w:rPr>
                <w:rFonts w:eastAsia="Times New Roman"/>
              </w:rPr>
              <w:t>1.37 (1.18-1.59)</w:t>
            </w:r>
          </w:p>
        </w:tc>
      </w:tr>
      <w:tr w:rsidR="009E3A88" w14:paraId="23ADA27F" w14:textId="77777777" w:rsidTr="00A30C7C">
        <w:tblPrEx>
          <w:tblCellMar>
            <w:top w:w="0" w:type="dxa"/>
            <w:left w:w="108" w:type="dxa"/>
            <w:bottom w:w="0" w:type="dxa"/>
            <w:right w:w="108" w:type="dxa"/>
          </w:tblCellMar>
        </w:tblPrEx>
        <w:tc>
          <w:tcPr>
            <w:tcW w:w="0" w:type="auto"/>
            <w:shd w:val="clear" w:color="auto" w:fill="FDE9D9" w:themeFill="accent6" w:themeFillTint="33"/>
            <w:hideMark/>
          </w:tcPr>
          <w:p w14:paraId="032BD4F2" w14:textId="77777777" w:rsidR="009E3A88" w:rsidRDefault="009E3A88">
            <w:pPr>
              <w:rPr>
                <w:rFonts w:eastAsia="Times New Roman"/>
                <w:sz w:val="24"/>
                <w:szCs w:val="24"/>
              </w:rPr>
            </w:pPr>
            <w:r>
              <w:rPr>
                <w:rFonts w:eastAsia="Times New Roman"/>
              </w:rPr>
              <w:t>All ages</w:t>
            </w:r>
          </w:p>
        </w:tc>
        <w:tc>
          <w:tcPr>
            <w:tcW w:w="0" w:type="auto"/>
            <w:shd w:val="clear" w:color="auto" w:fill="FDE9D9" w:themeFill="accent6" w:themeFillTint="33"/>
            <w:hideMark/>
          </w:tcPr>
          <w:p w14:paraId="43950B93" w14:textId="77777777" w:rsidR="009E3A88" w:rsidRDefault="009E3A88">
            <w:pPr>
              <w:rPr>
                <w:rFonts w:eastAsia="Times New Roman"/>
                <w:sz w:val="24"/>
                <w:szCs w:val="24"/>
              </w:rPr>
            </w:pPr>
            <w:r>
              <w:rPr>
                <w:rFonts w:eastAsia="Times New Roman"/>
              </w:rPr>
              <w:t>9,641</w:t>
            </w:r>
          </w:p>
        </w:tc>
        <w:tc>
          <w:tcPr>
            <w:tcW w:w="0" w:type="auto"/>
            <w:shd w:val="clear" w:color="auto" w:fill="FDE9D9" w:themeFill="accent6" w:themeFillTint="33"/>
            <w:hideMark/>
          </w:tcPr>
          <w:p w14:paraId="47E9E111" w14:textId="77777777" w:rsidR="009E3A88" w:rsidRDefault="009E3A88">
            <w:pPr>
              <w:rPr>
                <w:rFonts w:eastAsia="Times New Roman"/>
                <w:sz w:val="24"/>
                <w:szCs w:val="24"/>
              </w:rPr>
            </w:pPr>
            <w:r>
              <w:rPr>
                <w:rFonts w:eastAsia="Times New Roman"/>
              </w:rPr>
              <w:t>8.3 (7.6-9.1)</w:t>
            </w:r>
          </w:p>
        </w:tc>
        <w:tc>
          <w:tcPr>
            <w:tcW w:w="0" w:type="auto"/>
            <w:shd w:val="clear" w:color="auto" w:fill="FDE9D9" w:themeFill="accent6" w:themeFillTint="33"/>
            <w:hideMark/>
          </w:tcPr>
          <w:p w14:paraId="726C31C6" w14:textId="77777777" w:rsidR="009E3A88" w:rsidRDefault="009E3A88">
            <w:pPr>
              <w:rPr>
                <w:rFonts w:eastAsia="Times New Roman"/>
                <w:sz w:val="24"/>
                <w:szCs w:val="24"/>
              </w:rPr>
            </w:pPr>
            <w:r>
              <w:rPr>
                <w:rFonts w:eastAsia="Times New Roman"/>
              </w:rPr>
              <w:t>6,014</w:t>
            </w:r>
          </w:p>
        </w:tc>
        <w:tc>
          <w:tcPr>
            <w:tcW w:w="0" w:type="auto"/>
            <w:shd w:val="clear" w:color="auto" w:fill="FDE9D9" w:themeFill="accent6" w:themeFillTint="33"/>
            <w:hideMark/>
          </w:tcPr>
          <w:p w14:paraId="3BBE68A6" w14:textId="77777777" w:rsidR="009E3A88" w:rsidRDefault="009E3A88">
            <w:pPr>
              <w:rPr>
                <w:rFonts w:eastAsia="Times New Roman"/>
                <w:sz w:val="24"/>
                <w:szCs w:val="24"/>
              </w:rPr>
            </w:pPr>
            <w:r>
              <w:rPr>
                <w:rFonts w:eastAsia="Times New Roman"/>
              </w:rPr>
              <w:t>3.9 (3.6-4.2)</w:t>
            </w:r>
          </w:p>
        </w:tc>
        <w:tc>
          <w:tcPr>
            <w:tcW w:w="0" w:type="auto"/>
            <w:shd w:val="clear" w:color="auto" w:fill="FDE9D9" w:themeFill="accent6" w:themeFillTint="33"/>
            <w:hideMark/>
          </w:tcPr>
          <w:p w14:paraId="12C17B8E" w14:textId="77777777" w:rsidR="009E3A88" w:rsidRDefault="009E3A88">
            <w:pPr>
              <w:rPr>
                <w:rFonts w:eastAsia="Times New Roman"/>
                <w:sz w:val="24"/>
                <w:szCs w:val="24"/>
              </w:rPr>
            </w:pPr>
            <w:r>
              <w:rPr>
                <w:rFonts w:eastAsia="Times New Roman"/>
              </w:rPr>
              <w:t>0.47 (0.42-0.53)</w:t>
            </w:r>
          </w:p>
        </w:tc>
      </w:tr>
    </w:tbl>
    <w:p w14:paraId="573FA68C" w14:textId="77777777" w:rsidR="009E3A88" w:rsidRDefault="009E3A88" w:rsidP="00530646">
      <w:pPr>
        <w:pStyle w:val="CDIfootnotes"/>
        <w:rPr>
          <w:rFonts w:eastAsia="Times New Roman"/>
        </w:rPr>
      </w:pPr>
      <w:r>
        <w:rPr>
          <w:rFonts w:eastAsia="Times New Roman"/>
          <w:vertAlign w:val="superscript"/>
        </w:rPr>
        <w:t>*</w:t>
      </w:r>
      <w:r>
        <w:rPr>
          <w:rFonts w:eastAsia="Times New Roman"/>
        </w:rPr>
        <w:t>Age-specific hospitalisations identified using ICD-10-AM code B01.0-B01.9</w:t>
      </w:r>
      <w:r>
        <w:rPr>
          <w:rFonts w:eastAsia="Times New Roman"/>
        </w:rPr>
        <w:br/>
      </w:r>
      <w:r>
        <w:rPr>
          <w:rFonts w:eastAsia="Times New Roman"/>
          <w:vertAlign w:val="superscript"/>
        </w:rPr>
        <w:t>†</w:t>
      </w:r>
      <w:r>
        <w:rPr>
          <w:rFonts w:eastAsia="Times New Roman"/>
        </w:rPr>
        <w:t>,</w:t>
      </w:r>
      <w:r>
        <w:rPr>
          <w:rFonts w:eastAsia="Times New Roman"/>
          <w:vertAlign w:val="superscript"/>
        </w:rPr>
        <w:t>‡</w:t>
      </w:r>
      <w:r>
        <w:rPr>
          <w:rFonts w:eastAsia="Times New Roman"/>
        </w:rPr>
        <w:t>Average annual hospitalisation rate per 100,000 population</w:t>
      </w:r>
      <w:r>
        <w:rPr>
          <w:rFonts w:eastAsia="Times New Roman"/>
        </w:rPr>
        <w:br/>
      </w:r>
      <w:r>
        <w:rPr>
          <w:rFonts w:eastAsia="Times New Roman"/>
          <w:vertAlign w:val="superscript"/>
        </w:rPr>
        <w:t>§</w:t>
      </w:r>
      <w:r>
        <w:rPr>
          <w:rFonts w:eastAsia="Times New Roman"/>
        </w:rPr>
        <w:t xml:space="preserve"> Incidence rate ratio between hospitalisation rates during pre and post-varicella vaccine periods </w:t>
      </w:r>
    </w:p>
    <w:p w14:paraId="3FE51C7B" w14:textId="77777777" w:rsidR="009E3A88" w:rsidRDefault="009E3A88" w:rsidP="00530646">
      <w:r>
        <w:t>Between 1999 and 2013, there were 47,477 bed days recorded for hospitalisations coded as due to varicella. The overall median length of stay was 2 days with length of stay longest in those aged ≥40 years (5 days).</w:t>
      </w:r>
    </w:p>
    <w:p w14:paraId="5382696F" w14:textId="77777777" w:rsidR="009E3A88" w:rsidRPr="00530646" w:rsidRDefault="009E3A88" w:rsidP="00530646">
      <w:pPr>
        <w:pStyle w:val="Heading4"/>
      </w:pPr>
      <w:r w:rsidRPr="00530646">
        <w:t>Herpes zoster</w:t>
      </w:r>
    </w:p>
    <w:p w14:paraId="4D139D7E" w14:textId="77777777" w:rsidR="009E3A88" w:rsidRDefault="009E3A88" w:rsidP="00530646">
      <w:r w:rsidRPr="00530646">
        <w:t>There were 80,960 episodes of HZ associated hospitalisations during 1999-2013. Of these, 33,549 (41.4%) episodes had a principal diagnosis of HZ. Over this period, the average annual HZ associated hospitalisation rate was 10.8 per 100,000 (95% CI 10.5–11.1). The HZ hospitalisation rate increased from 9.7 per 100,000 (95%CI 9.2–10.1) in 1999 to 11.4 per 100,000 (95% CI 11.0–11.9) in 2013 (Figure 5A), an average annual increase of 1.0% (IRR 1.01; 95% CI 1.01-1.02). Over this period, the HZ hospitalisation rate for females (30.0 per 100,000; 95% CI 28.7–31.3) was higher than for males (21.8 per 100,000; 95% CI 20.7–22.9). The difference was most pronounced in females ≥75 years with a hospitalisation rate of 95.1 per 100,000 (95</w:t>
      </w:r>
      <w:r>
        <w:t>% CI 92.6–97.6) compared to males aged ≥75 years (76.4 per 100,000; 95% CI 73.6–79.2).</w:t>
      </w:r>
    </w:p>
    <w:p w14:paraId="048DC045" w14:textId="77777777" w:rsidR="00572913" w:rsidRDefault="00572913">
      <w:pPr>
        <w:rPr>
          <w:b/>
        </w:rPr>
      </w:pPr>
      <w:r>
        <w:br w:type="page"/>
      </w:r>
    </w:p>
    <w:p w14:paraId="4D15D435" w14:textId="77777777" w:rsidR="00AB664E" w:rsidRDefault="00AB664E" w:rsidP="00AB664E">
      <w:pPr>
        <w:pStyle w:val="CDIFigures"/>
      </w:pPr>
      <w:r>
        <w:lastRenderedPageBreak/>
        <w:t>Figure 5: Herpes zoster hospitalisation rates (A), hospitalisation rates (principal diagnosis) by age group in all Australians (B) and in older non-Indigenous people (C), Australia, 1999-2013 (A)</w:t>
      </w:r>
    </w:p>
    <w:p w14:paraId="597AD77C" w14:textId="77777777" w:rsidR="009E3A88" w:rsidRDefault="009E3A88">
      <w:pPr>
        <w:pStyle w:val="NormalWeb"/>
        <w:divId w:val="1053890861"/>
      </w:pPr>
      <w:r>
        <w:rPr>
          <w:noProof/>
        </w:rPr>
        <w:drawing>
          <wp:inline distT="0" distB="0" distL="0" distR="0" wp14:anchorId="293A812D" wp14:editId="0810E29E">
            <wp:extent cx="5400000" cy="3756026"/>
            <wp:effectExtent l="0" t="0" r="0" b="0"/>
            <wp:docPr id="18" name="Picture 18" descr="Figure 5a is trend graph showing hospitalisation rates per 100,000 populations for herpes zoster in Australia for the years 1999 to 2013. Hospitalisation rates due to herpes zoster (principal diagnosis) have remained fairly stable since 1999. Small upward trend in herpes zoster hospitalisations (all diagnoses) was observed since 2010." title="Figure 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Staging\CDESS\ZoFE\CDI\Desktopping\OpenCDI\OpenCDI-2018-volume\2-Sheel - Australian vaccine preventable disease\DOCx Export\table-web-resources\image\f5a.pn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400000" cy="3756026"/>
                    </a:xfrm>
                    <a:prstGeom prst="rect">
                      <a:avLst/>
                    </a:prstGeom>
                    <a:noFill/>
                    <a:ln>
                      <a:noFill/>
                    </a:ln>
                  </pic:spPr>
                </pic:pic>
              </a:graphicData>
            </a:graphic>
          </wp:inline>
        </w:drawing>
      </w:r>
    </w:p>
    <w:p w14:paraId="58A98EE8" w14:textId="77777777" w:rsidR="009E3A88" w:rsidRPr="004455F6" w:rsidRDefault="009E3A88" w:rsidP="004455F6">
      <w:pPr>
        <w:pStyle w:val="NormalWeb"/>
        <w:jc w:val="center"/>
        <w:divId w:val="1053890861"/>
        <w:rPr>
          <w:b/>
        </w:rPr>
      </w:pPr>
      <w:r w:rsidRPr="004455F6">
        <w:rPr>
          <w:b/>
        </w:rPr>
        <w:t>(A)</w:t>
      </w:r>
    </w:p>
    <w:p w14:paraId="7BDC3278" w14:textId="77777777" w:rsidR="009E3A88" w:rsidRDefault="009E3A88">
      <w:pPr>
        <w:pStyle w:val="NormalWeb"/>
        <w:divId w:val="1053890861"/>
      </w:pPr>
      <w:r>
        <w:rPr>
          <w:noProof/>
        </w:rPr>
        <w:drawing>
          <wp:inline distT="0" distB="0" distL="0" distR="0" wp14:anchorId="447A5724" wp14:editId="48AC6A71">
            <wp:extent cx="5400000" cy="3761223"/>
            <wp:effectExtent l="0" t="0" r="0" b="0"/>
            <wp:docPr id="19" name="Picture 19" descr="Figure 5b is trend graph showing hospitalisation rates per 100,000 populations for herpes zoster in Australia by age groups for the years 1999 to 2013.&#10;• Hospitalisation rates for herpes zoster increase with age.&#10;" title="Figure 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Staging\CDESS\ZoFE\CDI\Desktopping\OpenCDI\OpenCDI-2018-volume\2-Sheel - Australian vaccine preventable disease\DOCx Export\table-web-resources\image\f5b.pn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400000" cy="3761223"/>
                    </a:xfrm>
                    <a:prstGeom prst="rect">
                      <a:avLst/>
                    </a:prstGeom>
                    <a:noFill/>
                    <a:ln>
                      <a:noFill/>
                    </a:ln>
                  </pic:spPr>
                </pic:pic>
              </a:graphicData>
            </a:graphic>
          </wp:inline>
        </w:drawing>
      </w:r>
    </w:p>
    <w:p w14:paraId="49891DC7" w14:textId="77777777" w:rsidR="009E3A88" w:rsidRPr="004455F6" w:rsidRDefault="009E3A88" w:rsidP="004455F6">
      <w:pPr>
        <w:pStyle w:val="NormalWeb"/>
        <w:jc w:val="center"/>
        <w:divId w:val="1053890861"/>
        <w:rPr>
          <w:b/>
        </w:rPr>
      </w:pPr>
      <w:r w:rsidRPr="004455F6">
        <w:rPr>
          <w:b/>
        </w:rPr>
        <w:t>(B)</w:t>
      </w:r>
    </w:p>
    <w:p w14:paraId="2C48429F" w14:textId="77777777" w:rsidR="009E3A88" w:rsidRDefault="009E3A88">
      <w:pPr>
        <w:pStyle w:val="NormalWeb"/>
        <w:divId w:val="1053890861"/>
      </w:pPr>
      <w:r>
        <w:rPr>
          <w:noProof/>
        </w:rPr>
        <w:lastRenderedPageBreak/>
        <w:drawing>
          <wp:inline distT="0" distB="0" distL="0" distR="0" wp14:anchorId="246DD7F9" wp14:editId="515A529A">
            <wp:extent cx="5400000" cy="3756287"/>
            <wp:effectExtent l="0" t="0" r="0" b="0"/>
            <wp:docPr id="20" name="Picture 20" descr="Figure 5c is trend graph showing hospitalisation rates per 100,000 populations for herpes zoster in non-Indigenous people of Australia by older age groups for the years 1999 to 2013.&#10;• Hospitalisation rates for herpes zoster increase with age and were highest in those aged ≥85 years.&#10;" title="Figure 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Staging\CDESS\ZoFE\CDI\Desktopping\OpenCDI\OpenCDI-2018-volume\2-Sheel - Australian vaccine preventable disease\DOCx Export\table-web-resources\image\f5c.png"/>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400000" cy="3756287"/>
                    </a:xfrm>
                    <a:prstGeom prst="rect">
                      <a:avLst/>
                    </a:prstGeom>
                    <a:noFill/>
                    <a:ln>
                      <a:noFill/>
                    </a:ln>
                  </pic:spPr>
                </pic:pic>
              </a:graphicData>
            </a:graphic>
          </wp:inline>
        </w:drawing>
      </w:r>
    </w:p>
    <w:p w14:paraId="6B3093BE" w14:textId="77777777" w:rsidR="009E3A88" w:rsidRPr="004455F6" w:rsidRDefault="009E3A88" w:rsidP="004455F6">
      <w:pPr>
        <w:pStyle w:val="NormalWeb"/>
        <w:jc w:val="center"/>
        <w:divId w:val="1053890861"/>
        <w:rPr>
          <w:b/>
        </w:rPr>
      </w:pPr>
      <w:r w:rsidRPr="004455F6">
        <w:rPr>
          <w:b/>
        </w:rPr>
        <w:t>(C)</w:t>
      </w:r>
    </w:p>
    <w:p w14:paraId="41A0D2E4" w14:textId="77777777" w:rsidR="00C73BA7" w:rsidRDefault="009E3A88" w:rsidP="00530646">
      <w:pPr>
        <w:sectPr w:rsidR="00C73BA7" w:rsidSect="006B6B62">
          <w:headerReference w:type="even" r:id="rId28"/>
          <w:headerReference w:type="default" r:id="rId29"/>
          <w:footerReference w:type="even" r:id="rId30"/>
          <w:footerReference w:type="default" r:id="rId31"/>
          <w:headerReference w:type="first" r:id="rId32"/>
          <w:footerReference w:type="first" r:id="rId33"/>
          <w:pgSz w:w="11906" w:h="16838"/>
          <w:pgMar w:top="720" w:right="720" w:bottom="720" w:left="720" w:header="708" w:footer="283" w:gutter="0"/>
          <w:pgNumType w:start="1"/>
          <w:cols w:space="708"/>
          <w:titlePg/>
          <w:docGrid w:linePitch="360"/>
        </w:sectPr>
      </w:pPr>
      <w:r>
        <w:t>HZ hospitalisation rates increased with age (Figure 5B). Hospitalisation rates were highest in persons aged ≥75 years (87.6 per 100,000; 95% CI 85.9–89.4), followed by those aged 70-74 years (37.4 per 100,000; 95% CI 35.8–39.0) and lowest in those aged 0-49 years (2.4 per 100,000; 95% CI 2.3–2.4). Amongst non-Indigenous populations, for whom data were available for older age groups (Figure 5C), people aged ≥85 years old had the highest hospitalisation rate of 129.0 per 100,000 (95% CI 124.3–134.0) (Table 3).</w:t>
      </w:r>
    </w:p>
    <w:p w14:paraId="51C739D6" w14:textId="77777777" w:rsidR="009E3A88" w:rsidRPr="00530646" w:rsidRDefault="009E3A88" w:rsidP="00530646">
      <w:pPr>
        <w:rPr>
          <w:rFonts w:eastAsia="Times New Roman"/>
          <w:b/>
        </w:rPr>
      </w:pPr>
      <w:r w:rsidRPr="00530646">
        <w:rPr>
          <w:rFonts w:eastAsia="Times New Roman"/>
          <w:b/>
        </w:rPr>
        <w:lastRenderedPageBreak/>
        <w:t>Table 3: Herpes zoster associated hospitalisations, Australia, 1999-2013</w:t>
      </w:r>
      <w:r w:rsidRPr="00530646">
        <w:rPr>
          <w:rFonts w:eastAsia="Times New Roman"/>
          <w:b/>
          <w:vertAlign w:val="superscript"/>
        </w:rPr>
        <w:t>**</w:t>
      </w:r>
      <w:r w:rsidRPr="00530646">
        <w:rPr>
          <w:rFonts w:eastAsia="Times New Roman"/>
          <w:b/>
        </w:rPr>
        <w:t xml:space="preserve"> </w:t>
      </w:r>
    </w:p>
    <w:tbl>
      <w:tblPr>
        <w:tblStyle w:val="CDI-StandardTable"/>
        <w:tblW w:w="0" w:type="auto"/>
        <w:tblLook w:val="04A0" w:firstRow="1" w:lastRow="0" w:firstColumn="1" w:lastColumn="0" w:noHBand="0" w:noVBand="1"/>
        <w:tblCaption w:val="Table 3: Herpes zoster associated hospitalisations, Australia, 1999-2013** "/>
        <w:tblDescription w:val="Table 3 reports on herpes zoster associated hospitalisations (principal and all diagnoses) by age groups, in all Australians and non-Indigenous Australians aged ≥70 years during the pre-varicella vaccine period (1999-2004) and post-varicella vaccine period (2007-2013). "/>
      </w:tblPr>
      <w:tblGrid>
        <w:gridCol w:w="1294"/>
        <w:gridCol w:w="1958"/>
        <w:gridCol w:w="1972"/>
        <w:gridCol w:w="1958"/>
        <w:gridCol w:w="1972"/>
        <w:gridCol w:w="1958"/>
        <w:gridCol w:w="1972"/>
        <w:gridCol w:w="1637"/>
      </w:tblGrid>
      <w:tr w:rsidR="009E3A88" w14:paraId="6F0FCFC9" w14:textId="77777777" w:rsidTr="00035D58">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302ABBE" w14:textId="77777777" w:rsidR="009E3A88" w:rsidRPr="00D7659C" w:rsidRDefault="009E3A88" w:rsidP="00035D58">
            <w:pPr>
              <w:rPr>
                <w:rFonts w:eastAsia="Times New Roman"/>
                <w:bCs/>
                <w:color w:val="FFFFFF" w:themeColor="background1"/>
                <w:sz w:val="24"/>
                <w:szCs w:val="24"/>
              </w:rPr>
            </w:pPr>
          </w:p>
        </w:tc>
        <w:tc>
          <w:tcPr>
            <w:tcW w:w="0" w:type="auto"/>
            <w:gridSpan w:val="2"/>
            <w:hideMark/>
          </w:tcPr>
          <w:p w14:paraId="78839287" w14:textId="77777777" w:rsidR="009E3A88" w:rsidRPr="00D7659C" w:rsidRDefault="009E3A88" w:rsidP="00035D58">
            <w:pPr>
              <w:rPr>
                <w:rFonts w:eastAsia="Times New Roman"/>
                <w:bCs/>
                <w:color w:val="FFFFFF" w:themeColor="background1"/>
                <w:sz w:val="24"/>
                <w:szCs w:val="24"/>
              </w:rPr>
            </w:pPr>
            <w:r w:rsidRPr="00D7659C">
              <w:rPr>
                <w:rFonts w:eastAsia="Times New Roman"/>
                <w:bCs/>
                <w:color w:val="FFFFFF" w:themeColor="background1"/>
              </w:rPr>
              <w:t>Study period 1999-2013</w:t>
            </w:r>
          </w:p>
        </w:tc>
        <w:tc>
          <w:tcPr>
            <w:tcW w:w="0" w:type="auto"/>
            <w:gridSpan w:val="2"/>
            <w:hideMark/>
          </w:tcPr>
          <w:p w14:paraId="6A994492" w14:textId="77777777" w:rsidR="009E3A88" w:rsidRPr="00D7659C" w:rsidRDefault="009E3A88" w:rsidP="00035D58">
            <w:pPr>
              <w:rPr>
                <w:rFonts w:eastAsia="Times New Roman"/>
                <w:bCs/>
                <w:color w:val="FFFFFF" w:themeColor="background1"/>
                <w:sz w:val="24"/>
                <w:szCs w:val="24"/>
              </w:rPr>
            </w:pPr>
            <w:r w:rsidRPr="00D7659C">
              <w:rPr>
                <w:rFonts w:eastAsia="Times New Roman"/>
                <w:bCs/>
                <w:color w:val="FFFFFF" w:themeColor="background1"/>
              </w:rPr>
              <w:t>Pre-varicella vaccine 1999-2004</w:t>
            </w:r>
          </w:p>
        </w:tc>
        <w:tc>
          <w:tcPr>
            <w:tcW w:w="0" w:type="auto"/>
            <w:gridSpan w:val="2"/>
            <w:hideMark/>
          </w:tcPr>
          <w:p w14:paraId="14E874E0" w14:textId="77777777" w:rsidR="009E3A88" w:rsidRPr="00D7659C" w:rsidRDefault="009E3A88" w:rsidP="00035D58">
            <w:pPr>
              <w:rPr>
                <w:rFonts w:eastAsia="Times New Roman"/>
                <w:bCs/>
                <w:color w:val="FFFFFF" w:themeColor="background1"/>
                <w:sz w:val="24"/>
                <w:szCs w:val="24"/>
              </w:rPr>
            </w:pPr>
            <w:r w:rsidRPr="00D7659C">
              <w:rPr>
                <w:rFonts w:eastAsia="Times New Roman"/>
                <w:bCs/>
                <w:color w:val="FFFFFF" w:themeColor="background1"/>
              </w:rPr>
              <w:t>Post-varicella vaccine 2007-2013</w:t>
            </w:r>
          </w:p>
        </w:tc>
        <w:tc>
          <w:tcPr>
            <w:tcW w:w="0" w:type="auto"/>
            <w:hideMark/>
          </w:tcPr>
          <w:p w14:paraId="34D87511" w14:textId="77777777" w:rsidR="009E3A88" w:rsidRPr="00D7659C" w:rsidRDefault="009E3A88" w:rsidP="00035D58">
            <w:pPr>
              <w:rPr>
                <w:rFonts w:eastAsia="Times New Roman"/>
                <w:bCs/>
                <w:color w:val="FFFFFF" w:themeColor="background1"/>
                <w:sz w:val="24"/>
                <w:szCs w:val="24"/>
              </w:rPr>
            </w:pPr>
          </w:p>
        </w:tc>
      </w:tr>
      <w:tr w:rsidR="00C73BA7" w14:paraId="020EE641" w14:textId="77777777" w:rsidTr="00035D58">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CA33E37" w14:textId="77777777" w:rsidR="009E3A88" w:rsidRPr="00D7659C" w:rsidRDefault="009E3A88" w:rsidP="00035D58">
            <w:pPr>
              <w:rPr>
                <w:rFonts w:eastAsia="Times New Roman"/>
                <w:b w:val="0"/>
                <w:bCs/>
                <w:color w:val="FFFFFF" w:themeColor="background1"/>
                <w:sz w:val="24"/>
                <w:szCs w:val="24"/>
              </w:rPr>
            </w:pPr>
            <w:r w:rsidRPr="00D7659C">
              <w:rPr>
                <w:rFonts w:eastAsia="Times New Roman"/>
                <w:b w:val="0"/>
                <w:bCs/>
                <w:color w:val="FFFFFF" w:themeColor="background1"/>
              </w:rPr>
              <w:t> Age groups</w:t>
            </w:r>
          </w:p>
        </w:tc>
        <w:tc>
          <w:tcPr>
            <w:tcW w:w="0" w:type="auto"/>
            <w:hideMark/>
          </w:tcPr>
          <w:p w14:paraId="2D96A8E9" w14:textId="77777777" w:rsidR="009E3A88" w:rsidRPr="00D7659C" w:rsidRDefault="009E3A88" w:rsidP="00035D58">
            <w:pPr>
              <w:rPr>
                <w:rFonts w:eastAsia="Times New Roman"/>
                <w:b w:val="0"/>
                <w:bCs/>
                <w:color w:val="FFFFFF" w:themeColor="background1"/>
                <w:sz w:val="24"/>
                <w:szCs w:val="24"/>
              </w:rPr>
            </w:pPr>
            <w:r w:rsidRPr="00D7659C">
              <w:rPr>
                <w:rFonts w:eastAsia="Times New Roman"/>
                <w:b w:val="0"/>
                <w:bCs/>
                <w:color w:val="FFFFFF" w:themeColor="background1"/>
              </w:rPr>
              <w:t>Hospitalisations (n)</w:t>
            </w:r>
          </w:p>
        </w:tc>
        <w:tc>
          <w:tcPr>
            <w:tcW w:w="0" w:type="auto"/>
            <w:hideMark/>
          </w:tcPr>
          <w:p w14:paraId="07DABFD3" w14:textId="77777777" w:rsidR="009E3A88" w:rsidRPr="00D7659C" w:rsidRDefault="009E3A88" w:rsidP="00035D58">
            <w:pPr>
              <w:rPr>
                <w:rFonts w:eastAsia="Times New Roman"/>
                <w:b w:val="0"/>
                <w:bCs/>
                <w:color w:val="FFFFFF" w:themeColor="background1"/>
                <w:sz w:val="24"/>
                <w:szCs w:val="24"/>
              </w:rPr>
            </w:pPr>
            <w:r w:rsidRPr="00D7659C">
              <w:rPr>
                <w:rFonts w:eastAsia="Times New Roman"/>
                <w:b w:val="0"/>
                <w:bCs/>
                <w:color w:val="FFFFFF" w:themeColor="background1"/>
              </w:rPr>
              <w:t>Rate</w:t>
            </w:r>
            <w:r w:rsidRPr="00D7659C">
              <w:rPr>
                <w:rFonts w:eastAsia="Times New Roman"/>
                <w:b w:val="0"/>
                <w:bCs/>
                <w:color w:val="FFFFFF" w:themeColor="background1"/>
                <w:vertAlign w:val="superscript"/>
              </w:rPr>
              <w:t>††</w:t>
            </w:r>
            <w:r w:rsidRPr="00D7659C">
              <w:rPr>
                <w:rFonts w:eastAsia="Times New Roman"/>
                <w:b w:val="0"/>
                <w:bCs/>
                <w:color w:val="FFFFFF" w:themeColor="background1"/>
              </w:rPr>
              <w:t xml:space="preserve"> (95% CI)</w:t>
            </w:r>
          </w:p>
        </w:tc>
        <w:tc>
          <w:tcPr>
            <w:tcW w:w="0" w:type="auto"/>
            <w:hideMark/>
          </w:tcPr>
          <w:p w14:paraId="6DFDB893" w14:textId="77777777" w:rsidR="009E3A88" w:rsidRPr="00D7659C" w:rsidRDefault="009E3A88" w:rsidP="00035D58">
            <w:pPr>
              <w:rPr>
                <w:rFonts w:eastAsia="Times New Roman"/>
                <w:b w:val="0"/>
                <w:bCs/>
                <w:color w:val="FFFFFF" w:themeColor="background1"/>
                <w:sz w:val="24"/>
                <w:szCs w:val="24"/>
              </w:rPr>
            </w:pPr>
            <w:r w:rsidRPr="00D7659C">
              <w:rPr>
                <w:rFonts w:eastAsia="Times New Roman"/>
                <w:b w:val="0"/>
                <w:bCs/>
                <w:color w:val="FFFFFF" w:themeColor="background1"/>
              </w:rPr>
              <w:t>Hospitalisations (n)</w:t>
            </w:r>
          </w:p>
        </w:tc>
        <w:tc>
          <w:tcPr>
            <w:tcW w:w="0" w:type="auto"/>
            <w:hideMark/>
          </w:tcPr>
          <w:p w14:paraId="399EBEB6" w14:textId="77777777" w:rsidR="009E3A88" w:rsidRPr="00D7659C" w:rsidRDefault="009E3A88" w:rsidP="00035D58">
            <w:pPr>
              <w:rPr>
                <w:rFonts w:eastAsia="Times New Roman"/>
                <w:b w:val="0"/>
                <w:bCs/>
                <w:color w:val="FFFFFF" w:themeColor="background1"/>
                <w:sz w:val="24"/>
                <w:szCs w:val="24"/>
              </w:rPr>
            </w:pPr>
            <w:r w:rsidRPr="00D7659C">
              <w:rPr>
                <w:rFonts w:eastAsia="Times New Roman"/>
                <w:b w:val="0"/>
                <w:bCs/>
                <w:color w:val="FFFFFF" w:themeColor="background1"/>
              </w:rPr>
              <w:t>Rate</w:t>
            </w:r>
            <w:r w:rsidRPr="00D7659C">
              <w:rPr>
                <w:rFonts w:eastAsia="Times New Roman"/>
                <w:b w:val="0"/>
                <w:bCs/>
                <w:color w:val="FFFFFF" w:themeColor="background1"/>
                <w:vertAlign w:val="superscript"/>
              </w:rPr>
              <w:t>††</w:t>
            </w:r>
            <w:r w:rsidRPr="00D7659C">
              <w:rPr>
                <w:rFonts w:eastAsia="Times New Roman"/>
                <w:b w:val="0"/>
                <w:bCs/>
                <w:color w:val="FFFFFF" w:themeColor="background1"/>
              </w:rPr>
              <w:t>(95% CI)</w:t>
            </w:r>
          </w:p>
        </w:tc>
        <w:tc>
          <w:tcPr>
            <w:tcW w:w="0" w:type="auto"/>
            <w:hideMark/>
          </w:tcPr>
          <w:p w14:paraId="1A0727C2" w14:textId="77777777" w:rsidR="009E3A88" w:rsidRPr="00D7659C" w:rsidRDefault="009E3A88" w:rsidP="00035D58">
            <w:pPr>
              <w:rPr>
                <w:rFonts w:eastAsia="Times New Roman"/>
                <w:b w:val="0"/>
                <w:bCs/>
                <w:color w:val="FFFFFF" w:themeColor="background1"/>
                <w:sz w:val="24"/>
                <w:szCs w:val="24"/>
              </w:rPr>
            </w:pPr>
            <w:r w:rsidRPr="00D7659C">
              <w:rPr>
                <w:rFonts w:eastAsia="Times New Roman"/>
                <w:b w:val="0"/>
                <w:bCs/>
                <w:color w:val="FFFFFF" w:themeColor="background1"/>
              </w:rPr>
              <w:t>Hospitalisations (n)</w:t>
            </w:r>
          </w:p>
        </w:tc>
        <w:tc>
          <w:tcPr>
            <w:tcW w:w="0" w:type="auto"/>
            <w:hideMark/>
          </w:tcPr>
          <w:p w14:paraId="1F8CF693" w14:textId="77777777" w:rsidR="009E3A88" w:rsidRPr="00D7659C" w:rsidRDefault="009E3A88" w:rsidP="00035D58">
            <w:pPr>
              <w:rPr>
                <w:rFonts w:eastAsia="Times New Roman"/>
                <w:b w:val="0"/>
                <w:bCs/>
                <w:color w:val="FFFFFF" w:themeColor="background1"/>
                <w:sz w:val="24"/>
                <w:szCs w:val="24"/>
              </w:rPr>
            </w:pPr>
            <w:r w:rsidRPr="00D7659C">
              <w:rPr>
                <w:rFonts w:eastAsia="Times New Roman"/>
                <w:b w:val="0"/>
                <w:bCs/>
                <w:color w:val="FFFFFF" w:themeColor="background1"/>
              </w:rPr>
              <w:t>Rate</w:t>
            </w:r>
            <w:r w:rsidRPr="00D7659C">
              <w:rPr>
                <w:rFonts w:eastAsia="Times New Roman"/>
                <w:b w:val="0"/>
                <w:bCs/>
                <w:color w:val="FFFFFF" w:themeColor="background1"/>
                <w:vertAlign w:val="superscript"/>
              </w:rPr>
              <w:t>††</w:t>
            </w:r>
            <w:r w:rsidRPr="00D7659C">
              <w:rPr>
                <w:rFonts w:eastAsia="Times New Roman"/>
                <w:b w:val="0"/>
                <w:bCs/>
                <w:color w:val="FFFFFF" w:themeColor="background1"/>
              </w:rPr>
              <w:t>(95% CI)</w:t>
            </w:r>
          </w:p>
        </w:tc>
        <w:tc>
          <w:tcPr>
            <w:tcW w:w="0" w:type="auto"/>
            <w:hideMark/>
          </w:tcPr>
          <w:p w14:paraId="7DDC289C" w14:textId="77777777" w:rsidR="009E3A88" w:rsidRPr="00D7659C" w:rsidRDefault="009E3A88" w:rsidP="00035D58">
            <w:pPr>
              <w:rPr>
                <w:rFonts w:eastAsia="Times New Roman"/>
                <w:b w:val="0"/>
                <w:bCs/>
                <w:color w:val="FFFFFF" w:themeColor="background1"/>
                <w:sz w:val="24"/>
                <w:szCs w:val="24"/>
              </w:rPr>
            </w:pPr>
            <w:r w:rsidRPr="00D7659C">
              <w:rPr>
                <w:rFonts w:eastAsia="Times New Roman"/>
                <w:b w:val="0"/>
                <w:bCs/>
                <w:color w:val="FFFFFF" w:themeColor="background1"/>
              </w:rPr>
              <w:t xml:space="preserve">IRR </w:t>
            </w:r>
            <w:r w:rsidRPr="00D7659C">
              <w:rPr>
                <w:rFonts w:eastAsia="Times New Roman"/>
                <w:b w:val="0"/>
                <w:bCs/>
                <w:color w:val="FFFFFF" w:themeColor="background1"/>
                <w:vertAlign w:val="superscript"/>
              </w:rPr>
              <w:t>‡</w:t>
            </w:r>
            <w:r w:rsidRPr="00D7659C">
              <w:rPr>
                <w:rFonts w:eastAsia="Times New Roman"/>
                <w:b w:val="0"/>
                <w:bCs/>
                <w:color w:val="FFFFFF" w:themeColor="background1"/>
              </w:rPr>
              <w:t xml:space="preserve"> </w:t>
            </w:r>
            <w:r w:rsidRPr="00D7659C">
              <w:rPr>
                <w:rFonts w:eastAsia="Times New Roman"/>
                <w:b w:val="0"/>
                <w:bCs/>
                <w:color w:val="FFFFFF" w:themeColor="background1"/>
                <w:vertAlign w:val="superscript"/>
              </w:rPr>
              <w:t>‡</w:t>
            </w:r>
            <w:r w:rsidRPr="00D7659C">
              <w:rPr>
                <w:rFonts w:eastAsia="Times New Roman"/>
                <w:b w:val="0"/>
                <w:bCs/>
                <w:color w:val="FFFFFF" w:themeColor="background1"/>
              </w:rPr>
              <w:t xml:space="preserve"> (95% CI)</w:t>
            </w:r>
          </w:p>
        </w:tc>
      </w:tr>
      <w:tr w:rsidR="009E3A88" w14:paraId="00F64A95" w14:textId="77777777" w:rsidTr="009C31FB">
        <w:tblPrEx>
          <w:tblCellMar>
            <w:top w:w="0" w:type="dxa"/>
            <w:left w:w="108" w:type="dxa"/>
            <w:bottom w:w="0" w:type="dxa"/>
            <w:right w:w="108" w:type="dxa"/>
          </w:tblCellMar>
        </w:tblPrEx>
        <w:tc>
          <w:tcPr>
            <w:tcW w:w="0" w:type="auto"/>
            <w:gridSpan w:val="8"/>
            <w:shd w:val="clear" w:color="auto" w:fill="808080" w:themeFill="background1" w:themeFillShade="80"/>
            <w:hideMark/>
          </w:tcPr>
          <w:p w14:paraId="10A40F94" w14:textId="77777777" w:rsidR="009E3A88" w:rsidRPr="009C31FB" w:rsidRDefault="009E3A88" w:rsidP="009C31FB">
            <w:pPr>
              <w:rPr>
                <w:rFonts w:eastAsia="Times New Roman"/>
                <w:b/>
                <w:bCs/>
                <w:color w:val="FFFFFF" w:themeColor="background1"/>
                <w:sz w:val="24"/>
                <w:szCs w:val="24"/>
              </w:rPr>
            </w:pPr>
            <w:r w:rsidRPr="009C31FB">
              <w:rPr>
                <w:rFonts w:eastAsia="Times New Roman"/>
                <w:b/>
                <w:bCs/>
                <w:color w:val="FFFFFF" w:themeColor="background1"/>
              </w:rPr>
              <w:t>Principal herpes zoster in all Australians</w:t>
            </w:r>
          </w:p>
        </w:tc>
      </w:tr>
      <w:tr w:rsidR="00C73BA7" w14:paraId="7519B229" w14:textId="77777777" w:rsidTr="00D7659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397E7E3" w14:textId="77777777" w:rsidR="009E3A88" w:rsidRDefault="009E3A88">
            <w:pPr>
              <w:rPr>
                <w:rFonts w:eastAsia="Times New Roman"/>
                <w:sz w:val="24"/>
                <w:szCs w:val="24"/>
              </w:rPr>
            </w:pPr>
            <w:r>
              <w:rPr>
                <w:rFonts w:eastAsia="Times New Roman"/>
              </w:rPr>
              <w:t>0-49 years</w:t>
            </w:r>
          </w:p>
        </w:tc>
        <w:tc>
          <w:tcPr>
            <w:tcW w:w="0" w:type="auto"/>
            <w:hideMark/>
          </w:tcPr>
          <w:p w14:paraId="75A793F4" w14:textId="77777777" w:rsidR="009E3A88" w:rsidRDefault="009E3A88">
            <w:pPr>
              <w:rPr>
                <w:rFonts w:eastAsia="Times New Roman"/>
                <w:sz w:val="24"/>
                <w:szCs w:val="24"/>
              </w:rPr>
            </w:pPr>
            <w:r>
              <w:rPr>
                <w:rFonts w:eastAsia="Times New Roman"/>
              </w:rPr>
              <w:t>5,103</w:t>
            </w:r>
          </w:p>
        </w:tc>
        <w:tc>
          <w:tcPr>
            <w:tcW w:w="0" w:type="auto"/>
            <w:hideMark/>
          </w:tcPr>
          <w:p w14:paraId="38E3EE96" w14:textId="77777777" w:rsidR="009E3A88" w:rsidRDefault="009E3A88">
            <w:pPr>
              <w:rPr>
                <w:rFonts w:eastAsia="Times New Roman"/>
                <w:sz w:val="24"/>
                <w:szCs w:val="24"/>
              </w:rPr>
            </w:pPr>
            <w:r>
              <w:rPr>
                <w:rFonts w:eastAsia="Times New Roman"/>
              </w:rPr>
              <w:t>2.4 (2.3-2.4)</w:t>
            </w:r>
          </w:p>
        </w:tc>
        <w:tc>
          <w:tcPr>
            <w:tcW w:w="0" w:type="auto"/>
            <w:hideMark/>
          </w:tcPr>
          <w:p w14:paraId="1B44BD25" w14:textId="77777777" w:rsidR="009E3A88" w:rsidRDefault="009E3A88">
            <w:pPr>
              <w:rPr>
                <w:rFonts w:eastAsia="Times New Roman"/>
                <w:sz w:val="24"/>
                <w:szCs w:val="24"/>
              </w:rPr>
            </w:pPr>
            <w:r>
              <w:rPr>
                <w:rFonts w:eastAsia="Times New Roman"/>
              </w:rPr>
              <w:t>1,982</w:t>
            </w:r>
          </w:p>
        </w:tc>
        <w:tc>
          <w:tcPr>
            <w:tcW w:w="0" w:type="auto"/>
            <w:hideMark/>
          </w:tcPr>
          <w:p w14:paraId="37190750" w14:textId="77777777" w:rsidR="009E3A88" w:rsidRDefault="009E3A88">
            <w:pPr>
              <w:rPr>
                <w:rFonts w:eastAsia="Times New Roman"/>
                <w:sz w:val="24"/>
                <w:szCs w:val="24"/>
              </w:rPr>
            </w:pPr>
            <w:r>
              <w:rPr>
                <w:rFonts w:eastAsia="Times New Roman"/>
              </w:rPr>
              <w:t>2.4 (2.3-2.6)</w:t>
            </w:r>
          </w:p>
        </w:tc>
        <w:tc>
          <w:tcPr>
            <w:tcW w:w="0" w:type="auto"/>
            <w:hideMark/>
          </w:tcPr>
          <w:p w14:paraId="563A5DDB" w14:textId="77777777" w:rsidR="009E3A88" w:rsidRDefault="009E3A88">
            <w:pPr>
              <w:rPr>
                <w:rFonts w:eastAsia="Times New Roman"/>
                <w:sz w:val="24"/>
                <w:szCs w:val="24"/>
              </w:rPr>
            </w:pPr>
            <w:r>
              <w:rPr>
                <w:rFonts w:eastAsia="Times New Roman"/>
              </w:rPr>
              <w:t>2,458</w:t>
            </w:r>
          </w:p>
        </w:tc>
        <w:tc>
          <w:tcPr>
            <w:tcW w:w="0" w:type="auto"/>
            <w:hideMark/>
          </w:tcPr>
          <w:p w14:paraId="182F7393" w14:textId="77777777" w:rsidR="009E3A88" w:rsidRDefault="009E3A88">
            <w:pPr>
              <w:rPr>
                <w:rFonts w:eastAsia="Times New Roman"/>
                <w:sz w:val="24"/>
                <w:szCs w:val="24"/>
              </w:rPr>
            </w:pPr>
            <w:r>
              <w:rPr>
                <w:rFonts w:eastAsia="Times New Roman"/>
              </w:rPr>
              <w:t>2.3 (2.2-2.4)</w:t>
            </w:r>
          </w:p>
        </w:tc>
        <w:tc>
          <w:tcPr>
            <w:tcW w:w="0" w:type="auto"/>
            <w:hideMark/>
          </w:tcPr>
          <w:p w14:paraId="6F71A026" w14:textId="77777777" w:rsidR="009E3A88" w:rsidRDefault="009E3A88">
            <w:pPr>
              <w:rPr>
                <w:rFonts w:eastAsia="Times New Roman"/>
                <w:sz w:val="24"/>
                <w:szCs w:val="24"/>
              </w:rPr>
            </w:pPr>
            <w:r>
              <w:rPr>
                <w:rFonts w:eastAsia="Times New Roman"/>
              </w:rPr>
              <w:t>0.97 (0.91-1.04)</w:t>
            </w:r>
          </w:p>
        </w:tc>
      </w:tr>
      <w:tr w:rsidR="00A75CE6" w14:paraId="1FD2F190" w14:textId="77777777" w:rsidTr="00D7659C">
        <w:tblPrEx>
          <w:tblCellMar>
            <w:top w:w="0" w:type="dxa"/>
            <w:left w:w="108" w:type="dxa"/>
            <w:bottom w:w="0" w:type="dxa"/>
            <w:right w:w="108" w:type="dxa"/>
          </w:tblCellMar>
        </w:tblPrEx>
        <w:tc>
          <w:tcPr>
            <w:tcW w:w="0" w:type="auto"/>
            <w:hideMark/>
          </w:tcPr>
          <w:p w14:paraId="75D4BF82" w14:textId="77777777" w:rsidR="009E3A88" w:rsidRDefault="009E3A88">
            <w:pPr>
              <w:rPr>
                <w:rFonts w:eastAsia="Times New Roman"/>
                <w:sz w:val="24"/>
                <w:szCs w:val="24"/>
              </w:rPr>
            </w:pPr>
            <w:r>
              <w:rPr>
                <w:rFonts w:eastAsia="Times New Roman"/>
              </w:rPr>
              <w:t>50-59 years</w:t>
            </w:r>
          </w:p>
        </w:tc>
        <w:tc>
          <w:tcPr>
            <w:tcW w:w="0" w:type="auto"/>
            <w:hideMark/>
          </w:tcPr>
          <w:p w14:paraId="7DC3DEBA" w14:textId="77777777" w:rsidR="009E3A88" w:rsidRDefault="009E3A88">
            <w:pPr>
              <w:rPr>
                <w:rFonts w:eastAsia="Times New Roman"/>
                <w:sz w:val="24"/>
                <w:szCs w:val="24"/>
              </w:rPr>
            </w:pPr>
            <w:r>
              <w:rPr>
                <w:rFonts w:eastAsia="Times New Roman"/>
              </w:rPr>
              <w:t>3,115</w:t>
            </w:r>
          </w:p>
        </w:tc>
        <w:tc>
          <w:tcPr>
            <w:tcW w:w="0" w:type="auto"/>
            <w:hideMark/>
          </w:tcPr>
          <w:p w14:paraId="5E447330" w14:textId="77777777" w:rsidR="009E3A88" w:rsidRDefault="009E3A88">
            <w:pPr>
              <w:rPr>
                <w:rFonts w:eastAsia="Times New Roman"/>
                <w:sz w:val="24"/>
                <w:szCs w:val="24"/>
              </w:rPr>
            </w:pPr>
            <w:r>
              <w:rPr>
                <w:rFonts w:eastAsia="Times New Roman"/>
              </w:rPr>
              <w:t>8.1 (7.7-8.5)</w:t>
            </w:r>
          </w:p>
        </w:tc>
        <w:tc>
          <w:tcPr>
            <w:tcW w:w="0" w:type="auto"/>
            <w:hideMark/>
          </w:tcPr>
          <w:p w14:paraId="0303EEC1" w14:textId="77777777" w:rsidR="009E3A88" w:rsidRDefault="009E3A88">
            <w:pPr>
              <w:rPr>
                <w:rFonts w:eastAsia="Times New Roman"/>
                <w:sz w:val="24"/>
                <w:szCs w:val="24"/>
              </w:rPr>
            </w:pPr>
            <w:r>
              <w:rPr>
                <w:rFonts w:eastAsia="Times New Roman"/>
              </w:rPr>
              <w:t>1,084</w:t>
            </w:r>
          </w:p>
        </w:tc>
        <w:tc>
          <w:tcPr>
            <w:tcW w:w="0" w:type="auto"/>
            <w:hideMark/>
          </w:tcPr>
          <w:p w14:paraId="48EB0E52" w14:textId="77777777" w:rsidR="009E3A88" w:rsidRDefault="009E3A88">
            <w:pPr>
              <w:rPr>
                <w:rFonts w:eastAsia="Times New Roman"/>
                <w:sz w:val="24"/>
                <w:szCs w:val="24"/>
              </w:rPr>
            </w:pPr>
            <w:r>
              <w:rPr>
                <w:rFonts w:eastAsia="Times New Roman"/>
              </w:rPr>
              <w:t>7.8 (7.3-8.4)</w:t>
            </w:r>
          </w:p>
        </w:tc>
        <w:tc>
          <w:tcPr>
            <w:tcW w:w="0" w:type="auto"/>
            <w:hideMark/>
          </w:tcPr>
          <w:p w14:paraId="7C914012" w14:textId="77777777" w:rsidR="009E3A88" w:rsidRDefault="009E3A88">
            <w:pPr>
              <w:rPr>
                <w:rFonts w:eastAsia="Times New Roman"/>
                <w:sz w:val="24"/>
                <w:szCs w:val="24"/>
              </w:rPr>
            </w:pPr>
            <w:r>
              <w:rPr>
                <w:rFonts w:eastAsia="Times New Roman"/>
              </w:rPr>
              <w:t>1,619</w:t>
            </w:r>
          </w:p>
        </w:tc>
        <w:tc>
          <w:tcPr>
            <w:tcW w:w="0" w:type="auto"/>
            <w:hideMark/>
          </w:tcPr>
          <w:p w14:paraId="6B53F30A" w14:textId="77777777" w:rsidR="009E3A88" w:rsidRDefault="009E3A88">
            <w:pPr>
              <w:rPr>
                <w:rFonts w:eastAsia="Times New Roman"/>
                <w:sz w:val="24"/>
                <w:szCs w:val="24"/>
              </w:rPr>
            </w:pPr>
            <w:r>
              <w:rPr>
                <w:rFonts w:eastAsia="Times New Roman"/>
              </w:rPr>
              <w:t>8.3 (7.7-9.0)</w:t>
            </w:r>
          </w:p>
        </w:tc>
        <w:tc>
          <w:tcPr>
            <w:tcW w:w="0" w:type="auto"/>
            <w:hideMark/>
          </w:tcPr>
          <w:p w14:paraId="0E9FB442" w14:textId="77777777" w:rsidR="009E3A88" w:rsidRDefault="009E3A88">
            <w:pPr>
              <w:rPr>
                <w:rFonts w:eastAsia="Times New Roman"/>
                <w:sz w:val="24"/>
                <w:szCs w:val="24"/>
              </w:rPr>
            </w:pPr>
            <w:r>
              <w:rPr>
                <w:rFonts w:eastAsia="Times New Roman"/>
              </w:rPr>
              <w:t>1.07 (0.96-1.20)</w:t>
            </w:r>
          </w:p>
        </w:tc>
      </w:tr>
      <w:tr w:rsidR="00C73BA7" w14:paraId="342B4DB8" w14:textId="77777777" w:rsidTr="00D7659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A89F3E1" w14:textId="77777777" w:rsidR="009E3A88" w:rsidRDefault="009E3A88">
            <w:pPr>
              <w:rPr>
                <w:rFonts w:eastAsia="Times New Roman"/>
                <w:sz w:val="24"/>
                <w:szCs w:val="24"/>
              </w:rPr>
            </w:pPr>
            <w:r>
              <w:rPr>
                <w:rFonts w:eastAsia="Times New Roman"/>
              </w:rPr>
              <w:t>60-69 years</w:t>
            </w:r>
          </w:p>
        </w:tc>
        <w:tc>
          <w:tcPr>
            <w:tcW w:w="0" w:type="auto"/>
            <w:hideMark/>
          </w:tcPr>
          <w:p w14:paraId="195E0563" w14:textId="77777777" w:rsidR="009E3A88" w:rsidRDefault="009E3A88">
            <w:pPr>
              <w:rPr>
                <w:rFonts w:eastAsia="Times New Roman"/>
                <w:sz w:val="24"/>
                <w:szCs w:val="24"/>
              </w:rPr>
            </w:pPr>
            <w:r>
              <w:rPr>
                <w:rFonts w:eastAsia="Times New Roman"/>
              </w:rPr>
              <w:t>5,079</w:t>
            </w:r>
          </w:p>
        </w:tc>
        <w:tc>
          <w:tcPr>
            <w:tcW w:w="0" w:type="auto"/>
            <w:hideMark/>
          </w:tcPr>
          <w:p w14:paraId="47016A2D" w14:textId="77777777" w:rsidR="009E3A88" w:rsidRDefault="009E3A88">
            <w:pPr>
              <w:rPr>
                <w:rFonts w:eastAsia="Times New Roman"/>
                <w:sz w:val="24"/>
                <w:szCs w:val="24"/>
              </w:rPr>
            </w:pPr>
            <w:r>
              <w:rPr>
                <w:rFonts w:eastAsia="Times New Roman"/>
              </w:rPr>
              <w:t>18.6 (18.0-19.3)</w:t>
            </w:r>
          </w:p>
        </w:tc>
        <w:tc>
          <w:tcPr>
            <w:tcW w:w="0" w:type="auto"/>
            <w:hideMark/>
          </w:tcPr>
          <w:p w14:paraId="1C531791" w14:textId="77777777" w:rsidR="009E3A88" w:rsidRDefault="009E3A88">
            <w:pPr>
              <w:rPr>
                <w:rFonts w:eastAsia="Times New Roman"/>
                <w:sz w:val="24"/>
                <w:szCs w:val="24"/>
              </w:rPr>
            </w:pPr>
            <w:r>
              <w:rPr>
                <w:rFonts w:eastAsia="Times New Roman"/>
              </w:rPr>
              <w:t>1,620</w:t>
            </w:r>
          </w:p>
        </w:tc>
        <w:tc>
          <w:tcPr>
            <w:tcW w:w="0" w:type="auto"/>
            <w:hideMark/>
          </w:tcPr>
          <w:p w14:paraId="3ABBD9A3" w14:textId="77777777" w:rsidR="009E3A88" w:rsidRDefault="009E3A88">
            <w:pPr>
              <w:rPr>
                <w:rFonts w:eastAsia="Times New Roman"/>
                <w:sz w:val="24"/>
                <w:szCs w:val="24"/>
              </w:rPr>
            </w:pPr>
            <w:r>
              <w:rPr>
                <w:rFonts w:eastAsia="Times New Roman"/>
              </w:rPr>
              <w:t>17.7 (16.7-18.9)</w:t>
            </w:r>
          </w:p>
        </w:tc>
        <w:tc>
          <w:tcPr>
            <w:tcW w:w="0" w:type="auto"/>
            <w:hideMark/>
          </w:tcPr>
          <w:p w14:paraId="53991263" w14:textId="77777777" w:rsidR="009E3A88" w:rsidRDefault="009E3A88">
            <w:pPr>
              <w:rPr>
                <w:rFonts w:eastAsia="Times New Roman"/>
                <w:sz w:val="24"/>
                <w:szCs w:val="24"/>
              </w:rPr>
            </w:pPr>
            <w:r>
              <w:rPr>
                <w:rFonts w:eastAsia="Times New Roman"/>
              </w:rPr>
              <w:t>2,828</w:t>
            </w:r>
          </w:p>
        </w:tc>
        <w:tc>
          <w:tcPr>
            <w:tcW w:w="0" w:type="auto"/>
            <w:hideMark/>
          </w:tcPr>
          <w:p w14:paraId="32634771" w14:textId="77777777" w:rsidR="009E3A88" w:rsidRDefault="009E3A88">
            <w:pPr>
              <w:rPr>
                <w:rFonts w:eastAsia="Times New Roman"/>
                <w:sz w:val="24"/>
                <w:szCs w:val="24"/>
              </w:rPr>
            </w:pPr>
            <w:r>
              <w:rPr>
                <w:rFonts w:eastAsia="Times New Roman"/>
              </w:rPr>
              <w:t>19.3 (18.5-20.0)</w:t>
            </w:r>
          </w:p>
        </w:tc>
        <w:tc>
          <w:tcPr>
            <w:tcW w:w="0" w:type="auto"/>
            <w:hideMark/>
          </w:tcPr>
          <w:p w14:paraId="25B88DF9" w14:textId="77777777" w:rsidR="009E3A88" w:rsidRDefault="009E3A88">
            <w:pPr>
              <w:rPr>
                <w:rFonts w:eastAsia="Times New Roman"/>
                <w:sz w:val="24"/>
                <w:szCs w:val="24"/>
              </w:rPr>
            </w:pPr>
            <w:r>
              <w:rPr>
                <w:rFonts w:eastAsia="Times New Roman"/>
              </w:rPr>
              <w:t>1.09 (1.02-1.16)</w:t>
            </w:r>
          </w:p>
        </w:tc>
      </w:tr>
      <w:tr w:rsidR="00A75CE6" w14:paraId="3755A806" w14:textId="77777777" w:rsidTr="00D7659C">
        <w:tblPrEx>
          <w:tblCellMar>
            <w:top w:w="0" w:type="dxa"/>
            <w:left w:w="108" w:type="dxa"/>
            <w:bottom w:w="0" w:type="dxa"/>
            <w:right w:w="108" w:type="dxa"/>
          </w:tblCellMar>
        </w:tblPrEx>
        <w:tc>
          <w:tcPr>
            <w:tcW w:w="0" w:type="auto"/>
            <w:hideMark/>
          </w:tcPr>
          <w:p w14:paraId="7C515186" w14:textId="77777777" w:rsidR="009E3A88" w:rsidRDefault="009E3A88">
            <w:pPr>
              <w:rPr>
                <w:rFonts w:eastAsia="Times New Roman"/>
                <w:sz w:val="24"/>
                <w:szCs w:val="24"/>
              </w:rPr>
            </w:pPr>
            <w:r>
              <w:rPr>
                <w:rFonts w:eastAsia="Times New Roman"/>
              </w:rPr>
              <w:t>70-74 years</w:t>
            </w:r>
          </w:p>
        </w:tc>
        <w:tc>
          <w:tcPr>
            <w:tcW w:w="0" w:type="auto"/>
            <w:hideMark/>
          </w:tcPr>
          <w:p w14:paraId="56B17F09" w14:textId="77777777" w:rsidR="009E3A88" w:rsidRDefault="009E3A88">
            <w:pPr>
              <w:rPr>
                <w:rFonts w:eastAsia="Times New Roman"/>
                <w:sz w:val="24"/>
                <w:szCs w:val="24"/>
              </w:rPr>
            </w:pPr>
            <w:r>
              <w:rPr>
                <w:rFonts w:eastAsia="Times New Roman"/>
              </w:rPr>
              <w:t>3,720</w:t>
            </w:r>
          </w:p>
        </w:tc>
        <w:tc>
          <w:tcPr>
            <w:tcW w:w="0" w:type="auto"/>
            <w:hideMark/>
          </w:tcPr>
          <w:p w14:paraId="726351C3" w14:textId="77777777" w:rsidR="009E3A88" w:rsidRDefault="009E3A88">
            <w:pPr>
              <w:rPr>
                <w:rFonts w:eastAsia="Times New Roman"/>
                <w:sz w:val="24"/>
                <w:szCs w:val="24"/>
              </w:rPr>
            </w:pPr>
            <w:r>
              <w:rPr>
                <w:rFonts w:eastAsia="Times New Roman"/>
              </w:rPr>
              <w:t>37.4 (35.8-39.0)</w:t>
            </w:r>
          </w:p>
        </w:tc>
        <w:tc>
          <w:tcPr>
            <w:tcW w:w="0" w:type="auto"/>
            <w:hideMark/>
          </w:tcPr>
          <w:p w14:paraId="67448958" w14:textId="77777777" w:rsidR="009E3A88" w:rsidRDefault="009E3A88">
            <w:pPr>
              <w:rPr>
                <w:rFonts w:eastAsia="Times New Roman"/>
                <w:sz w:val="24"/>
                <w:szCs w:val="24"/>
              </w:rPr>
            </w:pPr>
            <w:r>
              <w:rPr>
                <w:rFonts w:eastAsia="Times New Roman"/>
              </w:rPr>
              <w:t>1,438</w:t>
            </w:r>
          </w:p>
        </w:tc>
        <w:tc>
          <w:tcPr>
            <w:tcW w:w="0" w:type="auto"/>
            <w:hideMark/>
          </w:tcPr>
          <w:p w14:paraId="4B55D733" w14:textId="77777777" w:rsidR="009E3A88" w:rsidRDefault="009E3A88">
            <w:pPr>
              <w:rPr>
                <w:rFonts w:eastAsia="Times New Roman"/>
                <w:sz w:val="24"/>
                <w:szCs w:val="24"/>
              </w:rPr>
            </w:pPr>
            <w:r>
              <w:rPr>
                <w:rFonts w:eastAsia="Times New Roman"/>
              </w:rPr>
              <w:t>38.2 (36.8-39.6)</w:t>
            </w:r>
          </w:p>
        </w:tc>
        <w:tc>
          <w:tcPr>
            <w:tcW w:w="0" w:type="auto"/>
            <w:hideMark/>
          </w:tcPr>
          <w:p w14:paraId="372D9E63" w14:textId="77777777" w:rsidR="009E3A88" w:rsidRDefault="009E3A88">
            <w:pPr>
              <w:rPr>
                <w:rFonts w:eastAsia="Times New Roman"/>
                <w:sz w:val="24"/>
                <w:szCs w:val="24"/>
              </w:rPr>
            </w:pPr>
            <w:r>
              <w:rPr>
                <w:rFonts w:eastAsia="Times New Roman"/>
              </w:rPr>
              <w:t>1,780</w:t>
            </w:r>
          </w:p>
        </w:tc>
        <w:tc>
          <w:tcPr>
            <w:tcW w:w="0" w:type="auto"/>
            <w:hideMark/>
          </w:tcPr>
          <w:p w14:paraId="6C221427" w14:textId="77777777" w:rsidR="009E3A88" w:rsidRDefault="009E3A88">
            <w:pPr>
              <w:rPr>
                <w:rFonts w:eastAsia="Times New Roman"/>
                <w:sz w:val="24"/>
                <w:szCs w:val="24"/>
              </w:rPr>
            </w:pPr>
            <w:r>
              <w:rPr>
                <w:rFonts w:eastAsia="Times New Roman"/>
              </w:rPr>
              <w:t>35.9 (33.4-38.6)</w:t>
            </w:r>
          </w:p>
        </w:tc>
        <w:tc>
          <w:tcPr>
            <w:tcW w:w="0" w:type="auto"/>
            <w:hideMark/>
          </w:tcPr>
          <w:p w14:paraId="726C145A" w14:textId="77777777" w:rsidR="009E3A88" w:rsidRDefault="009E3A88">
            <w:pPr>
              <w:rPr>
                <w:rFonts w:eastAsia="Times New Roman"/>
                <w:sz w:val="24"/>
                <w:szCs w:val="24"/>
              </w:rPr>
            </w:pPr>
            <w:r>
              <w:rPr>
                <w:rFonts w:eastAsia="Times New Roman"/>
              </w:rPr>
              <w:t>0.94 (0.86-1.02)</w:t>
            </w:r>
          </w:p>
        </w:tc>
      </w:tr>
      <w:tr w:rsidR="00C73BA7" w14:paraId="1FC79029" w14:textId="77777777" w:rsidTr="00D7659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C1BB43C" w14:textId="77777777" w:rsidR="009E3A88" w:rsidRDefault="009E3A88">
            <w:pPr>
              <w:rPr>
                <w:rFonts w:eastAsia="Times New Roman"/>
                <w:sz w:val="24"/>
                <w:szCs w:val="24"/>
              </w:rPr>
            </w:pPr>
            <w:r>
              <w:rPr>
                <w:rFonts w:eastAsia="Times New Roman"/>
              </w:rPr>
              <w:t>≥75 years</w:t>
            </w:r>
          </w:p>
        </w:tc>
        <w:tc>
          <w:tcPr>
            <w:tcW w:w="0" w:type="auto"/>
            <w:hideMark/>
          </w:tcPr>
          <w:p w14:paraId="7DDE5BA0" w14:textId="77777777" w:rsidR="009E3A88" w:rsidRDefault="009E3A88">
            <w:pPr>
              <w:rPr>
                <w:rFonts w:eastAsia="Times New Roman"/>
                <w:sz w:val="24"/>
                <w:szCs w:val="24"/>
              </w:rPr>
            </w:pPr>
            <w:r>
              <w:rPr>
                <w:rFonts w:eastAsia="Times New Roman"/>
              </w:rPr>
              <w:t>16,532</w:t>
            </w:r>
          </w:p>
        </w:tc>
        <w:tc>
          <w:tcPr>
            <w:tcW w:w="0" w:type="auto"/>
            <w:hideMark/>
          </w:tcPr>
          <w:p w14:paraId="566E16D0" w14:textId="77777777" w:rsidR="009E3A88" w:rsidRDefault="009E3A88">
            <w:pPr>
              <w:rPr>
                <w:rFonts w:eastAsia="Times New Roman"/>
                <w:sz w:val="24"/>
                <w:szCs w:val="24"/>
              </w:rPr>
            </w:pPr>
            <w:r>
              <w:rPr>
                <w:rFonts w:eastAsia="Times New Roman"/>
              </w:rPr>
              <w:t>87.6 (85.9-89.4)</w:t>
            </w:r>
          </w:p>
        </w:tc>
        <w:tc>
          <w:tcPr>
            <w:tcW w:w="0" w:type="auto"/>
            <w:hideMark/>
          </w:tcPr>
          <w:p w14:paraId="586E15FC" w14:textId="77777777" w:rsidR="009E3A88" w:rsidRDefault="009E3A88">
            <w:pPr>
              <w:rPr>
                <w:rFonts w:eastAsia="Times New Roman"/>
                <w:sz w:val="24"/>
                <w:szCs w:val="24"/>
              </w:rPr>
            </w:pPr>
            <w:r>
              <w:rPr>
                <w:rFonts w:eastAsia="Times New Roman"/>
              </w:rPr>
              <w:t>5,846</w:t>
            </w:r>
          </w:p>
        </w:tc>
        <w:tc>
          <w:tcPr>
            <w:tcW w:w="0" w:type="auto"/>
            <w:hideMark/>
          </w:tcPr>
          <w:p w14:paraId="124E3805" w14:textId="77777777" w:rsidR="009E3A88" w:rsidRDefault="009E3A88">
            <w:pPr>
              <w:rPr>
                <w:rFonts w:eastAsia="Times New Roman"/>
                <w:sz w:val="24"/>
                <w:szCs w:val="24"/>
              </w:rPr>
            </w:pPr>
            <w:r>
              <w:rPr>
                <w:rFonts w:eastAsia="Times New Roman"/>
              </w:rPr>
              <w:t>87.1 (84.9-89.4)</w:t>
            </w:r>
          </w:p>
        </w:tc>
        <w:tc>
          <w:tcPr>
            <w:tcW w:w="0" w:type="auto"/>
            <w:hideMark/>
          </w:tcPr>
          <w:p w14:paraId="5DC7D8A1" w14:textId="77777777" w:rsidR="009E3A88" w:rsidRDefault="009E3A88">
            <w:pPr>
              <w:rPr>
                <w:rFonts w:eastAsia="Times New Roman"/>
                <w:sz w:val="24"/>
                <w:szCs w:val="24"/>
              </w:rPr>
            </w:pPr>
            <w:r>
              <w:rPr>
                <w:rFonts w:eastAsia="Times New Roman"/>
              </w:rPr>
              <w:t>8,492</w:t>
            </w:r>
          </w:p>
        </w:tc>
        <w:tc>
          <w:tcPr>
            <w:tcW w:w="0" w:type="auto"/>
            <w:hideMark/>
          </w:tcPr>
          <w:p w14:paraId="56CE76E6" w14:textId="77777777" w:rsidR="009E3A88" w:rsidRDefault="009E3A88">
            <w:pPr>
              <w:rPr>
                <w:rFonts w:eastAsia="Times New Roman"/>
                <w:sz w:val="24"/>
                <w:szCs w:val="24"/>
              </w:rPr>
            </w:pPr>
            <w:r>
              <w:rPr>
                <w:rFonts w:eastAsia="Times New Roman"/>
              </w:rPr>
              <w:t>87.9 (84.8-91.2)</w:t>
            </w:r>
          </w:p>
        </w:tc>
        <w:tc>
          <w:tcPr>
            <w:tcW w:w="0" w:type="auto"/>
            <w:hideMark/>
          </w:tcPr>
          <w:p w14:paraId="49B42A4C" w14:textId="77777777" w:rsidR="009E3A88" w:rsidRDefault="009E3A88">
            <w:pPr>
              <w:rPr>
                <w:rFonts w:eastAsia="Times New Roman"/>
                <w:sz w:val="24"/>
                <w:szCs w:val="24"/>
              </w:rPr>
            </w:pPr>
            <w:r>
              <w:rPr>
                <w:rFonts w:eastAsia="Times New Roman"/>
              </w:rPr>
              <w:t>1.01 (0.96-1.06)</w:t>
            </w:r>
          </w:p>
        </w:tc>
      </w:tr>
      <w:tr w:rsidR="00A75CE6" w14:paraId="564238C0" w14:textId="77777777" w:rsidTr="00817E05">
        <w:tblPrEx>
          <w:tblCellMar>
            <w:top w:w="0" w:type="dxa"/>
            <w:left w:w="108" w:type="dxa"/>
            <w:bottom w:w="0" w:type="dxa"/>
            <w:right w:w="108" w:type="dxa"/>
          </w:tblCellMar>
        </w:tblPrEx>
        <w:tc>
          <w:tcPr>
            <w:tcW w:w="0" w:type="auto"/>
            <w:shd w:val="clear" w:color="auto" w:fill="FDE9D9" w:themeFill="accent6" w:themeFillTint="33"/>
            <w:hideMark/>
          </w:tcPr>
          <w:p w14:paraId="45F2339C" w14:textId="77777777" w:rsidR="009E3A88" w:rsidRDefault="009E3A88">
            <w:pPr>
              <w:rPr>
                <w:rFonts w:eastAsia="Times New Roman"/>
                <w:sz w:val="24"/>
                <w:szCs w:val="24"/>
              </w:rPr>
            </w:pPr>
            <w:r>
              <w:rPr>
                <w:rFonts w:eastAsia="Times New Roman"/>
              </w:rPr>
              <w:t>All ages</w:t>
            </w:r>
          </w:p>
        </w:tc>
        <w:tc>
          <w:tcPr>
            <w:tcW w:w="0" w:type="auto"/>
            <w:shd w:val="clear" w:color="auto" w:fill="FDE9D9" w:themeFill="accent6" w:themeFillTint="33"/>
            <w:hideMark/>
          </w:tcPr>
          <w:p w14:paraId="77B2C2C8" w14:textId="77777777" w:rsidR="009E3A88" w:rsidRDefault="009E3A88">
            <w:pPr>
              <w:rPr>
                <w:rFonts w:eastAsia="Times New Roman"/>
                <w:sz w:val="24"/>
                <w:szCs w:val="24"/>
              </w:rPr>
            </w:pPr>
            <w:r>
              <w:rPr>
                <w:rFonts w:eastAsia="Times New Roman"/>
              </w:rPr>
              <w:t>33,549</w:t>
            </w:r>
          </w:p>
        </w:tc>
        <w:tc>
          <w:tcPr>
            <w:tcW w:w="0" w:type="auto"/>
            <w:shd w:val="clear" w:color="auto" w:fill="FDE9D9" w:themeFill="accent6" w:themeFillTint="33"/>
            <w:hideMark/>
          </w:tcPr>
          <w:p w14:paraId="1FE76E11" w14:textId="77777777" w:rsidR="009E3A88" w:rsidRDefault="009E3A88">
            <w:pPr>
              <w:rPr>
                <w:rFonts w:eastAsia="Times New Roman"/>
                <w:sz w:val="24"/>
                <w:szCs w:val="24"/>
              </w:rPr>
            </w:pPr>
            <w:r>
              <w:rPr>
                <w:rFonts w:eastAsia="Times New Roman"/>
              </w:rPr>
              <w:t>10.8 (10.5-11.1)</w:t>
            </w:r>
          </w:p>
        </w:tc>
        <w:tc>
          <w:tcPr>
            <w:tcW w:w="0" w:type="auto"/>
            <w:shd w:val="clear" w:color="auto" w:fill="FDE9D9" w:themeFill="accent6" w:themeFillTint="33"/>
            <w:hideMark/>
          </w:tcPr>
          <w:p w14:paraId="0C763BF3" w14:textId="77777777" w:rsidR="009E3A88" w:rsidRDefault="009E3A88">
            <w:pPr>
              <w:rPr>
                <w:rFonts w:eastAsia="Times New Roman"/>
                <w:sz w:val="24"/>
                <w:szCs w:val="24"/>
              </w:rPr>
            </w:pPr>
            <w:r>
              <w:rPr>
                <w:rFonts w:eastAsia="Times New Roman"/>
              </w:rPr>
              <w:t>11,970</w:t>
            </w:r>
          </w:p>
        </w:tc>
        <w:tc>
          <w:tcPr>
            <w:tcW w:w="0" w:type="auto"/>
            <w:shd w:val="clear" w:color="auto" w:fill="FDE9D9" w:themeFill="accent6" w:themeFillTint="33"/>
            <w:hideMark/>
          </w:tcPr>
          <w:p w14:paraId="2EE68E7A" w14:textId="77777777" w:rsidR="009E3A88" w:rsidRDefault="009E3A88">
            <w:pPr>
              <w:rPr>
                <w:rFonts w:eastAsia="Times New Roman"/>
                <w:sz w:val="24"/>
                <w:szCs w:val="24"/>
              </w:rPr>
            </w:pPr>
            <w:r>
              <w:rPr>
                <w:rFonts w:eastAsia="Times New Roman"/>
              </w:rPr>
              <w:t>10.3 (10.0-10.6)</w:t>
            </w:r>
          </w:p>
        </w:tc>
        <w:tc>
          <w:tcPr>
            <w:tcW w:w="0" w:type="auto"/>
            <w:shd w:val="clear" w:color="auto" w:fill="FDE9D9" w:themeFill="accent6" w:themeFillTint="33"/>
            <w:hideMark/>
          </w:tcPr>
          <w:p w14:paraId="5DF4B6CF" w14:textId="77777777" w:rsidR="009E3A88" w:rsidRDefault="009E3A88">
            <w:pPr>
              <w:rPr>
                <w:rFonts w:eastAsia="Times New Roman"/>
                <w:sz w:val="24"/>
                <w:szCs w:val="24"/>
              </w:rPr>
            </w:pPr>
            <w:r>
              <w:rPr>
                <w:rFonts w:eastAsia="Times New Roman"/>
              </w:rPr>
              <w:t>17,177</w:t>
            </w:r>
          </w:p>
        </w:tc>
        <w:tc>
          <w:tcPr>
            <w:tcW w:w="0" w:type="auto"/>
            <w:shd w:val="clear" w:color="auto" w:fill="FDE9D9" w:themeFill="accent6" w:themeFillTint="33"/>
            <w:hideMark/>
          </w:tcPr>
          <w:p w14:paraId="101610E6" w14:textId="77777777" w:rsidR="009E3A88" w:rsidRDefault="009E3A88">
            <w:pPr>
              <w:rPr>
                <w:rFonts w:eastAsia="Times New Roman"/>
                <w:sz w:val="24"/>
                <w:szCs w:val="24"/>
              </w:rPr>
            </w:pPr>
            <w:r>
              <w:rPr>
                <w:rFonts w:eastAsia="Times New Roman"/>
              </w:rPr>
              <w:t>11.1 (10.7-11.6)</w:t>
            </w:r>
          </w:p>
        </w:tc>
        <w:tc>
          <w:tcPr>
            <w:tcW w:w="0" w:type="auto"/>
            <w:shd w:val="clear" w:color="auto" w:fill="FDE9D9" w:themeFill="accent6" w:themeFillTint="33"/>
            <w:hideMark/>
          </w:tcPr>
          <w:p w14:paraId="3992F809" w14:textId="77777777" w:rsidR="009E3A88" w:rsidRDefault="009E3A88">
            <w:pPr>
              <w:rPr>
                <w:rFonts w:eastAsia="Times New Roman"/>
                <w:sz w:val="24"/>
                <w:szCs w:val="24"/>
              </w:rPr>
            </w:pPr>
            <w:r>
              <w:rPr>
                <w:rFonts w:eastAsia="Times New Roman"/>
              </w:rPr>
              <w:t>1.08 (1.03-1.14)</w:t>
            </w:r>
          </w:p>
        </w:tc>
      </w:tr>
      <w:tr w:rsidR="00817E05" w:rsidRPr="00817E05" w14:paraId="0DD5DAA6" w14:textId="77777777" w:rsidTr="00817E0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gridSpan w:val="8"/>
            <w:shd w:val="clear" w:color="auto" w:fill="808080" w:themeFill="background1" w:themeFillShade="80"/>
            <w:hideMark/>
          </w:tcPr>
          <w:p w14:paraId="45880287" w14:textId="77777777" w:rsidR="009E3A88" w:rsidRPr="00817E05" w:rsidRDefault="009E3A88">
            <w:pPr>
              <w:rPr>
                <w:rFonts w:eastAsia="Times New Roman"/>
                <w:color w:val="FFFFFF" w:themeColor="background1"/>
                <w:sz w:val="24"/>
                <w:szCs w:val="24"/>
              </w:rPr>
            </w:pPr>
            <w:r w:rsidRPr="00817E05">
              <w:rPr>
                <w:rFonts w:eastAsia="Times New Roman"/>
                <w:color w:val="FFFFFF" w:themeColor="background1"/>
              </w:rPr>
              <w:t>All herpes zoster in all Australians</w:t>
            </w:r>
          </w:p>
        </w:tc>
      </w:tr>
      <w:tr w:rsidR="00A75CE6" w14:paraId="0183F357" w14:textId="77777777" w:rsidTr="00D7659C">
        <w:tblPrEx>
          <w:tblCellMar>
            <w:top w:w="0" w:type="dxa"/>
            <w:left w:w="108" w:type="dxa"/>
            <w:bottom w:w="0" w:type="dxa"/>
            <w:right w:w="108" w:type="dxa"/>
          </w:tblCellMar>
        </w:tblPrEx>
        <w:tc>
          <w:tcPr>
            <w:tcW w:w="0" w:type="auto"/>
            <w:hideMark/>
          </w:tcPr>
          <w:p w14:paraId="6031D178" w14:textId="77777777" w:rsidR="009E3A88" w:rsidRDefault="009E3A88">
            <w:pPr>
              <w:rPr>
                <w:rFonts w:eastAsia="Times New Roman"/>
                <w:sz w:val="24"/>
                <w:szCs w:val="24"/>
              </w:rPr>
            </w:pPr>
            <w:r>
              <w:rPr>
                <w:rFonts w:eastAsia="Times New Roman"/>
              </w:rPr>
              <w:t>0-49 years</w:t>
            </w:r>
          </w:p>
        </w:tc>
        <w:tc>
          <w:tcPr>
            <w:tcW w:w="0" w:type="auto"/>
            <w:hideMark/>
          </w:tcPr>
          <w:p w14:paraId="723DC727" w14:textId="77777777" w:rsidR="009E3A88" w:rsidRDefault="009E3A88">
            <w:pPr>
              <w:rPr>
                <w:rFonts w:eastAsia="Times New Roman"/>
                <w:sz w:val="24"/>
                <w:szCs w:val="24"/>
              </w:rPr>
            </w:pPr>
            <w:r>
              <w:rPr>
                <w:rFonts w:eastAsia="Times New Roman"/>
              </w:rPr>
              <w:t>10,009</w:t>
            </w:r>
          </w:p>
        </w:tc>
        <w:tc>
          <w:tcPr>
            <w:tcW w:w="0" w:type="auto"/>
            <w:hideMark/>
          </w:tcPr>
          <w:p w14:paraId="470E05D9" w14:textId="77777777" w:rsidR="009E3A88" w:rsidRDefault="009E3A88">
            <w:pPr>
              <w:rPr>
                <w:rFonts w:eastAsia="Times New Roman"/>
                <w:sz w:val="24"/>
                <w:szCs w:val="24"/>
              </w:rPr>
            </w:pPr>
            <w:r>
              <w:rPr>
                <w:rFonts w:eastAsia="Times New Roman"/>
              </w:rPr>
              <w:t>4.6 (4.5-4.8)</w:t>
            </w:r>
          </w:p>
        </w:tc>
        <w:tc>
          <w:tcPr>
            <w:tcW w:w="0" w:type="auto"/>
            <w:hideMark/>
          </w:tcPr>
          <w:p w14:paraId="00033838" w14:textId="77777777" w:rsidR="009E3A88" w:rsidRDefault="009E3A88">
            <w:pPr>
              <w:rPr>
                <w:rFonts w:eastAsia="Times New Roman"/>
                <w:sz w:val="24"/>
                <w:szCs w:val="24"/>
              </w:rPr>
            </w:pPr>
            <w:r>
              <w:rPr>
                <w:rFonts w:eastAsia="Times New Roman"/>
              </w:rPr>
              <w:t>3,907</w:t>
            </w:r>
          </w:p>
        </w:tc>
        <w:tc>
          <w:tcPr>
            <w:tcW w:w="0" w:type="auto"/>
            <w:hideMark/>
          </w:tcPr>
          <w:p w14:paraId="16905C6A" w14:textId="77777777" w:rsidR="009E3A88" w:rsidRDefault="009E3A88">
            <w:pPr>
              <w:rPr>
                <w:rFonts w:eastAsia="Times New Roman"/>
                <w:sz w:val="24"/>
                <w:szCs w:val="24"/>
              </w:rPr>
            </w:pPr>
            <w:r>
              <w:rPr>
                <w:rFonts w:eastAsia="Times New Roman"/>
              </w:rPr>
              <w:t>4.7 (4.6-4.9)</w:t>
            </w:r>
          </w:p>
        </w:tc>
        <w:tc>
          <w:tcPr>
            <w:tcW w:w="0" w:type="auto"/>
            <w:hideMark/>
          </w:tcPr>
          <w:p w14:paraId="3B361E75" w14:textId="77777777" w:rsidR="009E3A88" w:rsidRDefault="009E3A88">
            <w:pPr>
              <w:rPr>
                <w:rFonts w:eastAsia="Times New Roman"/>
                <w:sz w:val="24"/>
                <w:szCs w:val="24"/>
              </w:rPr>
            </w:pPr>
            <w:r>
              <w:rPr>
                <w:rFonts w:eastAsia="Times New Roman"/>
              </w:rPr>
              <w:t>4,771</w:t>
            </w:r>
          </w:p>
        </w:tc>
        <w:tc>
          <w:tcPr>
            <w:tcW w:w="0" w:type="auto"/>
            <w:hideMark/>
          </w:tcPr>
          <w:p w14:paraId="263B4EE7" w14:textId="77777777" w:rsidR="009E3A88" w:rsidRDefault="009E3A88">
            <w:pPr>
              <w:rPr>
                <w:rFonts w:eastAsia="Times New Roman"/>
                <w:sz w:val="24"/>
                <w:szCs w:val="24"/>
              </w:rPr>
            </w:pPr>
            <w:r>
              <w:rPr>
                <w:rFonts w:eastAsia="Times New Roman"/>
              </w:rPr>
              <w:t>4.5 (4.3-4.8)</w:t>
            </w:r>
          </w:p>
        </w:tc>
        <w:tc>
          <w:tcPr>
            <w:tcW w:w="0" w:type="auto"/>
            <w:hideMark/>
          </w:tcPr>
          <w:p w14:paraId="4C4EAE5D" w14:textId="77777777" w:rsidR="009E3A88" w:rsidRDefault="009E3A88">
            <w:pPr>
              <w:rPr>
                <w:rFonts w:eastAsia="Times New Roman"/>
                <w:sz w:val="24"/>
                <w:szCs w:val="24"/>
              </w:rPr>
            </w:pPr>
            <w:r>
              <w:rPr>
                <w:rFonts w:eastAsia="Times New Roman"/>
              </w:rPr>
              <w:t>0.96 (0.89-1.03)</w:t>
            </w:r>
          </w:p>
        </w:tc>
      </w:tr>
      <w:tr w:rsidR="00C73BA7" w14:paraId="39230F69" w14:textId="77777777" w:rsidTr="00D7659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E1B0402" w14:textId="77777777" w:rsidR="009E3A88" w:rsidRDefault="009E3A88">
            <w:pPr>
              <w:rPr>
                <w:rFonts w:eastAsia="Times New Roman"/>
                <w:sz w:val="24"/>
                <w:szCs w:val="24"/>
              </w:rPr>
            </w:pPr>
            <w:r>
              <w:rPr>
                <w:rFonts w:eastAsia="Times New Roman"/>
              </w:rPr>
              <w:t>50-59 years</w:t>
            </w:r>
          </w:p>
        </w:tc>
        <w:tc>
          <w:tcPr>
            <w:tcW w:w="0" w:type="auto"/>
            <w:hideMark/>
          </w:tcPr>
          <w:p w14:paraId="2D758B6F" w14:textId="77777777" w:rsidR="009E3A88" w:rsidRDefault="009E3A88">
            <w:pPr>
              <w:rPr>
                <w:rFonts w:eastAsia="Times New Roman"/>
                <w:sz w:val="24"/>
                <w:szCs w:val="24"/>
              </w:rPr>
            </w:pPr>
            <w:r>
              <w:rPr>
                <w:rFonts w:eastAsia="Times New Roman"/>
              </w:rPr>
              <w:t>6,898</w:t>
            </w:r>
          </w:p>
        </w:tc>
        <w:tc>
          <w:tcPr>
            <w:tcW w:w="0" w:type="auto"/>
            <w:hideMark/>
          </w:tcPr>
          <w:p w14:paraId="1172E3F0" w14:textId="77777777" w:rsidR="009E3A88" w:rsidRDefault="009E3A88">
            <w:pPr>
              <w:rPr>
                <w:rFonts w:eastAsia="Times New Roman"/>
                <w:sz w:val="24"/>
                <w:szCs w:val="24"/>
              </w:rPr>
            </w:pPr>
            <w:r>
              <w:rPr>
                <w:rFonts w:eastAsia="Times New Roman"/>
              </w:rPr>
              <w:t>17.9 (17.2-18.6)</w:t>
            </w:r>
          </w:p>
        </w:tc>
        <w:tc>
          <w:tcPr>
            <w:tcW w:w="0" w:type="auto"/>
            <w:hideMark/>
          </w:tcPr>
          <w:p w14:paraId="7F9F3404" w14:textId="77777777" w:rsidR="009E3A88" w:rsidRDefault="009E3A88">
            <w:pPr>
              <w:rPr>
                <w:rFonts w:eastAsia="Times New Roman"/>
                <w:sz w:val="24"/>
                <w:szCs w:val="24"/>
              </w:rPr>
            </w:pPr>
            <w:r>
              <w:rPr>
                <w:rFonts w:eastAsia="Times New Roman"/>
              </w:rPr>
              <w:t>2,463</w:t>
            </w:r>
          </w:p>
        </w:tc>
        <w:tc>
          <w:tcPr>
            <w:tcW w:w="0" w:type="auto"/>
            <w:hideMark/>
          </w:tcPr>
          <w:p w14:paraId="199B88BF" w14:textId="77777777" w:rsidR="009E3A88" w:rsidRDefault="009E3A88">
            <w:pPr>
              <w:rPr>
                <w:rFonts w:eastAsia="Times New Roman"/>
                <w:sz w:val="24"/>
                <w:szCs w:val="24"/>
              </w:rPr>
            </w:pPr>
            <w:r>
              <w:rPr>
                <w:rFonts w:eastAsia="Times New Roman"/>
              </w:rPr>
              <w:t>17.7 (17.0-18.4)</w:t>
            </w:r>
          </w:p>
        </w:tc>
        <w:tc>
          <w:tcPr>
            <w:tcW w:w="0" w:type="auto"/>
            <w:hideMark/>
          </w:tcPr>
          <w:p w14:paraId="7ED9D4A2" w14:textId="77777777" w:rsidR="009E3A88" w:rsidRDefault="009E3A88">
            <w:pPr>
              <w:rPr>
                <w:rFonts w:eastAsia="Times New Roman"/>
                <w:sz w:val="24"/>
                <w:szCs w:val="24"/>
              </w:rPr>
            </w:pPr>
            <w:r>
              <w:rPr>
                <w:rFonts w:eastAsia="Times New Roman"/>
              </w:rPr>
              <w:t>3,490</w:t>
            </w:r>
          </w:p>
        </w:tc>
        <w:tc>
          <w:tcPr>
            <w:tcW w:w="0" w:type="auto"/>
            <w:hideMark/>
          </w:tcPr>
          <w:p w14:paraId="05BF5579" w14:textId="77777777" w:rsidR="009E3A88" w:rsidRDefault="009E3A88">
            <w:pPr>
              <w:rPr>
                <w:rFonts w:eastAsia="Times New Roman"/>
                <w:sz w:val="24"/>
                <w:szCs w:val="24"/>
              </w:rPr>
            </w:pPr>
            <w:r>
              <w:rPr>
                <w:rFonts w:eastAsia="Times New Roman"/>
              </w:rPr>
              <w:t>17.9 (16.7-19.3)</w:t>
            </w:r>
          </w:p>
        </w:tc>
        <w:tc>
          <w:tcPr>
            <w:tcW w:w="0" w:type="auto"/>
            <w:hideMark/>
          </w:tcPr>
          <w:p w14:paraId="183EB7EF" w14:textId="77777777" w:rsidR="009E3A88" w:rsidRDefault="009E3A88">
            <w:pPr>
              <w:rPr>
                <w:rFonts w:eastAsia="Times New Roman"/>
                <w:sz w:val="24"/>
                <w:szCs w:val="24"/>
              </w:rPr>
            </w:pPr>
            <w:r>
              <w:rPr>
                <w:rFonts w:eastAsia="Times New Roman"/>
              </w:rPr>
              <w:t>1.01 (0.93-1.10)</w:t>
            </w:r>
          </w:p>
        </w:tc>
      </w:tr>
      <w:tr w:rsidR="00A75CE6" w14:paraId="10726F7D" w14:textId="77777777" w:rsidTr="00D7659C">
        <w:tblPrEx>
          <w:tblCellMar>
            <w:top w:w="0" w:type="dxa"/>
            <w:left w:w="108" w:type="dxa"/>
            <w:bottom w:w="0" w:type="dxa"/>
            <w:right w:w="108" w:type="dxa"/>
          </w:tblCellMar>
        </w:tblPrEx>
        <w:tc>
          <w:tcPr>
            <w:tcW w:w="0" w:type="auto"/>
            <w:hideMark/>
          </w:tcPr>
          <w:p w14:paraId="111302D8" w14:textId="77777777" w:rsidR="009E3A88" w:rsidRDefault="009E3A88">
            <w:pPr>
              <w:rPr>
                <w:rFonts w:eastAsia="Times New Roman"/>
                <w:sz w:val="24"/>
                <w:szCs w:val="24"/>
              </w:rPr>
            </w:pPr>
            <w:r>
              <w:rPr>
                <w:rFonts w:eastAsia="Times New Roman"/>
              </w:rPr>
              <w:t>60-69 years</w:t>
            </w:r>
          </w:p>
        </w:tc>
        <w:tc>
          <w:tcPr>
            <w:tcW w:w="0" w:type="auto"/>
            <w:hideMark/>
          </w:tcPr>
          <w:p w14:paraId="2160C7D3" w14:textId="77777777" w:rsidR="009E3A88" w:rsidRDefault="009E3A88">
            <w:pPr>
              <w:rPr>
                <w:rFonts w:eastAsia="Times New Roman"/>
                <w:sz w:val="24"/>
                <w:szCs w:val="24"/>
              </w:rPr>
            </w:pPr>
            <w:r>
              <w:rPr>
                <w:rFonts w:eastAsia="Times New Roman"/>
              </w:rPr>
              <w:t>11,852</w:t>
            </w:r>
          </w:p>
        </w:tc>
        <w:tc>
          <w:tcPr>
            <w:tcW w:w="0" w:type="auto"/>
            <w:hideMark/>
          </w:tcPr>
          <w:p w14:paraId="18DEBBB4" w14:textId="77777777" w:rsidR="009E3A88" w:rsidRDefault="009E3A88">
            <w:pPr>
              <w:rPr>
                <w:rFonts w:eastAsia="Times New Roman"/>
                <w:sz w:val="24"/>
                <w:szCs w:val="24"/>
              </w:rPr>
            </w:pPr>
            <w:r>
              <w:rPr>
                <w:rFonts w:eastAsia="Times New Roman"/>
              </w:rPr>
              <w:t>43.2 (41.4-45.0)</w:t>
            </w:r>
          </w:p>
        </w:tc>
        <w:tc>
          <w:tcPr>
            <w:tcW w:w="0" w:type="auto"/>
            <w:hideMark/>
          </w:tcPr>
          <w:p w14:paraId="33D397E5" w14:textId="77777777" w:rsidR="009E3A88" w:rsidRDefault="009E3A88">
            <w:pPr>
              <w:rPr>
                <w:rFonts w:eastAsia="Times New Roman"/>
                <w:sz w:val="24"/>
                <w:szCs w:val="24"/>
              </w:rPr>
            </w:pPr>
            <w:r>
              <w:rPr>
                <w:rFonts w:eastAsia="Times New Roman"/>
              </w:rPr>
              <w:t>3,724</w:t>
            </w:r>
          </w:p>
        </w:tc>
        <w:tc>
          <w:tcPr>
            <w:tcW w:w="0" w:type="auto"/>
            <w:hideMark/>
          </w:tcPr>
          <w:p w14:paraId="57770C2C" w14:textId="77777777" w:rsidR="009E3A88" w:rsidRDefault="009E3A88">
            <w:pPr>
              <w:rPr>
                <w:rFonts w:eastAsia="Times New Roman"/>
                <w:sz w:val="24"/>
                <w:szCs w:val="24"/>
              </w:rPr>
            </w:pPr>
            <w:r>
              <w:rPr>
                <w:rFonts w:eastAsia="Times New Roman"/>
              </w:rPr>
              <w:t>40.8 (38.7-43.0)</w:t>
            </w:r>
          </w:p>
        </w:tc>
        <w:tc>
          <w:tcPr>
            <w:tcW w:w="0" w:type="auto"/>
            <w:hideMark/>
          </w:tcPr>
          <w:p w14:paraId="0D1AE7FA" w14:textId="77777777" w:rsidR="009E3A88" w:rsidRDefault="009E3A88">
            <w:pPr>
              <w:rPr>
                <w:rFonts w:eastAsia="Times New Roman"/>
                <w:sz w:val="24"/>
                <w:szCs w:val="24"/>
              </w:rPr>
            </w:pPr>
            <w:r>
              <w:rPr>
                <w:rFonts w:eastAsia="Times New Roman"/>
              </w:rPr>
              <w:t>6,656</w:t>
            </w:r>
          </w:p>
        </w:tc>
        <w:tc>
          <w:tcPr>
            <w:tcW w:w="0" w:type="auto"/>
            <w:hideMark/>
          </w:tcPr>
          <w:p w14:paraId="5C421C30" w14:textId="77777777" w:rsidR="009E3A88" w:rsidRDefault="009E3A88">
            <w:pPr>
              <w:rPr>
                <w:rFonts w:eastAsia="Times New Roman"/>
                <w:sz w:val="24"/>
                <w:szCs w:val="24"/>
              </w:rPr>
            </w:pPr>
            <w:r>
              <w:rPr>
                <w:rFonts w:eastAsia="Times New Roman"/>
              </w:rPr>
              <w:t>45.3 (42.8-47.8)</w:t>
            </w:r>
          </w:p>
        </w:tc>
        <w:tc>
          <w:tcPr>
            <w:tcW w:w="0" w:type="auto"/>
            <w:hideMark/>
          </w:tcPr>
          <w:p w14:paraId="6F404A61" w14:textId="77777777" w:rsidR="009E3A88" w:rsidRDefault="009E3A88">
            <w:pPr>
              <w:rPr>
                <w:rFonts w:eastAsia="Times New Roman"/>
                <w:sz w:val="24"/>
                <w:szCs w:val="24"/>
              </w:rPr>
            </w:pPr>
            <w:r>
              <w:rPr>
                <w:rFonts w:eastAsia="Times New Roman"/>
              </w:rPr>
              <w:t>1.11 (1.03-1.20)</w:t>
            </w:r>
          </w:p>
        </w:tc>
      </w:tr>
      <w:tr w:rsidR="00C73BA7" w14:paraId="2A1CEA53" w14:textId="77777777" w:rsidTr="00D7659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12BD8D1" w14:textId="77777777" w:rsidR="009E3A88" w:rsidRDefault="009E3A88">
            <w:pPr>
              <w:rPr>
                <w:rFonts w:eastAsia="Times New Roman"/>
                <w:sz w:val="24"/>
                <w:szCs w:val="24"/>
              </w:rPr>
            </w:pPr>
            <w:r>
              <w:rPr>
                <w:rFonts w:eastAsia="Times New Roman"/>
              </w:rPr>
              <w:t>70-74 years</w:t>
            </w:r>
          </w:p>
        </w:tc>
        <w:tc>
          <w:tcPr>
            <w:tcW w:w="0" w:type="auto"/>
            <w:hideMark/>
          </w:tcPr>
          <w:p w14:paraId="5A298B90" w14:textId="77777777" w:rsidR="009E3A88" w:rsidRDefault="009E3A88">
            <w:pPr>
              <w:rPr>
                <w:rFonts w:eastAsia="Times New Roman"/>
                <w:sz w:val="24"/>
                <w:szCs w:val="24"/>
              </w:rPr>
            </w:pPr>
            <w:r>
              <w:rPr>
                <w:rFonts w:eastAsia="Times New Roman"/>
              </w:rPr>
              <w:t>9,002</w:t>
            </w:r>
          </w:p>
        </w:tc>
        <w:tc>
          <w:tcPr>
            <w:tcW w:w="0" w:type="auto"/>
            <w:hideMark/>
          </w:tcPr>
          <w:p w14:paraId="06DBF1A7" w14:textId="77777777" w:rsidR="009E3A88" w:rsidRDefault="009E3A88">
            <w:pPr>
              <w:rPr>
                <w:rFonts w:eastAsia="Times New Roman"/>
                <w:sz w:val="24"/>
                <w:szCs w:val="24"/>
              </w:rPr>
            </w:pPr>
            <w:r>
              <w:rPr>
                <w:rFonts w:eastAsia="Times New Roman"/>
              </w:rPr>
              <w:t>90.2 (86.3-94.3)</w:t>
            </w:r>
          </w:p>
        </w:tc>
        <w:tc>
          <w:tcPr>
            <w:tcW w:w="0" w:type="auto"/>
            <w:hideMark/>
          </w:tcPr>
          <w:p w14:paraId="3ED23B15" w14:textId="77777777" w:rsidR="009E3A88" w:rsidRDefault="009E3A88">
            <w:pPr>
              <w:rPr>
                <w:rFonts w:eastAsia="Times New Roman"/>
                <w:sz w:val="24"/>
                <w:szCs w:val="24"/>
              </w:rPr>
            </w:pPr>
            <w:r>
              <w:rPr>
                <w:rFonts w:eastAsia="Times New Roman"/>
              </w:rPr>
              <w:t>3,478</w:t>
            </w:r>
          </w:p>
        </w:tc>
        <w:tc>
          <w:tcPr>
            <w:tcW w:w="0" w:type="auto"/>
            <w:hideMark/>
          </w:tcPr>
          <w:p w14:paraId="22315CF0" w14:textId="77777777" w:rsidR="009E3A88" w:rsidRDefault="009E3A88">
            <w:pPr>
              <w:rPr>
                <w:rFonts w:eastAsia="Times New Roman"/>
                <w:sz w:val="24"/>
                <w:szCs w:val="24"/>
              </w:rPr>
            </w:pPr>
            <w:r>
              <w:rPr>
                <w:rFonts w:eastAsia="Times New Roman"/>
              </w:rPr>
              <w:t>92.4 (89.4-95.5)</w:t>
            </w:r>
          </w:p>
        </w:tc>
        <w:tc>
          <w:tcPr>
            <w:tcW w:w="0" w:type="auto"/>
            <w:hideMark/>
          </w:tcPr>
          <w:p w14:paraId="5AC72187" w14:textId="77777777" w:rsidR="009E3A88" w:rsidRDefault="009E3A88">
            <w:pPr>
              <w:rPr>
                <w:rFonts w:eastAsia="Times New Roman"/>
                <w:sz w:val="24"/>
                <w:szCs w:val="24"/>
              </w:rPr>
            </w:pPr>
            <w:r>
              <w:rPr>
                <w:rFonts w:eastAsia="Times New Roman"/>
              </w:rPr>
              <w:t>4,428</w:t>
            </w:r>
          </w:p>
        </w:tc>
        <w:tc>
          <w:tcPr>
            <w:tcW w:w="0" w:type="auto"/>
            <w:hideMark/>
          </w:tcPr>
          <w:p w14:paraId="245E16AE" w14:textId="77777777" w:rsidR="009E3A88" w:rsidRDefault="009E3A88">
            <w:pPr>
              <w:rPr>
                <w:rFonts w:eastAsia="Times New Roman"/>
                <w:sz w:val="24"/>
                <w:szCs w:val="24"/>
              </w:rPr>
            </w:pPr>
            <w:r>
              <w:rPr>
                <w:rFonts w:eastAsia="Times New Roman"/>
              </w:rPr>
              <w:t>88.9 (81.6-96.9)</w:t>
            </w:r>
          </w:p>
        </w:tc>
        <w:tc>
          <w:tcPr>
            <w:tcW w:w="0" w:type="auto"/>
            <w:hideMark/>
          </w:tcPr>
          <w:p w14:paraId="4898D47F" w14:textId="77777777" w:rsidR="009E3A88" w:rsidRDefault="009E3A88">
            <w:pPr>
              <w:rPr>
                <w:rFonts w:eastAsia="Times New Roman"/>
                <w:sz w:val="24"/>
                <w:szCs w:val="24"/>
              </w:rPr>
            </w:pPr>
            <w:r>
              <w:rPr>
                <w:rFonts w:eastAsia="Times New Roman"/>
              </w:rPr>
              <w:t>0.96 (0.87-1.06)</w:t>
            </w:r>
          </w:p>
        </w:tc>
      </w:tr>
      <w:tr w:rsidR="00A75CE6" w14:paraId="0DD16353" w14:textId="77777777" w:rsidTr="00D7659C">
        <w:tblPrEx>
          <w:tblCellMar>
            <w:top w:w="0" w:type="dxa"/>
            <w:left w:w="108" w:type="dxa"/>
            <w:bottom w:w="0" w:type="dxa"/>
            <w:right w:w="108" w:type="dxa"/>
          </w:tblCellMar>
        </w:tblPrEx>
        <w:tc>
          <w:tcPr>
            <w:tcW w:w="0" w:type="auto"/>
            <w:hideMark/>
          </w:tcPr>
          <w:p w14:paraId="325631FE" w14:textId="77777777" w:rsidR="009E3A88" w:rsidRDefault="009E3A88">
            <w:pPr>
              <w:rPr>
                <w:rFonts w:eastAsia="Times New Roman"/>
                <w:sz w:val="24"/>
                <w:szCs w:val="24"/>
              </w:rPr>
            </w:pPr>
            <w:r>
              <w:rPr>
                <w:rFonts w:eastAsia="Times New Roman"/>
              </w:rPr>
              <w:t>≥75 years</w:t>
            </w:r>
          </w:p>
        </w:tc>
        <w:tc>
          <w:tcPr>
            <w:tcW w:w="0" w:type="auto"/>
            <w:hideMark/>
          </w:tcPr>
          <w:p w14:paraId="2FC8ADD3" w14:textId="77777777" w:rsidR="009E3A88" w:rsidRDefault="009E3A88">
            <w:pPr>
              <w:rPr>
                <w:rFonts w:eastAsia="Times New Roman"/>
                <w:sz w:val="24"/>
                <w:szCs w:val="24"/>
              </w:rPr>
            </w:pPr>
            <w:r>
              <w:rPr>
                <w:rFonts w:eastAsia="Times New Roman"/>
              </w:rPr>
              <w:t>43,199</w:t>
            </w:r>
          </w:p>
        </w:tc>
        <w:tc>
          <w:tcPr>
            <w:tcW w:w="0" w:type="auto"/>
            <w:hideMark/>
          </w:tcPr>
          <w:p w14:paraId="40C1353E" w14:textId="77777777" w:rsidR="009E3A88" w:rsidRDefault="009E3A88">
            <w:pPr>
              <w:rPr>
                <w:rFonts w:eastAsia="Times New Roman"/>
                <w:sz w:val="24"/>
                <w:szCs w:val="24"/>
              </w:rPr>
            </w:pPr>
            <w:r>
              <w:rPr>
                <w:rFonts w:eastAsia="Times New Roman"/>
              </w:rPr>
              <w:t>228.1 (221.9-234.5)</w:t>
            </w:r>
          </w:p>
        </w:tc>
        <w:tc>
          <w:tcPr>
            <w:tcW w:w="0" w:type="auto"/>
            <w:hideMark/>
          </w:tcPr>
          <w:p w14:paraId="4F247133" w14:textId="77777777" w:rsidR="009E3A88" w:rsidRDefault="009E3A88">
            <w:pPr>
              <w:rPr>
                <w:rFonts w:eastAsia="Times New Roman"/>
                <w:sz w:val="24"/>
                <w:szCs w:val="24"/>
              </w:rPr>
            </w:pPr>
            <w:r>
              <w:rPr>
                <w:rFonts w:eastAsia="Times New Roman"/>
              </w:rPr>
              <w:t>14,796</w:t>
            </w:r>
          </w:p>
        </w:tc>
        <w:tc>
          <w:tcPr>
            <w:tcW w:w="0" w:type="auto"/>
            <w:hideMark/>
          </w:tcPr>
          <w:p w14:paraId="44179E06" w14:textId="77777777" w:rsidR="009E3A88" w:rsidRDefault="009E3A88">
            <w:pPr>
              <w:rPr>
                <w:rFonts w:eastAsia="Times New Roman"/>
                <w:sz w:val="24"/>
                <w:szCs w:val="24"/>
              </w:rPr>
            </w:pPr>
            <w:r>
              <w:rPr>
                <w:rFonts w:eastAsia="Times New Roman"/>
              </w:rPr>
              <w:t>220.4 (216.9-224.0)</w:t>
            </w:r>
          </w:p>
        </w:tc>
        <w:tc>
          <w:tcPr>
            <w:tcW w:w="0" w:type="auto"/>
            <w:hideMark/>
          </w:tcPr>
          <w:p w14:paraId="5916269E" w14:textId="77777777" w:rsidR="009E3A88" w:rsidRDefault="009E3A88">
            <w:pPr>
              <w:rPr>
                <w:rFonts w:eastAsia="Times New Roman"/>
                <w:sz w:val="24"/>
                <w:szCs w:val="24"/>
              </w:rPr>
            </w:pPr>
            <w:r>
              <w:rPr>
                <w:rFonts w:eastAsia="Times New Roman"/>
              </w:rPr>
              <w:t>22,788</w:t>
            </w:r>
          </w:p>
        </w:tc>
        <w:tc>
          <w:tcPr>
            <w:tcW w:w="0" w:type="auto"/>
            <w:hideMark/>
          </w:tcPr>
          <w:p w14:paraId="41D45E74" w14:textId="77777777" w:rsidR="009E3A88" w:rsidRDefault="009E3A88">
            <w:pPr>
              <w:rPr>
                <w:rFonts w:eastAsia="Times New Roman"/>
                <w:sz w:val="24"/>
                <w:szCs w:val="24"/>
              </w:rPr>
            </w:pPr>
            <w:r>
              <w:rPr>
                <w:rFonts w:eastAsia="Times New Roman"/>
              </w:rPr>
              <w:t>235.5 (225.4-246.2)</w:t>
            </w:r>
          </w:p>
        </w:tc>
        <w:tc>
          <w:tcPr>
            <w:tcW w:w="0" w:type="auto"/>
            <w:hideMark/>
          </w:tcPr>
          <w:p w14:paraId="0B3866EE" w14:textId="77777777" w:rsidR="009E3A88" w:rsidRDefault="009E3A88">
            <w:pPr>
              <w:rPr>
                <w:rFonts w:eastAsia="Times New Roman"/>
                <w:sz w:val="24"/>
                <w:szCs w:val="24"/>
              </w:rPr>
            </w:pPr>
            <w:r>
              <w:rPr>
                <w:rFonts w:eastAsia="Times New Roman"/>
              </w:rPr>
              <w:t>1.07 (1.01-1.12)</w:t>
            </w:r>
          </w:p>
        </w:tc>
      </w:tr>
      <w:tr w:rsidR="00A75CE6" w14:paraId="0010C879" w14:textId="77777777" w:rsidTr="00304EC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34DC16BC" w14:textId="77777777" w:rsidR="009E3A88" w:rsidRDefault="009E3A88">
            <w:pPr>
              <w:rPr>
                <w:rFonts w:eastAsia="Times New Roman"/>
                <w:sz w:val="24"/>
                <w:szCs w:val="24"/>
              </w:rPr>
            </w:pPr>
            <w:r>
              <w:rPr>
                <w:rFonts w:eastAsia="Times New Roman"/>
              </w:rPr>
              <w:t>All ages</w:t>
            </w:r>
          </w:p>
        </w:tc>
        <w:tc>
          <w:tcPr>
            <w:tcW w:w="0" w:type="auto"/>
            <w:shd w:val="clear" w:color="auto" w:fill="FDE9D9" w:themeFill="accent6" w:themeFillTint="33"/>
            <w:hideMark/>
          </w:tcPr>
          <w:p w14:paraId="7A60EAE2" w14:textId="77777777" w:rsidR="009E3A88" w:rsidRDefault="009E3A88">
            <w:pPr>
              <w:rPr>
                <w:rFonts w:eastAsia="Times New Roman"/>
                <w:sz w:val="24"/>
                <w:szCs w:val="24"/>
              </w:rPr>
            </w:pPr>
            <w:r>
              <w:rPr>
                <w:rFonts w:eastAsia="Times New Roman"/>
              </w:rPr>
              <w:t>80,960</w:t>
            </w:r>
          </w:p>
        </w:tc>
        <w:tc>
          <w:tcPr>
            <w:tcW w:w="0" w:type="auto"/>
            <w:shd w:val="clear" w:color="auto" w:fill="FDE9D9" w:themeFill="accent6" w:themeFillTint="33"/>
            <w:hideMark/>
          </w:tcPr>
          <w:p w14:paraId="731FCFF7" w14:textId="77777777" w:rsidR="009E3A88" w:rsidRDefault="009E3A88">
            <w:pPr>
              <w:rPr>
                <w:rFonts w:eastAsia="Times New Roman"/>
                <w:sz w:val="24"/>
                <w:szCs w:val="24"/>
              </w:rPr>
            </w:pPr>
            <w:r>
              <w:rPr>
                <w:rFonts w:eastAsia="Times New Roman"/>
              </w:rPr>
              <w:t>25.9 (25.0-27.0)</w:t>
            </w:r>
          </w:p>
        </w:tc>
        <w:tc>
          <w:tcPr>
            <w:tcW w:w="0" w:type="auto"/>
            <w:shd w:val="clear" w:color="auto" w:fill="FDE9D9" w:themeFill="accent6" w:themeFillTint="33"/>
            <w:hideMark/>
          </w:tcPr>
          <w:p w14:paraId="267A3E47" w14:textId="77777777" w:rsidR="009E3A88" w:rsidRDefault="009E3A88">
            <w:pPr>
              <w:rPr>
                <w:rFonts w:eastAsia="Times New Roman"/>
                <w:sz w:val="24"/>
                <w:szCs w:val="24"/>
              </w:rPr>
            </w:pPr>
            <w:r>
              <w:rPr>
                <w:rFonts w:eastAsia="Times New Roman"/>
              </w:rPr>
              <w:t>28,368</w:t>
            </w:r>
          </w:p>
        </w:tc>
        <w:tc>
          <w:tcPr>
            <w:tcW w:w="0" w:type="auto"/>
            <w:shd w:val="clear" w:color="auto" w:fill="FDE9D9" w:themeFill="accent6" w:themeFillTint="33"/>
            <w:hideMark/>
          </w:tcPr>
          <w:p w14:paraId="3AB3F3E6" w14:textId="77777777" w:rsidR="009E3A88" w:rsidRDefault="009E3A88">
            <w:pPr>
              <w:rPr>
                <w:rFonts w:eastAsia="Times New Roman"/>
                <w:sz w:val="24"/>
                <w:szCs w:val="24"/>
              </w:rPr>
            </w:pPr>
            <w:r>
              <w:rPr>
                <w:rFonts w:eastAsia="Times New Roman"/>
              </w:rPr>
              <w:t>24.4 (23.0-24.8)</w:t>
            </w:r>
          </w:p>
        </w:tc>
        <w:tc>
          <w:tcPr>
            <w:tcW w:w="0" w:type="auto"/>
            <w:shd w:val="clear" w:color="auto" w:fill="FDE9D9" w:themeFill="accent6" w:themeFillTint="33"/>
            <w:hideMark/>
          </w:tcPr>
          <w:p w14:paraId="24A08AAF" w14:textId="77777777" w:rsidR="009E3A88" w:rsidRDefault="009E3A88">
            <w:pPr>
              <w:rPr>
                <w:rFonts w:eastAsia="Times New Roman"/>
                <w:sz w:val="24"/>
                <w:szCs w:val="24"/>
              </w:rPr>
            </w:pPr>
            <w:r>
              <w:rPr>
                <w:rFonts w:eastAsia="Times New Roman"/>
              </w:rPr>
              <w:t>42,133</w:t>
            </w:r>
          </w:p>
        </w:tc>
        <w:tc>
          <w:tcPr>
            <w:tcW w:w="0" w:type="auto"/>
            <w:shd w:val="clear" w:color="auto" w:fill="FDE9D9" w:themeFill="accent6" w:themeFillTint="33"/>
            <w:hideMark/>
          </w:tcPr>
          <w:p w14:paraId="3DF52408" w14:textId="77777777" w:rsidR="009E3A88" w:rsidRDefault="009E3A88">
            <w:pPr>
              <w:rPr>
                <w:rFonts w:eastAsia="Times New Roman"/>
                <w:sz w:val="24"/>
                <w:szCs w:val="24"/>
              </w:rPr>
            </w:pPr>
            <w:r>
              <w:rPr>
                <w:rFonts w:eastAsia="Times New Roman"/>
              </w:rPr>
              <w:t>27.3 (25.8-28.9)</w:t>
            </w:r>
          </w:p>
        </w:tc>
        <w:tc>
          <w:tcPr>
            <w:tcW w:w="0" w:type="auto"/>
            <w:shd w:val="clear" w:color="auto" w:fill="FDE9D9" w:themeFill="accent6" w:themeFillTint="33"/>
            <w:hideMark/>
          </w:tcPr>
          <w:p w14:paraId="00741330" w14:textId="77777777" w:rsidR="009E3A88" w:rsidRDefault="009E3A88">
            <w:pPr>
              <w:rPr>
                <w:rFonts w:eastAsia="Times New Roman"/>
                <w:sz w:val="24"/>
                <w:szCs w:val="24"/>
              </w:rPr>
            </w:pPr>
            <w:r>
              <w:rPr>
                <w:rFonts w:eastAsia="Times New Roman"/>
              </w:rPr>
              <w:t>1.12 (1.05-1.19)</w:t>
            </w:r>
          </w:p>
        </w:tc>
      </w:tr>
      <w:tr w:rsidR="00035D58" w:rsidRPr="00035D58" w14:paraId="2E7F6E21" w14:textId="77777777" w:rsidTr="00035D58">
        <w:tblPrEx>
          <w:tblCellMar>
            <w:top w:w="0" w:type="dxa"/>
            <w:left w:w="108" w:type="dxa"/>
            <w:bottom w:w="0" w:type="dxa"/>
            <w:right w:w="108" w:type="dxa"/>
          </w:tblCellMar>
        </w:tblPrEx>
        <w:tc>
          <w:tcPr>
            <w:tcW w:w="0" w:type="auto"/>
            <w:gridSpan w:val="8"/>
            <w:shd w:val="clear" w:color="auto" w:fill="808080" w:themeFill="background1" w:themeFillShade="80"/>
            <w:hideMark/>
          </w:tcPr>
          <w:p w14:paraId="1EE767A2" w14:textId="77777777" w:rsidR="009E3A88" w:rsidRPr="00035D58" w:rsidRDefault="009E3A88">
            <w:pPr>
              <w:rPr>
                <w:rFonts w:eastAsia="Times New Roman"/>
                <w:color w:val="FFFFFF" w:themeColor="background1"/>
                <w:sz w:val="24"/>
                <w:szCs w:val="24"/>
              </w:rPr>
            </w:pPr>
            <w:r w:rsidRPr="00035D58">
              <w:rPr>
                <w:rFonts w:eastAsia="Times New Roman"/>
                <w:color w:val="FFFFFF" w:themeColor="background1"/>
              </w:rPr>
              <w:t>Principal herpes zoster in non-Indigenous Australians</w:t>
            </w:r>
            <w:r w:rsidRPr="00035D58">
              <w:rPr>
                <w:rFonts w:eastAsia="Times New Roman"/>
                <w:color w:val="FFFFFF" w:themeColor="background1"/>
                <w:vertAlign w:val="superscript"/>
              </w:rPr>
              <w:t>§§</w:t>
            </w:r>
          </w:p>
        </w:tc>
      </w:tr>
      <w:tr w:rsidR="00C73BA7" w14:paraId="5097B923" w14:textId="77777777" w:rsidTr="00D7659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9B0C529" w14:textId="77777777" w:rsidR="009E3A88" w:rsidRDefault="009E3A88">
            <w:pPr>
              <w:rPr>
                <w:rFonts w:eastAsia="Times New Roman"/>
                <w:sz w:val="24"/>
                <w:szCs w:val="24"/>
              </w:rPr>
            </w:pPr>
            <w:r>
              <w:rPr>
                <w:rFonts w:eastAsia="Times New Roman"/>
              </w:rPr>
              <w:t>70-74 years</w:t>
            </w:r>
          </w:p>
        </w:tc>
        <w:tc>
          <w:tcPr>
            <w:tcW w:w="0" w:type="auto"/>
            <w:hideMark/>
          </w:tcPr>
          <w:p w14:paraId="3D889DEF" w14:textId="77777777" w:rsidR="009E3A88" w:rsidRDefault="009E3A88">
            <w:pPr>
              <w:rPr>
                <w:rFonts w:eastAsia="Times New Roman"/>
                <w:sz w:val="24"/>
                <w:szCs w:val="24"/>
              </w:rPr>
            </w:pPr>
            <w:r>
              <w:rPr>
                <w:rFonts w:eastAsia="Times New Roman"/>
              </w:rPr>
              <w:t>3,689</w:t>
            </w:r>
          </w:p>
        </w:tc>
        <w:tc>
          <w:tcPr>
            <w:tcW w:w="0" w:type="auto"/>
            <w:hideMark/>
          </w:tcPr>
          <w:p w14:paraId="3D1FA880" w14:textId="77777777" w:rsidR="009E3A88" w:rsidRDefault="009E3A88">
            <w:pPr>
              <w:rPr>
                <w:rFonts w:eastAsia="Times New Roman"/>
                <w:sz w:val="24"/>
                <w:szCs w:val="24"/>
              </w:rPr>
            </w:pPr>
            <w:r>
              <w:rPr>
                <w:rFonts w:eastAsia="Times New Roman"/>
              </w:rPr>
              <w:t>37.4 (35.8-39.0)</w:t>
            </w:r>
          </w:p>
        </w:tc>
        <w:tc>
          <w:tcPr>
            <w:tcW w:w="0" w:type="auto"/>
            <w:hideMark/>
          </w:tcPr>
          <w:p w14:paraId="029005B4" w14:textId="77777777" w:rsidR="009E3A88" w:rsidRDefault="009E3A88">
            <w:pPr>
              <w:rPr>
                <w:rFonts w:eastAsia="Times New Roman"/>
                <w:sz w:val="24"/>
                <w:szCs w:val="24"/>
              </w:rPr>
            </w:pPr>
            <w:r>
              <w:rPr>
                <w:rFonts w:eastAsia="Times New Roman"/>
              </w:rPr>
              <w:t>1,427</w:t>
            </w:r>
          </w:p>
        </w:tc>
        <w:tc>
          <w:tcPr>
            <w:tcW w:w="0" w:type="auto"/>
            <w:hideMark/>
          </w:tcPr>
          <w:p w14:paraId="6A377DA4" w14:textId="77777777" w:rsidR="009E3A88" w:rsidRDefault="009E3A88">
            <w:pPr>
              <w:rPr>
                <w:rFonts w:eastAsia="Times New Roman"/>
                <w:sz w:val="24"/>
                <w:szCs w:val="24"/>
              </w:rPr>
            </w:pPr>
            <w:r>
              <w:rPr>
                <w:rFonts w:eastAsia="Times New Roman"/>
              </w:rPr>
              <w:t>38.2 (36.3-40.2)</w:t>
            </w:r>
          </w:p>
        </w:tc>
        <w:tc>
          <w:tcPr>
            <w:tcW w:w="0" w:type="auto"/>
            <w:hideMark/>
          </w:tcPr>
          <w:p w14:paraId="6DDBDFB5" w14:textId="77777777" w:rsidR="009E3A88" w:rsidRDefault="009E3A88">
            <w:pPr>
              <w:rPr>
                <w:rFonts w:eastAsia="Times New Roman"/>
                <w:sz w:val="24"/>
                <w:szCs w:val="24"/>
              </w:rPr>
            </w:pPr>
            <w:r>
              <w:rPr>
                <w:rFonts w:eastAsia="Times New Roman"/>
              </w:rPr>
              <w:t>1,763</w:t>
            </w:r>
          </w:p>
        </w:tc>
        <w:tc>
          <w:tcPr>
            <w:tcW w:w="0" w:type="auto"/>
            <w:hideMark/>
          </w:tcPr>
          <w:p w14:paraId="27221F83" w14:textId="77777777" w:rsidR="009E3A88" w:rsidRDefault="009E3A88">
            <w:pPr>
              <w:rPr>
                <w:rFonts w:eastAsia="Times New Roman"/>
                <w:sz w:val="24"/>
                <w:szCs w:val="24"/>
              </w:rPr>
            </w:pPr>
            <w:r>
              <w:rPr>
                <w:rFonts w:eastAsia="Times New Roman"/>
              </w:rPr>
              <w:t>35.8 (33.3-38.6)</w:t>
            </w:r>
          </w:p>
        </w:tc>
        <w:tc>
          <w:tcPr>
            <w:tcW w:w="0" w:type="auto"/>
            <w:hideMark/>
          </w:tcPr>
          <w:p w14:paraId="631FA8B3" w14:textId="77777777" w:rsidR="009E3A88" w:rsidRDefault="009E3A88">
            <w:pPr>
              <w:rPr>
                <w:rFonts w:eastAsia="Times New Roman"/>
                <w:sz w:val="24"/>
                <w:szCs w:val="24"/>
              </w:rPr>
            </w:pPr>
            <w:r>
              <w:rPr>
                <w:rFonts w:eastAsia="Times New Roman"/>
              </w:rPr>
              <w:t>0.94 (0.88-1.02)</w:t>
            </w:r>
          </w:p>
        </w:tc>
      </w:tr>
      <w:tr w:rsidR="00A75CE6" w14:paraId="39F65615" w14:textId="77777777" w:rsidTr="00D7659C">
        <w:tblPrEx>
          <w:tblCellMar>
            <w:top w:w="0" w:type="dxa"/>
            <w:left w:w="108" w:type="dxa"/>
            <w:bottom w:w="0" w:type="dxa"/>
            <w:right w:w="108" w:type="dxa"/>
          </w:tblCellMar>
        </w:tblPrEx>
        <w:tc>
          <w:tcPr>
            <w:tcW w:w="0" w:type="auto"/>
            <w:hideMark/>
          </w:tcPr>
          <w:p w14:paraId="67A652F2" w14:textId="77777777" w:rsidR="009E3A88" w:rsidRDefault="009E3A88">
            <w:pPr>
              <w:rPr>
                <w:rFonts w:eastAsia="Times New Roman"/>
                <w:sz w:val="24"/>
                <w:szCs w:val="24"/>
              </w:rPr>
            </w:pPr>
            <w:r>
              <w:rPr>
                <w:rFonts w:eastAsia="Times New Roman"/>
              </w:rPr>
              <w:t>75-79 years</w:t>
            </w:r>
          </w:p>
        </w:tc>
        <w:tc>
          <w:tcPr>
            <w:tcW w:w="0" w:type="auto"/>
            <w:hideMark/>
          </w:tcPr>
          <w:p w14:paraId="72C908F2" w14:textId="77777777" w:rsidR="009E3A88" w:rsidRDefault="009E3A88">
            <w:pPr>
              <w:rPr>
                <w:rFonts w:eastAsia="Times New Roman"/>
                <w:sz w:val="24"/>
                <w:szCs w:val="24"/>
              </w:rPr>
            </w:pPr>
            <w:r>
              <w:rPr>
                <w:rFonts w:eastAsia="Times New Roman"/>
              </w:rPr>
              <w:t>4,787</w:t>
            </w:r>
          </w:p>
        </w:tc>
        <w:tc>
          <w:tcPr>
            <w:tcW w:w="0" w:type="auto"/>
            <w:hideMark/>
          </w:tcPr>
          <w:p w14:paraId="25690F7F" w14:textId="77777777" w:rsidR="009E3A88" w:rsidRDefault="009E3A88">
            <w:pPr>
              <w:rPr>
                <w:rFonts w:eastAsia="Times New Roman"/>
                <w:sz w:val="24"/>
                <w:szCs w:val="24"/>
              </w:rPr>
            </w:pPr>
            <w:r>
              <w:rPr>
                <w:rFonts w:eastAsia="Times New Roman"/>
              </w:rPr>
              <w:t>59.4 (57.4-61.6)</w:t>
            </w:r>
          </w:p>
        </w:tc>
        <w:tc>
          <w:tcPr>
            <w:tcW w:w="0" w:type="auto"/>
            <w:hideMark/>
          </w:tcPr>
          <w:p w14:paraId="4A843E0C" w14:textId="77777777" w:rsidR="009E3A88" w:rsidRDefault="009E3A88">
            <w:pPr>
              <w:rPr>
                <w:rFonts w:eastAsia="Times New Roman"/>
                <w:sz w:val="24"/>
                <w:szCs w:val="24"/>
              </w:rPr>
            </w:pPr>
            <w:r>
              <w:rPr>
                <w:rFonts w:eastAsia="Times New Roman"/>
              </w:rPr>
              <w:t>1,938</w:t>
            </w:r>
          </w:p>
        </w:tc>
        <w:tc>
          <w:tcPr>
            <w:tcW w:w="0" w:type="auto"/>
            <w:hideMark/>
          </w:tcPr>
          <w:p w14:paraId="4E4D3411" w14:textId="77777777" w:rsidR="009E3A88" w:rsidRDefault="009E3A88">
            <w:pPr>
              <w:rPr>
                <w:rFonts w:eastAsia="Times New Roman"/>
                <w:sz w:val="24"/>
                <w:szCs w:val="24"/>
              </w:rPr>
            </w:pPr>
            <w:r>
              <w:rPr>
                <w:rFonts w:eastAsia="Times New Roman"/>
              </w:rPr>
              <w:t>62.7 (60.0-65.6)</w:t>
            </w:r>
          </w:p>
        </w:tc>
        <w:tc>
          <w:tcPr>
            <w:tcW w:w="0" w:type="auto"/>
            <w:hideMark/>
          </w:tcPr>
          <w:p w14:paraId="02D344A0" w14:textId="77777777" w:rsidR="009E3A88" w:rsidRDefault="009E3A88">
            <w:pPr>
              <w:rPr>
                <w:rFonts w:eastAsia="Times New Roman"/>
                <w:sz w:val="24"/>
                <w:szCs w:val="24"/>
              </w:rPr>
            </w:pPr>
            <w:r>
              <w:rPr>
                <w:rFonts w:eastAsia="Times New Roman"/>
              </w:rPr>
              <w:t>2,181</w:t>
            </w:r>
          </w:p>
        </w:tc>
        <w:tc>
          <w:tcPr>
            <w:tcW w:w="0" w:type="auto"/>
            <w:hideMark/>
          </w:tcPr>
          <w:p w14:paraId="7DFC566F" w14:textId="77777777" w:rsidR="009E3A88" w:rsidRDefault="009E3A88">
            <w:pPr>
              <w:rPr>
                <w:rFonts w:eastAsia="Times New Roman"/>
                <w:sz w:val="24"/>
                <w:szCs w:val="24"/>
              </w:rPr>
            </w:pPr>
            <w:r>
              <w:rPr>
                <w:rFonts w:eastAsia="Times New Roman"/>
              </w:rPr>
              <w:t>56.1 (53.8-58.5)</w:t>
            </w:r>
          </w:p>
        </w:tc>
        <w:tc>
          <w:tcPr>
            <w:tcW w:w="0" w:type="auto"/>
            <w:hideMark/>
          </w:tcPr>
          <w:p w14:paraId="548CD5E3" w14:textId="77777777" w:rsidR="009E3A88" w:rsidRDefault="009E3A88">
            <w:pPr>
              <w:rPr>
                <w:rFonts w:eastAsia="Times New Roman"/>
                <w:sz w:val="24"/>
                <w:szCs w:val="24"/>
              </w:rPr>
            </w:pPr>
            <w:r>
              <w:rPr>
                <w:rFonts w:eastAsia="Times New Roman"/>
              </w:rPr>
              <w:t>0.89 (0.84-0.95)</w:t>
            </w:r>
          </w:p>
        </w:tc>
      </w:tr>
      <w:tr w:rsidR="00C73BA7" w14:paraId="56CE5E49" w14:textId="77777777" w:rsidTr="00D7659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A513DB2" w14:textId="77777777" w:rsidR="009E3A88" w:rsidRDefault="009E3A88">
            <w:pPr>
              <w:rPr>
                <w:rFonts w:eastAsia="Times New Roman"/>
                <w:sz w:val="24"/>
                <w:szCs w:val="24"/>
              </w:rPr>
            </w:pPr>
            <w:r>
              <w:rPr>
                <w:rFonts w:eastAsia="Times New Roman"/>
              </w:rPr>
              <w:t>80-84 years</w:t>
            </w:r>
          </w:p>
        </w:tc>
        <w:tc>
          <w:tcPr>
            <w:tcW w:w="0" w:type="auto"/>
            <w:hideMark/>
          </w:tcPr>
          <w:p w14:paraId="59B895E0" w14:textId="77777777" w:rsidR="009E3A88" w:rsidRDefault="009E3A88">
            <w:pPr>
              <w:rPr>
                <w:rFonts w:eastAsia="Times New Roman"/>
                <w:sz w:val="24"/>
                <w:szCs w:val="24"/>
              </w:rPr>
            </w:pPr>
            <w:r>
              <w:rPr>
                <w:rFonts w:eastAsia="Times New Roman"/>
              </w:rPr>
              <w:t>5,349</w:t>
            </w:r>
          </w:p>
        </w:tc>
        <w:tc>
          <w:tcPr>
            <w:tcW w:w="0" w:type="auto"/>
            <w:hideMark/>
          </w:tcPr>
          <w:p w14:paraId="195AA5C4" w14:textId="77777777" w:rsidR="009E3A88" w:rsidRDefault="009E3A88">
            <w:pPr>
              <w:rPr>
                <w:rFonts w:eastAsia="Times New Roman"/>
                <w:sz w:val="24"/>
                <w:szCs w:val="24"/>
              </w:rPr>
            </w:pPr>
            <w:r>
              <w:rPr>
                <w:rFonts w:eastAsia="Times New Roman"/>
              </w:rPr>
              <w:t>92.0 (89.0-95.1)</w:t>
            </w:r>
          </w:p>
        </w:tc>
        <w:tc>
          <w:tcPr>
            <w:tcW w:w="0" w:type="auto"/>
            <w:hideMark/>
          </w:tcPr>
          <w:p w14:paraId="45961F8D" w14:textId="77777777" w:rsidR="009E3A88" w:rsidRDefault="009E3A88">
            <w:pPr>
              <w:rPr>
                <w:rFonts w:eastAsia="Times New Roman"/>
                <w:sz w:val="24"/>
                <w:szCs w:val="24"/>
              </w:rPr>
            </w:pPr>
            <w:r>
              <w:rPr>
                <w:rFonts w:eastAsia="Times New Roman"/>
              </w:rPr>
              <w:t>1,886</w:t>
            </w:r>
          </w:p>
        </w:tc>
        <w:tc>
          <w:tcPr>
            <w:tcW w:w="0" w:type="auto"/>
            <w:hideMark/>
          </w:tcPr>
          <w:p w14:paraId="2B454BC6" w14:textId="77777777" w:rsidR="009E3A88" w:rsidRDefault="009E3A88">
            <w:pPr>
              <w:rPr>
                <w:rFonts w:eastAsia="Times New Roman"/>
                <w:sz w:val="24"/>
                <w:szCs w:val="24"/>
              </w:rPr>
            </w:pPr>
            <w:r>
              <w:rPr>
                <w:rFonts w:eastAsia="Times New Roman"/>
              </w:rPr>
              <w:t>94.0 (88.8-99.5)</w:t>
            </w:r>
          </w:p>
        </w:tc>
        <w:tc>
          <w:tcPr>
            <w:tcW w:w="0" w:type="auto"/>
            <w:hideMark/>
          </w:tcPr>
          <w:p w14:paraId="1C78C5D2" w14:textId="77777777" w:rsidR="009E3A88" w:rsidRDefault="009E3A88">
            <w:pPr>
              <w:rPr>
                <w:rFonts w:eastAsia="Times New Roman"/>
                <w:sz w:val="24"/>
                <w:szCs w:val="24"/>
              </w:rPr>
            </w:pPr>
            <w:r>
              <w:rPr>
                <w:rFonts w:eastAsia="Times New Roman"/>
              </w:rPr>
              <w:t>2,746</w:t>
            </w:r>
          </w:p>
        </w:tc>
        <w:tc>
          <w:tcPr>
            <w:tcW w:w="0" w:type="auto"/>
            <w:hideMark/>
          </w:tcPr>
          <w:p w14:paraId="6049C96D" w14:textId="77777777" w:rsidR="009E3A88" w:rsidRDefault="009E3A88">
            <w:pPr>
              <w:rPr>
                <w:rFonts w:eastAsia="Times New Roman"/>
                <w:sz w:val="24"/>
                <w:szCs w:val="24"/>
              </w:rPr>
            </w:pPr>
            <w:r>
              <w:rPr>
                <w:rFonts w:eastAsia="Times New Roman"/>
              </w:rPr>
              <w:t>90.9 (86.6-95.4)</w:t>
            </w:r>
          </w:p>
        </w:tc>
        <w:tc>
          <w:tcPr>
            <w:tcW w:w="0" w:type="auto"/>
            <w:hideMark/>
          </w:tcPr>
          <w:p w14:paraId="09C14706" w14:textId="77777777" w:rsidR="009E3A88" w:rsidRDefault="009E3A88">
            <w:pPr>
              <w:rPr>
                <w:rFonts w:eastAsia="Times New Roman"/>
                <w:sz w:val="24"/>
                <w:szCs w:val="24"/>
              </w:rPr>
            </w:pPr>
            <w:r>
              <w:rPr>
                <w:rFonts w:eastAsia="Times New Roman"/>
              </w:rPr>
              <w:t>0.97 (0.90-1.04)</w:t>
            </w:r>
          </w:p>
        </w:tc>
      </w:tr>
      <w:tr w:rsidR="00A75CE6" w14:paraId="7132A692" w14:textId="77777777" w:rsidTr="00D7659C">
        <w:tblPrEx>
          <w:tblCellMar>
            <w:top w:w="0" w:type="dxa"/>
            <w:left w:w="108" w:type="dxa"/>
            <w:bottom w:w="0" w:type="dxa"/>
            <w:right w:w="108" w:type="dxa"/>
          </w:tblCellMar>
        </w:tblPrEx>
        <w:tc>
          <w:tcPr>
            <w:tcW w:w="0" w:type="auto"/>
            <w:hideMark/>
          </w:tcPr>
          <w:p w14:paraId="4603FDB2" w14:textId="77777777" w:rsidR="009E3A88" w:rsidRDefault="009E3A88">
            <w:pPr>
              <w:rPr>
                <w:rFonts w:eastAsia="Times New Roman"/>
                <w:sz w:val="24"/>
                <w:szCs w:val="24"/>
              </w:rPr>
            </w:pPr>
            <w:r>
              <w:rPr>
                <w:rFonts w:eastAsia="Times New Roman"/>
              </w:rPr>
              <w:t>≥85 years</w:t>
            </w:r>
          </w:p>
        </w:tc>
        <w:tc>
          <w:tcPr>
            <w:tcW w:w="0" w:type="auto"/>
            <w:hideMark/>
          </w:tcPr>
          <w:p w14:paraId="22287413" w14:textId="77777777" w:rsidR="009E3A88" w:rsidRDefault="009E3A88">
            <w:pPr>
              <w:rPr>
                <w:rFonts w:eastAsia="Times New Roman"/>
                <w:sz w:val="24"/>
                <w:szCs w:val="24"/>
              </w:rPr>
            </w:pPr>
            <w:r>
              <w:rPr>
                <w:rFonts w:eastAsia="Times New Roman"/>
              </w:rPr>
              <w:t>6,340</w:t>
            </w:r>
          </w:p>
        </w:tc>
        <w:tc>
          <w:tcPr>
            <w:tcW w:w="0" w:type="auto"/>
            <w:hideMark/>
          </w:tcPr>
          <w:p w14:paraId="04F9D1A6" w14:textId="77777777" w:rsidR="009E3A88" w:rsidRDefault="009E3A88">
            <w:pPr>
              <w:rPr>
                <w:rFonts w:eastAsia="Times New Roman"/>
                <w:sz w:val="24"/>
                <w:szCs w:val="24"/>
              </w:rPr>
            </w:pPr>
            <w:r>
              <w:rPr>
                <w:rFonts w:eastAsia="Times New Roman"/>
              </w:rPr>
              <w:t>129.0 (124.3-134.0)</w:t>
            </w:r>
          </w:p>
        </w:tc>
        <w:tc>
          <w:tcPr>
            <w:tcW w:w="0" w:type="auto"/>
            <w:hideMark/>
          </w:tcPr>
          <w:p w14:paraId="7EEC917C" w14:textId="77777777" w:rsidR="009E3A88" w:rsidRDefault="009E3A88">
            <w:pPr>
              <w:rPr>
                <w:rFonts w:eastAsia="Times New Roman"/>
                <w:sz w:val="24"/>
                <w:szCs w:val="24"/>
              </w:rPr>
            </w:pPr>
            <w:r>
              <w:rPr>
                <w:rFonts w:eastAsia="Times New Roman"/>
              </w:rPr>
              <w:t>2,011</w:t>
            </w:r>
          </w:p>
        </w:tc>
        <w:tc>
          <w:tcPr>
            <w:tcW w:w="0" w:type="auto"/>
            <w:hideMark/>
          </w:tcPr>
          <w:p w14:paraId="54964D7D" w14:textId="77777777" w:rsidR="009E3A88" w:rsidRDefault="009E3A88">
            <w:pPr>
              <w:rPr>
                <w:rFonts w:eastAsia="Times New Roman"/>
                <w:sz w:val="24"/>
                <w:szCs w:val="24"/>
              </w:rPr>
            </w:pPr>
            <w:r>
              <w:rPr>
                <w:rFonts w:eastAsia="Times New Roman"/>
              </w:rPr>
              <w:t>126.5 (118.5-135.1)</w:t>
            </w:r>
          </w:p>
        </w:tc>
        <w:tc>
          <w:tcPr>
            <w:tcW w:w="0" w:type="auto"/>
            <w:hideMark/>
          </w:tcPr>
          <w:p w14:paraId="25278F9A" w14:textId="77777777" w:rsidR="009E3A88" w:rsidRDefault="009E3A88">
            <w:pPr>
              <w:rPr>
                <w:rFonts w:eastAsia="Times New Roman"/>
                <w:sz w:val="24"/>
                <w:szCs w:val="24"/>
              </w:rPr>
            </w:pPr>
            <w:r>
              <w:rPr>
                <w:rFonts w:eastAsia="Times New Roman"/>
              </w:rPr>
              <w:t>3,528</w:t>
            </w:r>
          </w:p>
        </w:tc>
        <w:tc>
          <w:tcPr>
            <w:tcW w:w="0" w:type="auto"/>
            <w:hideMark/>
          </w:tcPr>
          <w:p w14:paraId="79BCBC97" w14:textId="77777777" w:rsidR="009E3A88" w:rsidRDefault="009E3A88">
            <w:pPr>
              <w:rPr>
                <w:rFonts w:eastAsia="Times New Roman"/>
                <w:sz w:val="24"/>
                <w:szCs w:val="24"/>
              </w:rPr>
            </w:pPr>
            <w:r>
              <w:rPr>
                <w:rFonts w:eastAsia="Times New Roman"/>
              </w:rPr>
              <w:t>130.8 (123.7-138.3)</w:t>
            </w:r>
          </w:p>
        </w:tc>
        <w:tc>
          <w:tcPr>
            <w:tcW w:w="0" w:type="auto"/>
            <w:hideMark/>
          </w:tcPr>
          <w:p w14:paraId="589BEF28" w14:textId="77777777" w:rsidR="009E3A88" w:rsidRDefault="009E3A88">
            <w:pPr>
              <w:rPr>
                <w:rFonts w:eastAsia="Times New Roman"/>
                <w:sz w:val="24"/>
                <w:szCs w:val="24"/>
              </w:rPr>
            </w:pPr>
            <w:r>
              <w:rPr>
                <w:rFonts w:eastAsia="Times New Roman"/>
              </w:rPr>
              <w:t>1.03 (0.95-1.13)</w:t>
            </w:r>
          </w:p>
        </w:tc>
      </w:tr>
      <w:tr w:rsidR="00A75CE6" w14:paraId="28A1D3BC" w14:textId="77777777" w:rsidTr="00304EC6">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3F2D3576" w14:textId="77777777" w:rsidR="009E3A88" w:rsidRDefault="009E3A88">
            <w:pPr>
              <w:rPr>
                <w:rFonts w:eastAsia="Times New Roman"/>
                <w:sz w:val="24"/>
                <w:szCs w:val="24"/>
              </w:rPr>
            </w:pPr>
            <w:r>
              <w:rPr>
                <w:rFonts w:eastAsia="Times New Roman"/>
              </w:rPr>
              <w:t>All ages</w:t>
            </w:r>
          </w:p>
        </w:tc>
        <w:tc>
          <w:tcPr>
            <w:tcW w:w="0" w:type="auto"/>
            <w:shd w:val="clear" w:color="auto" w:fill="FDE9D9" w:themeFill="accent6" w:themeFillTint="33"/>
            <w:hideMark/>
          </w:tcPr>
          <w:p w14:paraId="4468C49C" w14:textId="77777777" w:rsidR="009E3A88" w:rsidRDefault="009E3A88">
            <w:pPr>
              <w:rPr>
                <w:rFonts w:eastAsia="Times New Roman"/>
                <w:sz w:val="24"/>
                <w:szCs w:val="24"/>
              </w:rPr>
            </w:pPr>
            <w:r>
              <w:rPr>
                <w:rFonts w:eastAsia="Times New Roman"/>
              </w:rPr>
              <w:t>33,007</w:t>
            </w:r>
          </w:p>
        </w:tc>
        <w:tc>
          <w:tcPr>
            <w:tcW w:w="0" w:type="auto"/>
            <w:shd w:val="clear" w:color="auto" w:fill="FDE9D9" w:themeFill="accent6" w:themeFillTint="33"/>
            <w:hideMark/>
          </w:tcPr>
          <w:p w14:paraId="024B7F39" w14:textId="77777777" w:rsidR="009E3A88" w:rsidRDefault="009E3A88">
            <w:pPr>
              <w:rPr>
                <w:rFonts w:eastAsia="Times New Roman"/>
                <w:sz w:val="24"/>
                <w:szCs w:val="24"/>
              </w:rPr>
            </w:pPr>
            <w:r>
              <w:rPr>
                <w:rFonts w:eastAsia="Times New Roman"/>
              </w:rPr>
              <w:t>10.9 (10.6-11.2)</w:t>
            </w:r>
          </w:p>
        </w:tc>
        <w:tc>
          <w:tcPr>
            <w:tcW w:w="0" w:type="auto"/>
            <w:shd w:val="clear" w:color="auto" w:fill="FDE9D9" w:themeFill="accent6" w:themeFillTint="33"/>
            <w:hideMark/>
          </w:tcPr>
          <w:p w14:paraId="255C6C6D" w14:textId="77777777" w:rsidR="009E3A88" w:rsidRDefault="009E3A88">
            <w:pPr>
              <w:rPr>
                <w:rFonts w:eastAsia="Times New Roman"/>
                <w:sz w:val="24"/>
                <w:szCs w:val="24"/>
              </w:rPr>
            </w:pPr>
            <w:r>
              <w:rPr>
                <w:rFonts w:eastAsia="Times New Roman"/>
              </w:rPr>
              <w:t>11,805</w:t>
            </w:r>
          </w:p>
        </w:tc>
        <w:tc>
          <w:tcPr>
            <w:tcW w:w="0" w:type="auto"/>
            <w:shd w:val="clear" w:color="auto" w:fill="FDE9D9" w:themeFill="accent6" w:themeFillTint="33"/>
            <w:hideMark/>
          </w:tcPr>
          <w:p w14:paraId="65B84659" w14:textId="77777777" w:rsidR="009E3A88" w:rsidRDefault="009E3A88">
            <w:pPr>
              <w:rPr>
                <w:rFonts w:eastAsia="Times New Roman"/>
                <w:sz w:val="24"/>
                <w:szCs w:val="24"/>
              </w:rPr>
            </w:pPr>
            <w:r>
              <w:rPr>
                <w:rFonts w:eastAsia="Times New Roman"/>
              </w:rPr>
              <w:t>10.4 (10.2-10.7)</w:t>
            </w:r>
          </w:p>
        </w:tc>
        <w:tc>
          <w:tcPr>
            <w:tcW w:w="0" w:type="auto"/>
            <w:shd w:val="clear" w:color="auto" w:fill="FDE9D9" w:themeFill="accent6" w:themeFillTint="33"/>
            <w:hideMark/>
          </w:tcPr>
          <w:p w14:paraId="696FB060" w14:textId="77777777" w:rsidR="009E3A88" w:rsidRDefault="009E3A88">
            <w:pPr>
              <w:rPr>
                <w:rFonts w:eastAsia="Times New Roman"/>
                <w:sz w:val="24"/>
                <w:szCs w:val="24"/>
              </w:rPr>
            </w:pPr>
            <w:r>
              <w:rPr>
                <w:rFonts w:eastAsia="Times New Roman"/>
              </w:rPr>
              <w:t>16,867</w:t>
            </w:r>
          </w:p>
        </w:tc>
        <w:tc>
          <w:tcPr>
            <w:tcW w:w="0" w:type="auto"/>
            <w:shd w:val="clear" w:color="auto" w:fill="FDE9D9" w:themeFill="accent6" w:themeFillTint="33"/>
            <w:hideMark/>
          </w:tcPr>
          <w:p w14:paraId="7CCE503A" w14:textId="77777777" w:rsidR="009E3A88" w:rsidRDefault="009E3A88">
            <w:pPr>
              <w:rPr>
                <w:rFonts w:eastAsia="Times New Roman"/>
                <w:sz w:val="24"/>
                <w:szCs w:val="24"/>
              </w:rPr>
            </w:pPr>
            <w:r>
              <w:rPr>
                <w:rFonts w:eastAsia="Times New Roman"/>
              </w:rPr>
              <w:t>11.3 (10.9-11.7)</w:t>
            </w:r>
          </w:p>
        </w:tc>
        <w:tc>
          <w:tcPr>
            <w:tcW w:w="0" w:type="auto"/>
            <w:shd w:val="clear" w:color="auto" w:fill="FDE9D9" w:themeFill="accent6" w:themeFillTint="33"/>
            <w:hideMark/>
          </w:tcPr>
          <w:p w14:paraId="11E8BCDB" w14:textId="77777777" w:rsidR="009E3A88" w:rsidRDefault="009E3A88">
            <w:pPr>
              <w:rPr>
                <w:rFonts w:eastAsia="Times New Roman"/>
                <w:sz w:val="24"/>
                <w:szCs w:val="24"/>
              </w:rPr>
            </w:pPr>
            <w:r>
              <w:rPr>
                <w:rFonts w:eastAsia="Times New Roman"/>
              </w:rPr>
              <w:t>1.08 (1.03-1.13)</w:t>
            </w:r>
          </w:p>
        </w:tc>
      </w:tr>
      <w:tr w:rsidR="00035D58" w:rsidRPr="00035D58" w14:paraId="58D33601" w14:textId="77777777" w:rsidTr="00035D58">
        <w:tblPrEx>
          <w:tblCellMar>
            <w:top w:w="0" w:type="dxa"/>
            <w:left w:w="108" w:type="dxa"/>
            <w:bottom w:w="0" w:type="dxa"/>
            <w:right w:w="108" w:type="dxa"/>
          </w:tblCellMar>
        </w:tblPrEx>
        <w:tc>
          <w:tcPr>
            <w:tcW w:w="0" w:type="auto"/>
            <w:gridSpan w:val="8"/>
            <w:shd w:val="clear" w:color="auto" w:fill="808080" w:themeFill="background1" w:themeFillShade="80"/>
            <w:hideMark/>
          </w:tcPr>
          <w:p w14:paraId="63449349" w14:textId="77777777" w:rsidR="009E3A88" w:rsidRPr="00035D58" w:rsidRDefault="009E3A88">
            <w:pPr>
              <w:rPr>
                <w:rFonts w:eastAsia="Times New Roman"/>
                <w:color w:val="FFFFFF" w:themeColor="background1"/>
                <w:sz w:val="24"/>
                <w:szCs w:val="24"/>
              </w:rPr>
            </w:pPr>
            <w:r w:rsidRPr="00035D58">
              <w:rPr>
                <w:rFonts w:eastAsia="Times New Roman"/>
                <w:color w:val="FFFFFF" w:themeColor="background1"/>
              </w:rPr>
              <w:t>All herpes zoster in non-Indigenous Australians</w:t>
            </w:r>
            <w:r w:rsidRPr="00035D58">
              <w:rPr>
                <w:rFonts w:eastAsia="Times New Roman"/>
                <w:color w:val="FFFFFF" w:themeColor="background1"/>
                <w:vertAlign w:val="superscript"/>
              </w:rPr>
              <w:t>§§</w:t>
            </w:r>
          </w:p>
        </w:tc>
      </w:tr>
      <w:tr w:rsidR="00C73BA7" w14:paraId="41BB9413" w14:textId="77777777" w:rsidTr="00D7659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9CBA014" w14:textId="77777777" w:rsidR="009E3A88" w:rsidRDefault="009E3A88">
            <w:pPr>
              <w:rPr>
                <w:rFonts w:eastAsia="Times New Roman"/>
                <w:sz w:val="24"/>
                <w:szCs w:val="24"/>
              </w:rPr>
            </w:pPr>
            <w:r>
              <w:rPr>
                <w:rFonts w:eastAsia="Times New Roman"/>
              </w:rPr>
              <w:t>70-74 years</w:t>
            </w:r>
          </w:p>
        </w:tc>
        <w:tc>
          <w:tcPr>
            <w:tcW w:w="0" w:type="auto"/>
            <w:hideMark/>
          </w:tcPr>
          <w:p w14:paraId="53C8DF54" w14:textId="77777777" w:rsidR="009E3A88" w:rsidRDefault="009E3A88">
            <w:pPr>
              <w:rPr>
                <w:rFonts w:eastAsia="Times New Roman"/>
                <w:sz w:val="24"/>
                <w:szCs w:val="24"/>
              </w:rPr>
            </w:pPr>
            <w:r>
              <w:rPr>
                <w:rFonts w:eastAsia="Times New Roman"/>
              </w:rPr>
              <w:t>8,931</w:t>
            </w:r>
          </w:p>
        </w:tc>
        <w:tc>
          <w:tcPr>
            <w:tcW w:w="0" w:type="auto"/>
            <w:hideMark/>
          </w:tcPr>
          <w:p w14:paraId="5C2C7EF8" w14:textId="77777777" w:rsidR="009E3A88" w:rsidRDefault="009E3A88">
            <w:pPr>
              <w:rPr>
                <w:rFonts w:eastAsia="Times New Roman"/>
                <w:sz w:val="24"/>
                <w:szCs w:val="24"/>
              </w:rPr>
            </w:pPr>
            <w:r>
              <w:rPr>
                <w:rFonts w:eastAsia="Times New Roman"/>
              </w:rPr>
              <w:t>90.2 (86.2-94.4)</w:t>
            </w:r>
          </w:p>
        </w:tc>
        <w:tc>
          <w:tcPr>
            <w:tcW w:w="0" w:type="auto"/>
            <w:hideMark/>
          </w:tcPr>
          <w:p w14:paraId="320FC7B0" w14:textId="77777777" w:rsidR="009E3A88" w:rsidRDefault="009E3A88">
            <w:pPr>
              <w:rPr>
                <w:rFonts w:eastAsia="Times New Roman"/>
                <w:sz w:val="24"/>
                <w:szCs w:val="24"/>
              </w:rPr>
            </w:pPr>
            <w:r>
              <w:rPr>
                <w:rFonts w:eastAsia="Times New Roman"/>
              </w:rPr>
              <w:t>3,457</w:t>
            </w:r>
          </w:p>
        </w:tc>
        <w:tc>
          <w:tcPr>
            <w:tcW w:w="0" w:type="auto"/>
            <w:hideMark/>
          </w:tcPr>
          <w:p w14:paraId="226C6B61" w14:textId="77777777" w:rsidR="009E3A88" w:rsidRDefault="009E3A88">
            <w:pPr>
              <w:rPr>
                <w:rFonts w:eastAsia="Times New Roman"/>
                <w:sz w:val="24"/>
                <w:szCs w:val="24"/>
              </w:rPr>
            </w:pPr>
            <w:r>
              <w:rPr>
                <w:rFonts w:eastAsia="Times New Roman"/>
              </w:rPr>
              <w:t>92.5 (89.5-95.7)</w:t>
            </w:r>
          </w:p>
        </w:tc>
        <w:tc>
          <w:tcPr>
            <w:tcW w:w="0" w:type="auto"/>
            <w:hideMark/>
          </w:tcPr>
          <w:p w14:paraId="346023CF" w14:textId="77777777" w:rsidR="009E3A88" w:rsidRDefault="009E3A88">
            <w:pPr>
              <w:rPr>
                <w:rFonts w:eastAsia="Times New Roman"/>
                <w:sz w:val="24"/>
                <w:szCs w:val="24"/>
              </w:rPr>
            </w:pPr>
            <w:r>
              <w:rPr>
                <w:rFonts w:eastAsia="Times New Roman"/>
              </w:rPr>
              <w:t>4,386</w:t>
            </w:r>
          </w:p>
        </w:tc>
        <w:tc>
          <w:tcPr>
            <w:tcW w:w="0" w:type="auto"/>
            <w:hideMark/>
          </w:tcPr>
          <w:p w14:paraId="674A7F2F" w14:textId="77777777" w:rsidR="009E3A88" w:rsidRDefault="009E3A88">
            <w:pPr>
              <w:rPr>
                <w:rFonts w:eastAsia="Times New Roman"/>
                <w:sz w:val="24"/>
                <w:szCs w:val="24"/>
              </w:rPr>
            </w:pPr>
            <w:r>
              <w:rPr>
                <w:rFonts w:eastAsia="Times New Roman"/>
              </w:rPr>
              <w:t>88.9 (81.3-97.0)</w:t>
            </w:r>
          </w:p>
        </w:tc>
        <w:tc>
          <w:tcPr>
            <w:tcW w:w="0" w:type="auto"/>
            <w:hideMark/>
          </w:tcPr>
          <w:p w14:paraId="2FFE16C0" w14:textId="77777777" w:rsidR="009E3A88" w:rsidRDefault="009E3A88">
            <w:pPr>
              <w:rPr>
                <w:rFonts w:eastAsia="Times New Roman"/>
                <w:sz w:val="24"/>
                <w:szCs w:val="24"/>
              </w:rPr>
            </w:pPr>
            <w:r>
              <w:rPr>
                <w:rFonts w:eastAsia="Times New Roman"/>
              </w:rPr>
              <w:t>0.96 (0.87-1.06)</w:t>
            </w:r>
          </w:p>
        </w:tc>
      </w:tr>
      <w:tr w:rsidR="00A75CE6" w14:paraId="77FE7F07" w14:textId="77777777" w:rsidTr="00D7659C">
        <w:tblPrEx>
          <w:tblCellMar>
            <w:top w:w="0" w:type="dxa"/>
            <w:left w:w="108" w:type="dxa"/>
            <w:bottom w:w="0" w:type="dxa"/>
            <w:right w:w="108" w:type="dxa"/>
          </w:tblCellMar>
        </w:tblPrEx>
        <w:tc>
          <w:tcPr>
            <w:tcW w:w="0" w:type="auto"/>
            <w:hideMark/>
          </w:tcPr>
          <w:p w14:paraId="542C6BF3" w14:textId="77777777" w:rsidR="009E3A88" w:rsidRDefault="009E3A88">
            <w:pPr>
              <w:rPr>
                <w:rFonts w:eastAsia="Times New Roman"/>
                <w:sz w:val="24"/>
                <w:szCs w:val="24"/>
              </w:rPr>
            </w:pPr>
            <w:r>
              <w:rPr>
                <w:rFonts w:eastAsia="Times New Roman"/>
              </w:rPr>
              <w:t>75-79 years</w:t>
            </w:r>
          </w:p>
        </w:tc>
        <w:tc>
          <w:tcPr>
            <w:tcW w:w="0" w:type="auto"/>
            <w:hideMark/>
          </w:tcPr>
          <w:p w14:paraId="47363B51" w14:textId="77777777" w:rsidR="009E3A88" w:rsidRDefault="009E3A88">
            <w:pPr>
              <w:rPr>
                <w:rFonts w:eastAsia="Times New Roman"/>
                <w:sz w:val="24"/>
                <w:szCs w:val="24"/>
              </w:rPr>
            </w:pPr>
            <w:r>
              <w:rPr>
                <w:rFonts w:eastAsia="Times New Roman"/>
              </w:rPr>
              <w:t>12,145</w:t>
            </w:r>
          </w:p>
        </w:tc>
        <w:tc>
          <w:tcPr>
            <w:tcW w:w="0" w:type="auto"/>
            <w:hideMark/>
          </w:tcPr>
          <w:p w14:paraId="068E7DCD" w14:textId="77777777" w:rsidR="009E3A88" w:rsidRDefault="009E3A88">
            <w:pPr>
              <w:rPr>
                <w:rFonts w:eastAsia="Times New Roman"/>
                <w:sz w:val="24"/>
                <w:szCs w:val="24"/>
              </w:rPr>
            </w:pPr>
            <w:r>
              <w:rPr>
                <w:rFonts w:eastAsia="Times New Roman"/>
              </w:rPr>
              <w:t>150.8 (146.3-155.3)</w:t>
            </w:r>
          </w:p>
        </w:tc>
        <w:tc>
          <w:tcPr>
            <w:tcW w:w="0" w:type="auto"/>
            <w:hideMark/>
          </w:tcPr>
          <w:p w14:paraId="237CE01D" w14:textId="77777777" w:rsidR="009E3A88" w:rsidRDefault="009E3A88">
            <w:pPr>
              <w:rPr>
                <w:rFonts w:eastAsia="Times New Roman"/>
                <w:sz w:val="24"/>
                <w:szCs w:val="24"/>
              </w:rPr>
            </w:pPr>
            <w:r>
              <w:rPr>
                <w:rFonts w:eastAsia="Times New Roman"/>
              </w:rPr>
              <w:t>4,808</w:t>
            </w:r>
          </w:p>
        </w:tc>
        <w:tc>
          <w:tcPr>
            <w:tcW w:w="0" w:type="auto"/>
            <w:hideMark/>
          </w:tcPr>
          <w:p w14:paraId="08AE8CAF" w14:textId="77777777" w:rsidR="009E3A88" w:rsidRDefault="009E3A88">
            <w:pPr>
              <w:rPr>
                <w:rFonts w:eastAsia="Times New Roman"/>
                <w:sz w:val="24"/>
                <w:szCs w:val="24"/>
              </w:rPr>
            </w:pPr>
            <w:r>
              <w:rPr>
                <w:rFonts w:eastAsia="Times New Roman"/>
              </w:rPr>
              <w:t>155.7 (148.7-163.0)</w:t>
            </w:r>
          </w:p>
        </w:tc>
        <w:tc>
          <w:tcPr>
            <w:tcW w:w="0" w:type="auto"/>
            <w:hideMark/>
          </w:tcPr>
          <w:p w14:paraId="2B57C861" w14:textId="77777777" w:rsidR="009E3A88" w:rsidRDefault="009E3A88">
            <w:pPr>
              <w:rPr>
                <w:rFonts w:eastAsia="Times New Roman"/>
                <w:sz w:val="24"/>
                <w:szCs w:val="24"/>
              </w:rPr>
            </w:pPr>
            <w:r>
              <w:rPr>
                <w:rFonts w:eastAsia="Times New Roman"/>
              </w:rPr>
              <w:t>5,729</w:t>
            </w:r>
          </w:p>
        </w:tc>
        <w:tc>
          <w:tcPr>
            <w:tcW w:w="0" w:type="auto"/>
            <w:hideMark/>
          </w:tcPr>
          <w:p w14:paraId="61AEEA8F" w14:textId="77777777" w:rsidR="009E3A88" w:rsidRDefault="009E3A88">
            <w:pPr>
              <w:rPr>
                <w:rFonts w:eastAsia="Times New Roman"/>
                <w:sz w:val="24"/>
                <w:szCs w:val="24"/>
              </w:rPr>
            </w:pPr>
            <w:r>
              <w:rPr>
                <w:rFonts w:eastAsia="Times New Roman"/>
              </w:rPr>
              <w:t>147.3 (142.0-152.9)</w:t>
            </w:r>
          </w:p>
        </w:tc>
        <w:tc>
          <w:tcPr>
            <w:tcW w:w="0" w:type="auto"/>
            <w:hideMark/>
          </w:tcPr>
          <w:p w14:paraId="0E694811" w14:textId="77777777" w:rsidR="009E3A88" w:rsidRDefault="009E3A88">
            <w:pPr>
              <w:rPr>
                <w:rFonts w:eastAsia="Times New Roman"/>
                <w:sz w:val="24"/>
                <w:szCs w:val="24"/>
              </w:rPr>
            </w:pPr>
            <w:r>
              <w:rPr>
                <w:rFonts w:eastAsia="Times New Roman"/>
              </w:rPr>
              <w:t>0.95 (0.89-1.00)</w:t>
            </w:r>
          </w:p>
        </w:tc>
      </w:tr>
      <w:tr w:rsidR="00C73BA7" w14:paraId="7864678B" w14:textId="77777777" w:rsidTr="00D7659C">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95C1AFD" w14:textId="77777777" w:rsidR="009E3A88" w:rsidRDefault="009E3A88">
            <w:pPr>
              <w:rPr>
                <w:rFonts w:eastAsia="Times New Roman"/>
                <w:sz w:val="24"/>
                <w:szCs w:val="24"/>
              </w:rPr>
            </w:pPr>
            <w:r>
              <w:rPr>
                <w:rFonts w:eastAsia="Times New Roman"/>
              </w:rPr>
              <w:t>80-84 years</w:t>
            </w:r>
          </w:p>
        </w:tc>
        <w:tc>
          <w:tcPr>
            <w:tcW w:w="0" w:type="auto"/>
            <w:hideMark/>
          </w:tcPr>
          <w:p w14:paraId="5D844808" w14:textId="77777777" w:rsidR="009E3A88" w:rsidRDefault="009E3A88">
            <w:pPr>
              <w:rPr>
                <w:rFonts w:eastAsia="Times New Roman"/>
                <w:sz w:val="24"/>
                <w:szCs w:val="24"/>
              </w:rPr>
            </w:pPr>
            <w:r>
              <w:rPr>
                <w:rFonts w:eastAsia="Times New Roman"/>
              </w:rPr>
              <w:t>13,759</w:t>
            </w:r>
          </w:p>
        </w:tc>
        <w:tc>
          <w:tcPr>
            <w:tcW w:w="0" w:type="auto"/>
            <w:hideMark/>
          </w:tcPr>
          <w:p w14:paraId="36CC38F1" w14:textId="77777777" w:rsidR="009E3A88" w:rsidRDefault="009E3A88">
            <w:pPr>
              <w:rPr>
                <w:rFonts w:eastAsia="Times New Roman"/>
                <w:sz w:val="24"/>
                <w:szCs w:val="24"/>
              </w:rPr>
            </w:pPr>
            <w:r>
              <w:rPr>
                <w:rFonts w:eastAsia="Times New Roman"/>
              </w:rPr>
              <w:t>236.4 (228.0-245.1)</w:t>
            </w:r>
          </w:p>
        </w:tc>
        <w:tc>
          <w:tcPr>
            <w:tcW w:w="0" w:type="auto"/>
            <w:hideMark/>
          </w:tcPr>
          <w:p w14:paraId="53B14DD1" w14:textId="77777777" w:rsidR="009E3A88" w:rsidRDefault="009E3A88">
            <w:pPr>
              <w:rPr>
                <w:rFonts w:eastAsia="Times New Roman"/>
                <w:sz w:val="24"/>
                <w:szCs w:val="24"/>
              </w:rPr>
            </w:pPr>
            <w:r>
              <w:rPr>
                <w:rFonts w:eastAsia="Times New Roman"/>
              </w:rPr>
              <w:t>4,636</w:t>
            </w:r>
          </w:p>
        </w:tc>
        <w:tc>
          <w:tcPr>
            <w:tcW w:w="0" w:type="auto"/>
            <w:hideMark/>
          </w:tcPr>
          <w:p w14:paraId="540323B7" w14:textId="77777777" w:rsidR="009E3A88" w:rsidRDefault="009E3A88">
            <w:pPr>
              <w:rPr>
                <w:rFonts w:eastAsia="Times New Roman"/>
                <w:sz w:val="24"/>
                <w:szCs w:val="24"/>
              </w:rPr>
            </w:pPr>
            <w:r>
              <w:rPr>
                <w:rFonts w:eastAsia="Times New Roman"/>
              </w:rPr>
              <w:t>231.7 (220.0-243.9)</w:t>
            </w:r>
          </w:p>
        </w:tc>
        <w:tc>
          <w:tcPr>
            <w:tcW w:w="0" w:type="auto"/>
            <w:hideMark/>
          </w:tcPr>
          <w:p w14:paraId="177E06B0" w14:textId="77777777" w:rsidR="009E3A88" w:rsidRDefault="009E3A88">
            <w:pPr>
              <w:rPr>
                <w:rFonts w:eastAsia="Times New Roman"/>
                <w:sz w:val="24"/>
                <w:szCs w:val="24"/>
              </w:rPr>
            </w:pPr>
            <w:r>
              <w:rPr>
                <w:rFonts w:eastAsia="Times New Roman"/>
              </w:rPr>
              <w:t>7,204</w:t>
            </w:r>
          </w:p>
        </w:tc>
        <w:tc>
          <w:tcPr>
            <w:tcW w:w="0" w:type="auto"/>
            <w:hideMark/>
          </w:tcPr>
          <w:p w14:paraId="58D3544B" w14:textId="77777777" w:rsidR="009E3A88" w:rsidRDefault="009E3A88">
            <w:pPr>
              <w:rPr>
                <w:rFonts w:eastAsia="Times New Roman"/>
                <w:sz w:val="24"/>
                <w:szCs w:val="24"/>
              </w:rPr>
            </w:pPr>
            <w:r>
              <w:rPr>
                <w:rFonts w:eastAsia="Times New Roman"/>
              </w:rPr>
              <w:t>238.3 (224.7-252.6)</w:t>
            </w:r>
          </w:p>
        </w:tc>
        <w:tc>
          <w:tcPr>
            <w:tcW w:w="0" w:type="auto"/>
            <w:hideMark/>
          </w:tcPr>
          <w:p w14:paraId="3E55B097" w14:textId="77777777" w:rsidR="009E3A88" w:rsidRDefault="009E3A88">
            <w:pPr>
              <w:rPr>
                <w:rFonts w:eastAsia="Times New Roman"/>
                <w:sz w:val="24"/>
                <w:szCs w:val="24"/>
              </w:rPr>
            </w:pPr>
            <w:r>
              <w:rPr>
                <w:rFonts w:eastAsia="Times New Roman"/>
              </w:rPr>
              <w:t>1.03 (0.95-1.11)</w:t>
            </w:r>
          </w:p>
        </w:tc>
      </w:tr>
      <w:tr w:rsidR="00A75CE6" w14:paraId="02631771" w14:textId="77777777" w:rsidTr="00D7659C">
        <w:tblPrEx>
          <w:tblCellMar>
            <w:top w:w="0" w:type="dxa"/>
            <w:left w:w="108" w:type="dxa"/>
            <w:bottom w:w="0" w:type="dxa"/>
            <w:right w:w="108" w:type="dxa"/>
          </w:tblCellMar>
        </w:tblPrEx>
        <w:tc>
          <w:tcPr>
            <w:tcW w:w="0" w:type="auto"/>
            <w:hideMark/>
          </w:tcPr>
          <w:p w14:paraId="3EE545C5" w14:textId="77777777" w:rsidR="009E3A88" w:rsidRDefault="009E3A88">
            <w:pPr>
              <w:rPr>
                <w:rFonts w:eastAsia="Times New Roman"/>
                <w:sz w:val="24"/>
                <w:szCs w:val="24"/>
              </w:rPr>
            </w:pPr>
            <w:r>
              <w:rPr>
                <w:rFonts w:eastAsia="Times New Roman"/>
              </w:rPr>
              <w:t>≥85 years</w:t>
            </w:r>
          </w:p>
        </w:tc>
        <w:tc>
          <w:tcPr>
            <w:tcW w:w="0" w:type="auto"/>
            <w:hideMark/>
          </w:tcPr>
          <w:p w14:paraId="7CB25D38" w14:textId="77777777" w:rsidR="009E3A88" w:rsidRDefault="009E3A88">
            <w:pPr>
              <w:rPr>
                <w:rFonts w:eastAsia="Times New Roman"/>
                <w:sz w:val="24"/>
                <w:szCs w:val="24"/>
              </w:rPr>
            </w:pPr>
            <w:r>
              <w:rPr>
                <w:rFonts w:eastAsia="Times New Roman"/>
              </w:rPr>
              <w:t>17,184</w:t>
            </w:r>
          </w:p>
        </w:tc>
        <w:tc>
          <w:tcPr>
            <w:tcW w:w="0" w:type="auto"/>
            <w:hideMark/>
          </w:tcPr>
          <w:p w14:paraId="61AF388F" w14:textId="77777777" w:rsidR="009E3A88" w:rsidRDefault="009E3A88">
            <w:pPr>
              <w:rPr>
                <w:rFonts w:eastAsia="Times New Roman"/>
                <w:sz w:val="24"/>
                <w:szCs w:val="24"/>
              </w:rPr>
            </w:pPr>
            <w:r>
              <w:rPr>
                <w:rFonts w:eastAsia="Times New Roman"/>
              </w:rPr>
              <w:t>348.2 (338.1-358.6)</w:t>
            </w:r>
          </w:p>
        </w:tc>
        <w:tc>
          <w:tcPr>
            <w:tcW w:w="0" w:type="auto"/>
            <w:hideMark/>
          </w:tcPr>
          <w:p w14:paraId="1A19B2AC" w14:textId="77777777" w:rsidR="009E3A88" w:rsidRDefault="009E3A88">
            <w:pPr>
              <w:rPr>
                <w:rFonts w:eastAsia="Times New Roman"/>
                <w:sz w:val="24"/>
                <w:szCs w:val="24"/>
              </w:rPr>
            </w:pPr>
            <w:r>
              <w:rPr>
                <w:rFonts w:eastAsia="Times New Roman"/>
              </w:rPr>
              <w:t>5,330</w:t>
            </w:r>
          </w:p>
        </w:tc>
        <w:tc>
          <w:tcPr>
            <w:tcW w:w="0" w:type="auto"/>
            <w:hideMark/>
          </w:tcPr>
          <w:p w14:paraId="66E83976" w14:textId="77777777" w:rsidR="009E3A88" w:rsidRDefault="009E3A88">
            <w:pPr>
              <w:rPr>
                <w:rFonts w:eastAsia="Times New Roman"/>
                <w:sz w:val="24"/>
                <w:szCs w:val="24"/>
              </w:rPr>
            </w:pPr>
            <w:r>
              <w:rPr>
                <w:rFonts w:eastAsia="Times New Roman"/>
              </w:rPr>
              <w:t>335.8 (325.5-346.4)</w:t>
            </w:r>
          </w:p>
        </w:tc>
        <w:tc>
          <w:tcPr>
            <w:tcW w:w="0" w:type="auto"/>
            <w:hideMark/>
          </w:tcPr>
          <w:p w14:paraId="75F160EB" w14:textId="77777777" w:rsidR="009E3A88" w:rsidRDefault="009E3A88">
            <w:pPr>
              <w:rPr>
                <w:rFonts w:eastAsia="Times New Roman"/>
                <w:sz w:val="24"/>
                <w:szCs w:val="24"/>
              </w:rPr>
            </w:pPr>
            <w:r>
              <w:rPr>
                <w:rFonts w:eastAsia="Times New Roman"/>
              </w:rPr>
              <w:t>9,779</w:t>
            </w:r>
          </w:p>
        </w:tc>
        <w:tc>
          <w:tcPr>
            <w:tcW w:w="0" w:type="auto"/>
            <w:hideMark/>
          </w:tcPr>
          <w:p w14:paraId="48201DA4" w14:textId="77777777" w:rsidR="009E3A88" w:rsidRDefault="009E3A88">
            <w:pPr>
              <w:rPr>
                <w:rFonts w:eastAsia="Times New Roman"/>
                <w:sz w:val="24"/>
                <w:szCs w:val="24"/>
              </w:rPr>
            </w:pPr>
            <w:r>
              <w:rPr>
                <w:rFonts w:eastAsia="Times New Roman"/>
              </w:rPr>
              <w:t>361.5 (347.8-375.7)</w:t>
            </w:r>
          </w:p>
        </w:tc>
        <w:tc>
          <w:tcPr>
            <w:tcW w:w="0" w:type="auto"/>
            <w:hideMark/>
          </w:tcPr>
          <w:p w14:paraId="131E099A" w14:textId="77777777" w:rsidR="009E3A88" w:rsidRDefault="009E3A88">
            <w:pPr>
              <w:rPr>
                <w:rFonts w:eastAsia="Times New Roman"/>
                <w:sz w:val="24"/>
                <w:szCs w:val="24"/>
              </w:rPr>
            </w:pPr>
            <w:r>
              <w:rPr>
                <w:rFonts w:eastAsia="Times New Roman"/>
              </w:rPr>
              <w:t>1.08 (1.02-1.14)</w:t>
            </w:r>
          </w:p>
        </w:tc>
      </w:tr>
      <w:tr w:rsidR="00A75CE6" w14:paraId="45393615" w14:textId="77777777" w:rsidTr="00035D5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2E86E9E6" w14:textId="77777777" w:rsidR="009E3A88" w:rsidRDefault="009E3A88">
            <w:pPr>
              <w:rPr>
                <w:rFonts w:eastAsia="Times New Roman"/>
                <w:sz w:val="24"/>
                <w:szCs w:val="24"/>
              </w:rPr>
            </w:pPr>
            <w:r>
              <w:rPr>
                <w:rFonts w:eastAsia="Times New Roman"/>
              </w:rPr>
              <w:t>All ages</w:t>
            </w:r>
          </w:p>
        </w:tc>
        <w:tc>
          <w:tcPr>
            <w:tcW w:w="0" w:type="auto"/>
            <w:shd w:val="clear" w:color="auto" w:fill="FDE9D9" w:themeFill="accent6" w:themeFillTint="33"/>
            <w:hideMark/>
          </w:tcPr>
          <w:p w14:paraId="08C7D79B" w14:textId="77777777" w:rsidR="009E3A88" w:rsidRDefault="009E3A88">
            <w:pPr>
              <w:rPr>
                <w:rFonts w:eastAsia="Times New Roman"/>
                <w:sz w:val="24"/>
                <w:szCs w:val="24"/>
              </w:rPr>
            </w:pPr>
            <w:r>
              <w:rPr>
                <w:rFonts w:eastAsia="Times New Roman"/>
              </w:rPr>
              <w:t>79,874</w:t>
            </w:r>
          </w:p>
        </w:tc>
        <w:tc>
          <w:tcPr>
            <w:tcW w:w="0" w:type="auto"/>
            <w:shd w:val="clear" w:color="auto" w:fill="FDE9D9" w:themeFill="accent6" w:themeFillTint="33"/>
            <w:hideMark/>
          </w:tcPr>
          <w:p w14:paraId="75A6FE84" w14:textId="77777777" w:rsidR="009E3A88" w:rsidRDefault="009E3A88">
            <w:pPr>
              <w:rPr>
                <w:rFonts w:eastAsia="Times New Roman"/>
                <w:sz w:val="24"/>
                <w:szCs w:val="24"/>
              </w:rPr>
            </w:pPr>
            <w:r>
              <w:rPr>
                <w:rFonts w:eastAsia="Times New Roman"/>
              </w:rPr>
              <w:t>26.4 (25.4-27.4)</w:t>
            </w:r>
          </w:p>
        </w:tc>
        <w:tc>
          <w:tcPr>
            <w:tcW w:w="0" w:type="auto"/>
            <w:shd w:val="clear" w:color="auto" w:fill="FDE9D9" w:themeFill="accent6" w:themeFillTint="33"/>
            <w:hideMark/>
          </w:tcPr>
          <w:p w14:paraId="227F0A69" w14:textId="77777777" w:rsidR="009E3A88" w:rsidRDefault="009E3A88">
            <w:pPr>
              <w:rPr>
                <w:rFonts w:eastAsia="Times New Roman"/>
                <w:sz w:val="24"/>
                <w:szCs w:val="24"/>
              </w:rPr>
            </w:pPr>
            <w:r>
              <w:rPr>
                <w:rFonts w:eastAsia="Times New Roman"/>
              </w:rPr>
              <w:t>28,069</w:t>
            </w:r>
          </w:p>
        </w:tc>
        <w:tc>
          <w:tcPr>
            <w:tcW w:w="0" w:type="auto"/>
            <w:shd w:val="clear" w:color="auto" w:fill="FDE9D9" w:themeFill="accent6" w:themeFillTint="33"/>
            <w:hideMark/>
          </w:tcPr>
          <w:p w14:paraId="7EBF2CBE" w14:textId="77777777" w:rsidR="009E3A88" w:rsidRDefault="009E3A88">
            <w:pPr>
              <w:rPr>
                <w:rFonts w:eastAsia="Times New Roman"/>
                <w:sz w:val="24"/>
                <w:szCs w:val="24"/>
              </w:rPr>
            </w:pPr>
            <w:r>
              <w:rPr>
                <w:rFonts w:eastAsia="Times New Roman"/>
              </w:rPr>
              <w:t>24.8 (24.5-25.2)</w:t>
            </w:r>
          </w:p>
        </w:tc>
        <w:tc>
          <w:tcPr>
            <w:tcW w:w="0" w:type="auto"/>
            <w:shd w:val="clear" w:color="auto" w:fill="FDE9D9" w:themeFill="accent6" w:themeFillTint="33"/>
            <w:hideMark/>
          </w:tcPr>
          <w:p w14:paraId="0724639F" w14:textId="77777777" w:rsidR="009E3A88" w:rsidRDefault="009E3A88">
            <w:pPr>
              <w:rPr>
                <w:rFonts w:eastAsia="Times New Roman"/>
                <w:sz w:val="24"/>
                <w:szCs w:val="24"/>
              </w:rPr>
            </w:pPr>
            <w:r>
              <w:rPr>
                <w:rFonts w:eastAsia="Times New Roman"/>
              </w:rPr>
              <w:t>41,487</w:t>
            </w:r>
          </w:p>
        </w:tc>
        <w:tc>
          <w:tcPr>
            <w:tcW w:w="0" w:type="auto"/>
            <w:shd w:val="clear" w:color="auto" w:fill="FDE9D9" w:themeFill="accent6" w:themeFillTint="33"/>
            <w:hideMark/>
          </w:tcPr>
          <w:p w14:paraId="1A0E8223" w14:textId="77777777" w:rsidR="009E3A88" w:rsidRDefault="009E3A88">
            <w:pPr>
              <w:rPr>
                <w:rFonts w:eastAsia="Times New Roman"/>
                <w:sz w:val="24"/>
                <w:szCs w:val="24"/>
              </w:rPr>
            </w:pPr>
            <w:r>
              <w:rPr>
                <w:rFonts w:eastAsia="Times New Roman"/>
              </w:rPr>
              <w:t>27.7 (26.1-29.4)</w:t>
            </w:r>
          </w:p>
        </w:tc>
        <w:tc>
          <w:tcPr>
            <w:tcW w:w="0" w:type="auto"/>
            <w:shd w:val="clear" w:color="auto" w:fill="FDE9D9" w:themeFill="accent6" w:themeFillTint="33"/>
            <w:hideMark/>
          </w:tcPr>
          <w:p w14:paraId="39A3351C" w14:textId="77777777" w:rsidR="009E3A88" w:rsidRDefault="009E3A88">
            <w:pPr>
              <w:rPr>
                <w:rFonts w:eastAsia="Times New Roman"/>
                <w:sz w:val="24"/>
                <w:szCs w:val="24"/>
              </w:rPr>
            </w:pPr>
            <w:r>
              <w:rPr>
                <w:rFonts w:eastAsia="Times New Roman"/>
              </w:rPr>
              <w:t>1.12 (1.05-1.19)</w:t>
            </w:r>
          </w:p>
        </w:tc>
      </w:tr>
    </w:tbl>
    <w:p w14:paraId="3EDCA556" w14:textId="77777777" w:rsidR="00C73BA7" w:rsidRDefault="009E3A88" w:rsidP="00530646">
      <w:pPr>
        <w:pStyle w:val="CDIfootnotes"/>
        <w:rPr>
          <w:rFonts w:eastAsia="Times New Roman"/>
        </w:rPr>
        <w:sectPr w:rsidR="00C73BA7" w:rsidSect="00C73BA7">
          <w:pgSz w:w="16838" w:h="11906" w:orient="landscape"/>
          <w:pgMar w:top="720" w:right="720" w:bottom="720" w:left="720" w:header="708" w:footer="283" w:gutter="0"/>
          <w:cols w:space="708"/>
          <w:titlePg/>
          <w:docGrid w:linePitch="360"/>
        </w:sectPr>
      </w:pPr>
      <w:r>
        <w:rPr>
          <w:rFonts w:eastAsia="Times New Roman"/>
          <w:vertAlign w:val="superscript"/>
        </w:rPr>
        <w:t>**</w:t>
      </w:r>
      <w:r>
        <w:rPr>
          <w:rFonts w:eastAsia="Times New Roman"/>
        </w:rPr>
        <w:t>Age-specific hospitalisations identified using I</w:t>
      </w:r>
      <w:r w:rsidR="00C73BA7">
        <w:rPr>
          <w:rFonts w:eastAsia="Times New Roman"/>
        </w:rPr>
        <w:t xml:space="preserve">CD-10-AM code B02.0-02.9 </w:t>
      </w:r>
      <w:r>
        <w:rPr>
          <w:rFonts w:eastAsia="Times New Roman"/>
          <w:vertAlign w:val="superscript"/>
        </w:rPr>
        <w:t>††</w:t>
      </w:r>
      <w:r>
        <w:rPr>
          <w:rFonts w:eastAsia="Times New Roman"/>
        </w:rPr>
        <w:t>Average annual hospitalisat</w:t>
      </w:r>
      <w:r w:rsidR="00C73BA7">
        <w:rPr>
          <w:rFonts w:eastAsia="Times New Roman"/>
        </w:rPr>
        <w:t xml:space="preserve">ion rate per 100,000 population </w:t>
      </w:r>
      <w:r>
        <w:rPr>
          <w:rFonts w:eastAsia="Times New Roman"/>
          <w:vertAlign w:val="superscript"/>
        </w:rPr>
        <w:t>‡</w:t>
      </w:r>
      <w:r>
        <w:rPr>
          <w:rFonts w:eastAsia="Times New Roman"/>
        </w:rPr>
        <w:t xml:space="preserve"> </w:t>
      </w:r>
      <w:r>
        <w:rPr>
          <w:rFonts w:eastAsia="Times New Roman"/>
          <w:vertAlign w:val="superscript"/>
        </w:rPr>
        <w:t>‡</w:t>
      </w:r>
      <w:r>
        <w:rPr>
          <w:rFonts w:eastAsia="Times New Roman"/>
        </w:rPr>
        <w:t>Incidence rate ratio between hospitalisation rates during pre and post-varicella vaccine periods</w:t>
      </w:r>
      <w:r w:rsidR="00C73BA7">
        <w:rPr>
          <w:rFonts w:eastAsia="Times New Roman"/>
        </w:rPr>
        <w:t xml:space="preserve"> </w:t>
      </w:r>
      <w:r>
        <w:rPr>
          <w:rFonts w:eastAsia="Times New Roman"/>
          <w:vertAlign w:val="superscript"/>
        </w:rPr>
        <w:t>§§</w:t>
      </w:r>
      <w:r>
        <w:rPr>
          <w:rFonts w:eastAsia="Times New Roman"/>
        </w:rPr>
        <w:t xml:space="preserve">Hospitalisations for Indigenous Australians were excluded. </w:t>
      </w:r>
    </w:p>
    <w:p w14:paraId="31BFA8B0" w14:textId="77777777" w:rsidR="009E3A88" w:rsidRDefault="009E3A88" w:rsidP="00530646">
      <w:pPr>
        <w:pStyle w:val="CDIfootnotes"/>
        <w:rPr>
          <w:rFonts w:eastAsia="Times New Roman"/>
        </w:rPr>
      </w:pPr>
    </w:p>
    <w:p w14:paraId="20B7369D" w14:textId="77777777" w:rsidR="009E3A88" w:rsidRDefault="009E3A88" w:rsidP="00530646">
      <w:r>
        <w:t>When we compared hospitalisation rates during the post-varicella vaccine period (2007-2013) to the pre-varicella vaccine period (1999-2004) in non-Indigenous people, the IRR was 1.08 (95% CI 1.03–1.13) for all ages, 0.94 (95% CI 0.88–1.02) for those aged 70-74 years, and 0.89 (95% CI 0.84–0.95) for those aged 75-79 years (Table 3).</w:t>
      </w:r>
    </w:p>
    <w:p w14:paraId="2FB6F43C" w14:textId="77777777" w:rsidR="009E3A88" w:rsidRPr="00530646" w:rsidRDefault="009E3A88" w:rsidP="00530646">
      <w:pPr>
        <w:pStyle w:val="Heading4"/>
      </w:pPr>
      <w:r w:rsidRPr="00530646">
        <w:t>Post-herpetic neuralgia (PHN)</w:t>
      </w:r>
    </w:p>
    <w:p w14:paraId="18C47B6A" w14:textId="77777777" w:rsidR="009E3A88" w:rsidRDefault="009E3A88" w:rsidP="00530646">
      <w:r>
        <w:t>Almost a third (32.5%) of all hospitalisations (principal) coded as HZ also had a diagnosis of PHN recorded in the diagnostic field (within the first 30 diagnostic fields). The overall rate of PHN hospitalisations remained stable (Figure 6A) for the years 1999-2013 (IRR 1.00; 95% CI 0.99-1.01), with the highest rate in those aged ≥75 years (32.1 per 100,000) followed by people aged 70-74 years (14.1 per 100,000). PHN-associated hospitalisations increased disproportionately with age, where 36.6% HZ hospitalisations in those aged ≥75 years had an episode of PHN compared to 26.7% in those aged 50-59 years (Figure 6B).</w:t>
      </w:r>
    </w:p>
    <w:p w14:paraId="44BF4E46" w14:textId="77777777" w:rsidR="00690486" w:rsidRDefault="00690486" w:rsidP="00690486">
      <w:pPr>
        <w:pStyle w:val="CDIFigures"/>
        <w:divId w:val="443815268"/>
      </w:pPr>
      <w:r>
        <w:t>Figure 6: Hospitalisation rates for post-herpetic neuralgia [PHN] and herpes zoster [HZ] (A) and by age groups (B), Australia, 1999-2013*</w:t>
      </w:r>
    </w:p>
    <w:p w14:paraId="7A2AB92E" w14:textId="77777777" w:rsidR="009E3A88" w:rsidRDefault="009E3A88">
      <w:pPr>
        <w:pStyle w:val="NormalWeb"/>
        <w:divId w:val="443815268"/>
      </w:pPr>
      <w:r>
        <w:rPr>
          <w:noProof/>
        </w:rPr>
        <w:drawing>
          <wp:inline distT="0" distB="0" distL="0" distR="0" wp14:anchorId="25032168" wp14:editId="0975A4B6">
            <wp:extent cx="6457950" cy="4450648"/>
            <wp:effectExtent l="0" t="0" r="0" b="7620"/>
            <wp:docPr id="21" name="Picture 21" descr="Figure 6a is trend graph showing hospitalisation rates per 100,000 populations for post-herpetic neuralgia and herpes zoster in Australia by age groups (≥70 years) for the years 1999 to 2013." title="Figure 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Staging\CDESS\ZoFE\CDI\Desktopping\OpenCDI\OpenCDI-2018-volume\2-Sheel - Australian vaccine preventable disease\DOCx Export\table-web-resources\image\f6a.png"/>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6456465" cy="4449625"/>
                    </a:xfrm>
                    <a:prstGeom prst="rect">
                      <a:avLst/>
                    </a:prstGeom>
                    <a:noFill/>
                    <a:ln>
                      <a:noFill/>
                    </a:ln>
                  </pic:spPr>
                </pic:pic>
              </a:graphicData>
            </a:graphic>
          </wp:inline>
        </w:drawing>
      </w:r>
    </w:p>
    <w:p w14:paraId="540F0D2D" w14:textId="77777777" w:rsidR="009E3A88" w:rsidRPr="004455F6" w:rsidRDefault="009E3A88" w:rsidP="004455F6">
      <w:pPr>
        <w:pStyle w:val="NormalWeb"/>
        <w:jc w:val="center"/>
        <w:divId w:val="443815268"/>
        <w:rPr>
          <w:b/>
        </w:rPr>
      </w:pPr>
      <w:r w:rsidRPr="004455F6">
        <w:rPr>
          <w:b/>
        </w:rPr>
        <w:t>(A)</w:t>
      </w:r>
    </w:p>
    <w:p w14:paraId="60794DBD" w14:textId="77777777" w:rsidR="009E3A88" w:rsidRDefault="009E3A88">
      <w:pPr>
        <w:pStyle w:val="NormalWeb"/>
        <w:divId w:val="443815268"/>
      </w:pPr>
      <w:r>
        <w:rPr>
          <w:noProof/>
        </w:rPr>
        <w:lastRenderedPageBreak/>
        <w:drawing>
          <wp:inline distT="0" distB="0" distL="0" distR="0" wp14:anchorId="0425643B" wp14:editId="0C24C57B">
            <wp:extent cx="6648450" cy="4577113"/>
            <wp:effectExtent l="0" t="0" r="0" b="0"/>
            <wp:docPr id="22" name="Picture 22" descr="Figure 6b is a column graph showing average hospitalisation rates per 100,000 populations for post-herpetic neuralgia and herpes zoster in Australia by age groups for the years 1999 to 2013." title="Figure 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Staging\CDESS\ZoFE\CDI\Desktopping\OpenCDI\OpenCDI-2018-volume\2-Sheel - Australian vaccine preventable disease\DOCx Export\table-web-resources\image\f6b.png"/>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6654850" cy="4581519"/>
                    </a:xfrm>
                    <a:prstGeom prst="rect">
                      <a:avLst/>
                    </a:prstGeom>
                    <a:noFill/>
                    <a:ln>
                      <a:noFill/>
                    </a:ln>
                  </pic:spPr>
                </pic:pic>
              </a:graphicData>
            </a:graphic>
          </wp:inline>
        </w:drawing>
      </w:r>
    </w:p>
    <w:p w14:paraId="28A8360F" w14:textId="77777777" w:rsidR="009E3A88" w:rsidRPr="004455F6" w:rsidRDefault="009E3A88" w:rsidP="004455F6">
      <w:pPr>
        <w:pStyle w:val="NormalWeb"/>
        <w:jc w:val="center"/>
        <w:divId w:val="443815268"/>
        <w:rPr>
          <w:b/>
        </w:rPr>
      </w:pPr>
      <w:r w:rsidRPr="004455F6">
        <w:rPr>
          <w:b/>
        </w:rPr>
        <w:t>(B)</w:t>
      </w:r>
    </w:p>
    <w:p w14:paraId="582EB497" w14:textId="77777777" w:rsidR="009E3A88" w:rsidRDefault="009E3A88" w:rsidP="00530646">
      <w:pPr>
        <w:divId w:val="443815268"/>
      </w:pPr>
      <w:r>
        <w:t> </w:t>
      </w:r>
    </w:p>
    <w:p w14:paraId="12D2E837" w14:textId="77777777" w:rsidR="009E3A88" w:rsidRDefault="009E3A88" w:rsidP="00530646">
      <w:r>
        <w:t>Between 1999 and 2013, there were 226,276 bed days for hospitalisation coded as due to HZ. The overall median length of stay was 4 days with length of stay increasing with age. Median length of stay per admission was 4 days and 6 days for people aged 70-74 and ≥75 years, respectively. HZ hospitalisations in which a diagnosis for PHN was also recorded were associated with a higher median length of stay (5 days) compared to those not also recorded as having PHN (4 days) (p&lt;0.05).</w:t>
      </w:r>
    </w:p>
    <w:p w14:paraId="402333E9" w14:textId="77777777" w:rsidR="009E3A88" w:rsidRPr="00530646" w:rsidRDefault="009E3A88" w:rsidP="00530646">
      <w:pPr>
        <w:pStyle w:val="Heading3"/>
      </w:pPr>
      <w:r w:rsidRPr="00530646">
        <w:t>VZV associated hospitalisations in Indigenous Australians</w:t>
      </w:r>
    </w:p>
    <w:p w14:paraId="218B58BF" w14:textId="77777777" w:rsidR="009E3A88" w:rsidRPr="00530646" w:rsidRDefault="009E3A88" w:rsidP="00530646">
      <w:pPr>
        <w:pStyle w:val="Heading4"/>
      </w:pPr>
      <w:r w:rsidRPr="00530646">
        <w:t>Varicella</w:t>
      </w:r>
    </w:p>
    <w:p w14:paraId="79D86ED3" w14:textId="77777777" w:rsidR="009E3A88" w:rsidRDefault="009E3A88" w:rsidP="00530646">
      <w:r>
        <w:t xml:space="preserve">We compared varicella hospitalisation rates in Indigenous people over the pre- and post- vaccine periods using data from four jurisdictions (Queensland, Western Australia, Northern Territory and South Australia). We observed significant decreases in hospitalisation rates in all age groups, with the greatest reduction of 89% (IRR 0.11; 95% CI 0.06-0.22) in children aged 18-59 months (Table 4). Similar findings were observed when we compared varicella hospitalisation rates in children aged 18-59 months from the four jurisdictions for the pre-vaccine period (38.1 per 100,000; 95% CI 29.8-48.7) to hospitalisation rates in Queensland, Western Australia, South Australia, Northern Territory, New South </w:t>
      </w:r>
      <w:proofErr w:type="gramStart"/>
      <w:r>
        <w:t>Wales</w:t>
      </w:r>
      <w:proofErr w:type="gramEnd"/>
      <w:r>
        <w:t xml:space="preserve"> and Victoria for the post-vaccine period (6.3 per 100,000; 95% CI 3.1-12.3).</w:t>
      </w:r>
    </w:p>
    <w:p w14:paraId="7F2093E1" w14:textId="77777777" w:rsidR="00B63629" w:rsidRDefault="00B63629">
      <w:pPr>
        <w:rPr>
          <w:rFonts w:eastAsia="Times New Roman"/>
          <w:b/>
        </w:rPr>
      </w:pPr>
      <w:r>
        <w:rPr>
          <w:rFonts w:eastAsia="Times New Roman"/>
          <w:b/>
        </w:rPr>
        <w:br w:type="page"/>
      </w:r>
    </w:p>
    <w:p w14:paraId="1FD60910" w14:textId="77777777" w:rsidR="009E3A88" w:rsidRPr="00530646" w:rsidRDefault="009E3A88" w:rsidP="00530646">
      <w:pPr>
        <w:divId w:val="1733383155"/>
        <w:rPr>
          <w:rFonts w:eastAsia="Times New Roman"/>
          <w:b/>
        </w:rPr>
      </w:pPr>
      <w:r w:rsidRPr="00530646">
        <w:rPr>
          <w:rFonts w:eastAsia="Times New Roman"/>
          <w:b/>
        </w:rPr>
        <w:lastRenderedPageBreak/>
        <w:t xml:space="preserve">Table 4: Varicella hospitalisations (principal diagnosis) by age groups and vaccine period in Indigenous populations, Australia, 1999- 2013 </w:t>
      </w:r>
      <w:r w:rsidRPr="00530646">
        <w:rPr>
          <w:rFonts w:eastAsia="Times New Roman"/>
          <w:b/>
          <w:vertAlign w:val="superscript"/>
        </w:rPr>
        <w:t>***</w:t>
      </w:r>
      <w:r w:rsidRPr="00B63629">
        <w:rPr>
          <w:rFonts w:eastAsia="Times New Roman"/>
          <w:b/>
          <w:vertAlign w:val="superscript"/>
        </w:rPr>
        <w:t>,</w:t>
      </w:r>
      <w:r w:rsidRPr="00530646">
        <w:rPr>
          <w:rFonts w:eastAsia="Times New Roman"/>
          <w:b/>
        </w:rPr>
        <w:t xml:space="preserve"> </w:t>
      </w:r>
      <w:r w:rsidRPr="00530646">
        <w:rPr>
          <w:rFonts w:eastAsia="Times New Roman"/>
          <w:b/>
          <w:vertAlign w:val="superscript"/>
        </w:rPr>
        <w:t>†††</w:t>
      </w:r>
      <w:r w:rsidRPr="00530646">
        <w:rPr>
          <w:rFonts w:eastAsia="Times New Roman"/>
          <w:b/>
        </w:rPr>
        <w:t xml:space="preserve"> </w:t>
      </w:r>
    </w:p>
    <w:tbl>
      <w:tblPr>
        <w:tblStyle w:val="CDI-StandardTable"/>
        <w:tblW w:w="0" w:type="auto"/>
        <w:tblLook w:val="04A0" w:firstRow="1" w:lastRow="0" w:firstColumn="1" w:lastColumn="0" w:noHBand="0" w:noVBand="1"/>
        <w:tblCaption w:val="Table 4: Varicella hospitalisations (principal diagnosis) by age groups and vaccine period in Indigenous populations, Australia, 1999- 2013 ***, ††† "/>
        <w:tblDescription w:val="Table 4 contains varicella hospitalisations (principal diagnosis) by age groups in Indigenous people of Australia (Queensland, South Australia, Western Australia and Northern Territory), before (1999-2004) and after (20007-2013) the introduction of the varicella vaccine under the National Immunisation Program in 2005."/>
      </w:tblPr>
      <w:tblGrid>
        <w:gridCol w:w="1462"/>
        <w:gridCol w:w="1982"/>
        <w:gridCol w:w="1640"/>
        <w:gridCol w:w="1982"/>
        <w:gridCol w:w="1640"/>
        <w:gridCol w:w="1637"/>
      </w:tblGrid>
      <w:tr w:rsidR="009E3A88" w14:paraId="1CA9D076" w14:textId="77777777" w:rsidTr="004E6B7A">
        <w:trPr>
          <w:cnfStyle w:val="100000000000" w:firstRow="1" w:lastRow="0" w:firstColumn="0" w:lastColumn="0" w:oddVBand="0" w:evenVBand="0" w:oddHBand="0" w:evenHBand="0" w:firstRowFirstColumn="0" w:firstRowLastColumn="0" w:lastRowFirstColumn="0" w:lastRowLastColumn="0"/>
          <w:divId w:val="1733383155"/>
          <w:tblHeader/>
        </w:trPr>
        <w:tc>
          <w:tcPr>
            <w:tcW w:w="0" w:type="auto"/>
            <w:hideMark/>
          </w:tcPr>
          <w:p w14:paraId="71267B0F" w14:textId="77777777" w:rsidR="009E3A88" w:rsidRDefault="009E3A88">
            <w:pPr>
              <w:rPr>
                <w:rFonts w:eastAsia="Times New Roman"/>
                <w:sz w:val="24"/>
                <w:szCs w:val="24"/>
              </w:rPr>
            </w:pPr>
          </w:p>
        </w:tc>
        <w:tc>
          <w:tcPr>
            <w:tcW w:w="0" w:type="auto"/>
            <w:gridSpan w:val="2"/>
            <w:hideMark/>
          </w:tcPr>
          <w:p w14:paraId="6C4BDCE4" w14:textId="77777777" w:rsidR="009E3A88" w:rsidRPr="004E6B7A" w:rsidRDefault="009E3A88">
            <w:pPr>
              <w:jc w:val="center"/>
              <w:rPr>
                <w:rFonts w:eastAsia="Times New Roman"/>
                <w:bCs/>
                <w:color w:val="FFFFFF" w:themeColor="background1"/>
                <w:sz w:val="24"/>
                <w:szCs w:val="24"/>
              </w:rPr>
            </w:pPr>
            <w:r w:rsidRPr="004E6B7A">
              <w:rPr>
                <w:rFonts w:eastAsia="Times New Roman"/>
                <w:bCs/>
                <w:color w:val="FFFFFF" w:themeColor="background1"/>
              </w:rPr>
              <w:t>Pre-varicella vaccine</w:t>
            </w:r>
            <w:r w:rsidRPr="004E6B7A">
              <w:rPr>
                <w:rFonts w:eastAsia="Times New Roman"/>
                <w:bCs/>
                <w:color w:val="FFFFFF" w:themeColor="background1"/>
              </w:rPr>
              <w:br/>
              <w:t>1999-2004</w:t>
            </w:r>
          </w:p>
        </w:tc>
        <w:tc>
          <w:tcPr>
            <w:tcW w:w="0" w:type="auto"/>
            <w:gridSpan w:val="2"/>
            <w:hideMark/>
          </w:tcPr>
          <w:p w14:paraId="35660D24" w14:textId="77777777" w:rsidR="009E3A88" w:rsidRPr="004E6B7A" w:rsidRDefault="009E3A88">
            <w:pPr>
              <w:jc w:val="center"/>
              <w:rPr>
                <w:rFonts w:eastAsia="Times New Roman"/>
                <w:bCs/>
                <w:color w:val="FFFFFF" w:themeColor="background1"/>
                <w:sz w:val="24"/>
                <w:szCs w:val="24"/>
              </w:rPr>
            </w:pPr>
            <w:r w:rsidRPr="004E6B7A">
              <w:rPr>
                <w:rFonts w:eastAsia="Times New Roman"/>
                <w:bCs/>
                <w:color w:val="FFFFFF" w:themeColor="background1"/>
              </w:rPr>
              <w:t>Post-varicella vaccine</w:t>
            </w:r>
            <w:r w:rsidRPr="004E6B7A">
              <w:rPr>
                <w:rFonts w:eastAsia="Times New Roman"/>
                <w:bCs/>
                <w:color w:val="FFFFFF" w:themeColor="background1"/>
              </w:rPr>
              <w:br/>
              <w:t>2007-2013</w:t>
            </w:r>
          </w:p>
        </w:tc>
        <w:tc>
          <w:tcPr>
            <w:tcW w:w="0" w:type="auto"/>
            <w:hideMark/>
          </w:tcPr>
          <w:p w14:paraId="2712F0BA" w14:textId="77777777" w:rsidR="009E3A88" w:rsidRDefault="009E3A88">
            <w:pPr>
              <w:rPr>
                <w:rFonts w:eastAsia="Times New Roman"/>
                <w:sz w:val="24"/>
                <w:szCs w:val="24"/>
              </w:rPr>
            </w:pPr>
          </w:p>
        </w:tc>
      </w:tr>
      <w:tr w:rsidR="009E3A88" w14:paraId="0506AA80" w14:textId="77777777" w:rsidTr="004E6B7A">
        <w:tblPrEx>
          <w:tblCellMar>
            <w:top w:w="0" w:type="dxa"/>
            <w:left w:w="108" w:type="dxa"/>
            <w:bottom w:w="0" w:type="dxa"/>
            <w:right w:w="108" w:type="dxa"/>
          </w:tblCellMar>
        </w:tblPrEx>
        <w:trPr>
          <w:divId w:val="1733383155"/>
        </w:trPr>
        <w:tc>
          <w:tcPr>
            <w:tcW w:w="0" w:type="auto"/>
            <w:hideMark/>
          </w:tcPr>
          <w:p w14:paraId="39AEFDE2" w14:textId="77777777" w:rsidR="009E3A88" w:rsidRDefault="009E3A88">
            <w:pPr>
              <w:jc w:val="center"/>
              <w:rPr>
                <w:rFonts w:eastAsia="Times New Roman"/>
                <w:b/>
                <w:bCs/>
                <w:sz w:val="24"/>
                <w:szCs w:val="24"/>
              </w:rPr>
            </w:pPr>
            <w:r>
              <w:rPr>
                <w:rFonts w:eastAsia="Times New Roman"/>
                <w:b/>
                <w:bCs/>
              </w:rPr>
              <w:t>Age group</w:t>
            </w:r>
          </w:p>
        </w:tc>
        <w:tc>
          <w:tcPr>
            <w:tcW w:w="0" w:type="auto"/>
            <w:hideMark/>
          </w:tcPr>
          <w:p w14:paraId="094E97BA" w14:textId="77777777" w:rsidR="009E3A88" w:rsidRDefault="009E3A88">
            <w:pPr>
              <w:jc w:val="center"/>
              <w:rPr>
                <w:rFonts w:eastAsia="Times New Roman"/>
                <w:b/>
                <w:bCs/>
                <w:sz w:val="24"/>
                <w:szCs w:val="24"/>
              </w:rPr>
            </w:pPr>
            <w:r>
              <w:rPr>
                <w:rFonts w:eastAsia="Times New Roman"/>
                <w:b/>
                <w:bCs/>
              </w:rPr>
              <w:t>Hospitalisations (n)</w:t>
            </w:r>
          </w:p>
        </w:tc>
        <w:tc>
          <w:tcPr>
            <w:tcW w:w="0" w:type="auto"/>
            <w:hideMark/>
          </w:tcPr>
          <w:p w14:paraId="271F7F22" w14:textId="77777777" w:rsidR="009E3A88" w:rsidRDefault="009E3A88">
            <w:pPr>
              <w:jc w:val="center"/>
              <w:rPr>
                <w:rFonts w:eastAsia="Times New Roman"/>
                <w:b/>
                <w:bCs/>
                <w:sz w:val="24"/>
                <w:szCs w:val="24"/>
              </w:rPr>
            </w:pPr>
            <w:r>
              <w:rPr>
                <w:rFonts w:eastAsia="Times New Roman"/>
                <w:b/>
                <w:bCs/>
              </w:rPr>
              <w:t>Rate</w:t>
            </w:r>
            <w:r>
              <w:rPr>
                <w:rFonts w:eastAsia="Times New Roman"/>
                <w:b/>
                <w:bCs/>
                <w:vertAlign w:val="superscript"/>
              </w:rPr>
              <w:t>‡‡‡</w:t>
            </w:r>
            <w:r>
              <w:rPr>
                <w:rFonts w:eastAsia="Times New Roman"/>
                <w:b/>
                <w:bCs/>
              </w:rPr>
              <w:t xml:space="preserve"> (95% CI)</w:t>
            </w:r>
          </w:p>
        </w:tc>
        <w:tc>
          <w:tcPr>
            <w:tcW w:w="0" w:type="auto"/>
            <w:hideMark/>
          </w:tcPr>
          <w:p w14:paraId="7E5CF68B" w14:textId="77777777" w:rsidR="009E3A88" w:rsidRDefault="009E3A88">
            <w:pPr>
              <w:jc w:val="center"/>
              <w:rPr>
                <w:rFonts w:eastAsia="Times New Roman"/>
                <w:b/>
                <w:bCs/>
                <w:sz w:val="24"/>
                <w:szCs w:val="24"/>
              </w:rPr>
            </w:pPr>
            <w:r>
              <w:rPr>
                <w:rFonts w:eastAsia="Times New Roman"/>
                <w:b/>
                <w:bCs/>
              </w:rPr>
              <w:t>Hospitalisations (n)</w:t>
            </w:r>
          </w:p>
        </w:tc>
        <w:tc>
          <w:tcPr>
            <w:tcW w:w="0" w:type="auto"/>
            <w:hideMark/>
          </w:tcPr>
          <w:p w14:paraId="4F6B1F5E" w14:textId="77777777" w:rsidR="009E3A88" w:rsidRDefault="009E3A88">
            <w:pPr>
              <w:jc w:val="center"/>
              <w:rPr>
                <w:rFonts w:eastAsia="Times New Roman"/>
                <w:b/>
                <w:bCs/>
                <w:sz w:val="24"/>
                <w:szCs w:val="24"/>
              </w:rPr>
            </w:pPr>
            <w:r>
              <w:rPr>
                <w:rFonts w:eastAsia="Times New Roman"/>
                <w:b/>
                <w:bCs/>
              </w:rPr>
              <w:t>Rate</w:t>
            </w:r>
            <w:r>
              <w:rPr>
                <w:rFonts w:eastAsia="Times New Roman"/>
                <w:b/>
                <w:bCs/>
                <w:vertAlign w:val="superscript"/>
              </w:rPr>
              <w:t>‡‡‡</w:t>
            </w:r>
            <w:r>
              <w:rPr>
                <w:rFonts w:eastAsia="Times New Roman"/>
                <w:b/>
                <w:bCs/>
              </w:rPr>
              <w:t xml:space="preserve"> (95% CI)</w:t>
            </w:r>
          </w:p>
        </w:tc>
        <w:tc>
          <w:tcPr>
            <w:tcW w:w="0" w:type="auto"/>
            <w:hideMark/>
          </w:tcPr>
          <w:p w14:paraId="5B9F3024" w14:textId="77777777" w:rsidR="009E3A88" w:rsidRDefault="009E3A88">
            <w:pPr>
              <w:jc w:val="center"/>
              <w:rPr>
                <w:rFonts w:eastAsia="Times New Roman"/>
                <w:b/>
                <w:bCs/>
                <w:sz w:val="24"/>
                <w:szCs w:val="24"/>
              </w:rPr>
            </w:pPr>
            <w:r>
              <w:rPr>
                <w:rFonts w:eastAsia="Times New Roman"/>
                <w:b/>
                <w:bCs/>
              </w:rPr>
              <w:t xml:space="preserve">IRR </w:t>
            </w:r>
            <w:r>
              <w:rPr>
                <w:rFonts w:eastAsia="Times New Roman"/>
                <w:b/>
                <w:bCs/>
                <w:vertAlign w:val="superscript"/>
              </w:rPr>
              <w:t>§§§</w:t>
            </w:r>
            <w:r>
              <w:rPr>
                <w:rFonts w:eastAsia="Times New Roman"/>
                <w:b/>
                <w:bCs/>
              </w:rPr>
              <w:t xml:space="preserve"> (95% CI)</w:t>
            </w:r>
          </w:p>
        </w:tc>
      </w:tr>
      <w:tr w:rsidR="009E3A88" w14:paraId="2C9BDFF6" w14:textId="77777777" w:rsidTr="004E6B7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733383155"/>
        </w:trPr>
        <w:tc>
          <w:tcPr>
            <w:tcW w:w="0" w:type="auto"/>
            <w:hideMark/>
          </w:tcPr>
          <w:p w14:paraId="6BC7A6AC" w14:textId="77777777" w:rsidR="009E3A88" w:rsidRDefault="009E3A88">
            <w:pPr>
              <w:rPr>
                <w:rFonts w:eastAsia="Times New Roman"/>
                <w:sz w:val="24"/>
                <w:szCs w:val="24"/>
              </w:rPr>
            </w:pPr>
            <w:r>
              <w:rPr>
                <w:rFonts w:eastAsia="Times New Roman"/>
              </w:rPr>
              <w:t>0-17 months</w:t>
            </w:r>
          </w:p>
        </w:tc>
        <w:tc>
          <w:tcPr>
            <w:tcW w:w="0" w:type="auto"/>
            <w:hideMark/>
          </w:tcPr>
          <w:p w14:paraId="6551FAD6" w14:textId="77777777" w:rsidR="009E3A88" w:rsidRDefault="009E3A88">
            <w:pPr>
              <w:rPr>
                <w:rFonts w:eastAsia="Times New Roman"/>
                <w:sz w:val="24"/>
                <w:szCs w:val="24"/>
              </w:rPr>
            </w:pPr>
            <w:r>
              <w:rPr>
                <w:rFonts w:eastAsia="Times New Roman"/>
              </w:rPr>
              <w:t>69</w:t>
            </w:r>
          </w:p>
        </w:tc>
        <w:tc>
          <w:tcPr>
            <w:tcW w:w="0" w:type="auto"/>
            <w:hideMark/>
          </w:tcPr>
          <w:p w14:paraId="1510C261" w14:textId="77777777" w:rsidR="009E3A88" w:rsidRDefault="009E3A88">
            <w:pPr>
              <w:rPr>
                <w:rFonts w:eastAsia="Times New Roman"/>
                <w:sz w:val="24"/>
                <w:szCs w:val="24"/>
              </w:rPr>
            </w:pPr>
            <w:r>
              <w:rPr>
                <w:rFonts w:eastAsia="Times New Roman"/>
              </w:rPr>
              <w:t>73.0 (57.7-92.5)</w:t>
            </w:r>
          </w:p>
        </w:tc>
        <w:tc>
          <w:tcPr>
            <w:tcW w:w="0" w:type="auto"/>
            <w:hideMark/>
          </w:tcPr>
          <w:p w14:paraId="3EFDC686" w14:textId="77777777" w:rsidR="009E3A88" w:rsidRDefault="009E3A88">
            <w:pPr>
              <w:rPr>
                <w:rFonts w:eastAsia="Times New Roman"/>
                <w:sz w:val="24"/>
                <w:szCs w:val="24"/>
              </w:rPr>
            </w:pPr>
            <w:r>
              <w:rPr>
                <w:rFonts w:eastAsia="Times New Roman"/>
              </w:rPr>
              <w:t>25</w:t>
            </w:r>
          </w:p>
        </w:tc>
        <w:tc>
          <w:tcPr>
            <w:tcW w:w="0" w:type="auto"/>
            <w:hideMark/>
          </w:tcPr>
          <w:p w14:paraId="28B5E0DE" w14:textId="77777777" w:rsidR="009E3A88" w:rsidRDefault="009E3A88">
            <w:pPr>
              <w:rPr>
                <w:rFonts w:eastAsia="Times New Roman"/>
                <w:sz w:val="24"/>
                <w:szCs w:val="24"/>
              </w:rPr>
            </w:pPr>
            <w:r>
              <w:rPr>
                <w:rFonts w:eastAsia="Times New Roman"/>
              </w:rPr>
              <w:t>21.1 (12.6-35.3)</w:t>
            </w:r>
          </w:p>
        </w:tc>
        <w:tc>
          <w:tcPr>
            <w:tcW w:w="0" w:type="auto"/>
            <w:hideMark/>
          </w:tcPr>
          <w:p w14:paraId="6480647C" w14:textId="77777777" w:rsidR="009E3A88" w:rsidRDefault="009E3A88">
            <w:pPr>
              <w:rPr>
                <w:rFonts w:eastAsia="Times New Roman"/>
                <w:sz w:val="24"/>
                <w:szCs w:val="24"/>
              </w:rPr>
            </w:pPr>
            <w:r>
              <w:rPr>
                <w:rFonts w:eastAsia="Times New Roman"/>
              </w:rPr>
              <w:t>0.29 (0.18-0.46)</w:t>
            </w:r>
          </w:p>
        </w:tc>
      </w:tr>
      <w:tr w:rsidR="009E3A88" w14:paraId="2ABE2490" w14:textId="77777777" w:rsidTr="004E6B7A">
        <w:tblPrEx>
          <w:tblCellMar>
            <w:top w:w="0" w:type="dxa"/>
            <w:left w:w="108" w:type="dxa"/>
            <w:bottom w:w="0" w:type="dxa"/>
            <w:right w:w="108" w:type="dxa"/>
          </w:tblCellMar>
        </w:tblPrEx>
        <w:trPr>
          <w:divId w:val="1733383155"/>
        </w:trPr>
        <w:tc>
          <w:tcPr>
            <w:tcW w:w="0" w:type="auto"/>
            <w:hideMark/>
          </w:tcPr>
          <w:p w14:paraId="72EB9DF5" w14:textId="77777777" w:rsidR="009E3A88" w:rsidRDefault="009E3A88">
            <w:pPr>
              <w:rPr>
                <w:rFonts w:eastAsia="Times New Roman"/>
                <w:sz w:val="24"/>
                <w:szCs w:val="24"/>
              </w:rPr>
            </w:pPr>
            <w:r>
              <w:rPr>
                <w:rFonts w:eastAsia="Times New Roman"/>
              </w:rPr>
              <w:t>18-59 months</w:t>
            </w:r>
          </w:p>
        </w:tc>
        <w:tc>
          <w:tcPr>
            <w:tcW w:w="0" w:type="auto"/>
            <w:hideMark/>
          </w:tcPr>
          <w:p w14:paraId="5417A5AE" w14:textId="77777777" w:rsidR="009E3A88" w:rsidRDefault="009E3A88">
            <w:pPr>
              <w:rPr>
                <w:rFonts w:eastAsia="Times New Roman"/>
                <w:sz w:val="24"/>
                <w:szCs w:val="24"/>
              </w:rPr>
            </w:pPr>
            <w:r>
              <w:rPr>
                <w:rFonts w:eastAsia="Times New Roman"/>
              </w:rPr>
              <w:t>64</w:t>
            </w:r>
          </w:p>
        </w:tc>
        <w:tc>
          <w:tcPr>
            <w:tcW w:w="0" w:type="auto"/>
            <w:hideMark/>
          </w:tcPr>
          <w:p w14:paraId="2A3BF0C9" w14:textId="77777777" w:rsidR="009E3A88" w:rsidRDefault="009E3A88">
            <w:pPr>
              <w:rPr>
                <w:rFonts w:eastAsia="Times New Roman"/>
                <w:sz w:val="24"/>
                <w:szCs w:val="24"/>
              </w:rPr>
            </w:pPr>
            <w:r>
              <w:rPr>
                <w:rFonts w:eastAsia="Times New Roman"/>
              </w:rPr>
              <w:t>38.1 (29.8-48.7)</w:t>
            </w:r>
          </w:p>
        </w:tc>
        <w:tc>
          <w:tcPr>
            <w:tcW w:w="0" w:type="auto"/>
            <w:hideMark/>
          </w:tcPr>
          <w:p w14:paraId="58910A10" w14:textId="77777777" w:rsidR="009E3A88" w:rsidRDefault="009E3A88">
            <w:pPr>
              <w:rPr>
                <w:rFonts w:eastAsia="Times New Roman"/>
                <w:sz w:val="24"/>
                <w:szCs w:val="24"/>
              </w:rPr>
            </w:pPr>
            <w:r>
              <w:rPr>
                <w:rFonts w:eastAsia="Times New Roman"/>
              </w:rPr>
              <w:t>9</w:t>
            </w:r>
          </w:p>
        </w:tc>
        <w:tc>
          <w:tcPr>
            <w:tcW w:w="0" w:type="auto"/>
            <w:hideMark/>
          </w:tcPr>
          <w:p w14:paraId="4F3BE6BF" w14:textId="77777777" w:rsidR="009E3A88" w:rsidRDefault="009E3A88">
            <w:pPr>
              <w:rPr>
                <w:rFonts w:eastAsia="Times New Roman"/>
                <w:sz w:val="24"/>
                <w:szCs w:val="24"/>
              </w:rPr>
            </w:pPr>
            <w:r>
              <w:rPr>
                <w:rFonts w:eastAsia="Times New Roman"/>
              </w:rPr>
              <w:t>4.3 (1.7-11.0)</w:t>
            </w:r>
          </w:p>
        </w:tc>
        <w:tc>
          <w:tcPr>
            <w:tcW w:w="0" w:type="auto"/>
            <w:hideMark/>
          </w:tcPr>
          <w:p w14:paraId="48100C8C" w14:textId="77777777" w:rsidR="009E3A88" w:rsidRDefault="009E3A88">
            <w:pPr>
              <w:rPr>
                <w:rFonts w:eastAsia="Times New Roman"/>
                <w:sz w:val="24"/>
                <w:szCs w:val="24"/>
              </w:rPr>
            </w:pPr>
            <w:r>
              <w:rPr>
                <w:rFonts w:eastAsia="Times New Roman"/>
              </w:rPr>
              <w:t>0.11 (0.06-0.22)</w:t>
            </w:r>
          </w:p>
        </w:tc>
      </w:tr>
      <w:tr w:rsidR="009E3A88" w14:paraId="1125FB8D" w14:textId="77777777" w:rsidTr="004E6B7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733383155"/>
        </w:trPr>
        <w:tc>
          <w:tcPr>
            <w:tcW w:w="0" w:type="auto"/>
            <w:hideMark/>
          </w:tcPr>
          <w:p w14:paraId="5B8D69A6" w14:textId="77777777" w:rsidR="009E3A88" w:rsidRDefault="009E3A88">
            <w:pPr>
              <w:rPr>
                <w:rFonts w:eastAsia="Times New Roman"/>
                <w:sz w:val="24"/>
                <w:szCs w:val="24"/>
              </w:rPr>
            </w:pPr>
            <w:r>
              <w:rPr>
                <w:rFonts w:eastAsia="Times New Roman"/>
              </w:rPr>
              <w:t>5-9 years</w:t>
            </w:r>
          </w:p>
        </w:tc>
        <w:tc>
          <w:tcPr>
            <w:tcW w:w="0" w:type="auto"/>
            <w:hideMark/>
          </w:tcPr>
          <w:p w14:paraId="5B1AEE21" w14:textId="77777777" w:rsidR="009E3A88" w:rsidRDefault="009E3A88">
            <w:pPr>
              <w:rPr>
                <w:rFonts w:eastAsia="Times New Roman"/>
                <w:sz w:val="24"/>
                <w:szCs w:val="24"/>
              </w:rPr>
            </w:pPr>
            <w:r>
              <w:rPr>
                <w:rFonts w:eastAsia="Times New Roman"/>
              </w:rPr>
              <w:t>38</w:t>
            </w:r>
          </w:p>
        </w:tc>
        <w:tc>
          <w:tcPr>
            <w:tcW w:w="0" w:type="auto"/>
            <w:hideMark/>
          </w:tcPr>
          <w:p w14:paraId="332E4640" w14:textId="77777777" w:rsidR="009E3A88" w:rsidRDefault="009E3A88">
            <w:pPr>
              <w:rPr>
                <w:rFonts w:eastAsia="Times New Roman"/>
                <w:sz w:val="24"/>
                <w:szCs w:val="24"/>
              </w:rPr>
            </w:pPr>
            <w:r>
              <w:rPr>
                <w:rFonts w:eastAsia="Times New Roman"/>
              </w:rPr>
              <w:t>15.6 (11.4-21.4)</w:t>
            </w:r>
          </w:p>
        </w:tc>
        <w:tc>
          <w:tcPr>
            <w:tcW w:w="0" w:type="auto"/>
            <w:hideMark/>
          </w:tcPr>
          <w:p w14:paraId="1149CC0F" w14:textId="77777777" w:rsidR="009E3A88" w:rsidRDefault="009E3A88">
            <w:pPr>
              <w:rPr>
                <w:rFonts w:eastAsia="Times New Roman"/>
                <w:sz w:val="24"/>
                <w:szCs w:val="24"/>
              </w:rPr>
            </w:pPr>
            <w:r>
              <w:rPr>
                <w:rFonts w:eastAsia="Times New Roman"/>
              </w:rPr>
              <w:t>11</w:t>
            </w:r>
          </w:p>
        </w:tc>
        <w:tc>
          <w:tcPr>
            <w:tcW w:w="0" w:type="auto"/>
            <w:hideMark/>
          </w:tcPr>
          <w:p w14:paraId="572627E0" w14:textId="77777777" w:rsidR="009E3A88" w:rsidRDefault="009E3A88">
            <w:pPr>
              <w:rPr>
                <w:rFonts w:eastAsia="Times New Roman"/>
                <w:sz w:val="24"/>
                <w:szCs w:val="24"/>
              </w:rPr>
            </w:pPr>
            <w:r>
              <w:rPr>
                <w:rFonts w:eastAsia="Times New Roman"/>
              </w:rPr>
              <w:t>3.5 (1.9-6.2)</w:t>
            </w:r>
          </w:p>
        </w:tc>
        <w:tc>
          <w:tcPr>
            <w:tcW w:w="0" w:type="auto"/>
            <w:hideMark/>
          </w:tcPr>
          <w:p w14:paraId="6DD4A0B4" w14:textId="77777777" w:rsidR="009E3A88" w:rsidRDefault="009E3A88">
            <w:pPr>
              <w:rPr>
                <w:rFonts w:eastAsia="Times New Roman"/>
                <w:sz w:val="24"/>
                <w:szCs w:val="24"/>
              </w:rPr>
            </w:pPr>
            <w:r>
              <w:rPr>
                <w:rFonts w:eastAsia="Times New Roman"/>
              </w:rPr>
              <w:t>0.22 (0.11-0.43)</w:t>
            </w:r>
          </w:p>
        </w:tc>
      </w:tr>
      <w:tr w:rsidR="009E3A88" w14:paraId="17D37FC3" w14:textId="77777777" w:rsidTr="004E6B7A">
        <w:tblPrEx>
          <w:tblCellMar>
            <w:top w:w="0" w:type="dxa"/>
            <w:left w:w="108" w:type="dxa"/>
            <w:bottom w:w="0" w:type="dxa"/>
            <w:right w:w="108" w:type="dxa"/>
          </w:tblCellMar>
        </w:tblPrEx>
        <w:trPr>
          <w:divId w:val="1733383155"/>
        </w:trPr>
        <w:tc>
          <w:tcPr>
            <w:tcW w:w="0" w:type="auto"/>
            <w:hideMark/>
          </w:tcPr>
          <w:p w14:paraId="793001E6" w14:textId="77777777" w:rsidR="009E3A88" w:rsidRDefault="009E3A88">
            <w:pPr>
              <w:rPr>
                <w:rFonts w:eastAsia="Times New Roman"/>
                <w:sz w:val="24"/>
                <w:szCs w:val="24"/>
              </w:rPr>
            </w:pPr>
            <w:r>
              <w:rPr>
                <w:rFonts w:eastAsia="Times New Roman"/>
              </w:rPr>
              <w:t>10-14 years</w:t>
            </w:r>
          </w:p>
        </w:tc>
        <w:tc>
          <w:tcPr>
            <w:tcW w:w="0" w:type="auto"/>
            <w:hideMark/>
          </w:tcPr>
          <w:p w14:paraId="41C5BECE" w14:textId="77777777" w:rsidR="009E3A88" w:rsidRDefault="009E3A88">
            <w:pPr>
              <w:rPr>
                <w:rFonts w:eastAsia="Times New Roman"/>
                <w:sz w:val="24"/>
                <w:szCs w:val="24"/>
              </w:rPr>
            </w:pPr>
            <w:r>
              <w:rPr>
                <w:rFonts w:eastAsia="Times New Roman"/>
              </w:rPr>
              <w:t>9</w:t>
            </w:r>
          </w:p>
        </w:tc>
        <w:tc>
          <w:tcPr>
            <w:tcW w:w="0" w:type="auto"/>
            <w:hideMark/>
          </w:tcPr>
          <w:p w14:paraId="5A35AE31" w14:textId="77777777" w:rsidR="009E3A88" w:rsidRDefault="009E3A88">
            <w:pPr>
              <w:rPr>
                <w:rFonts w:eastAsia="Times New Roman"/>
                <w:sz w:val="24"/>
                <w:szCs w:val="24"/>
              </w:rPr>
            </w:pPr>
            <w:r>
              <w:rPr>
                <w:rFonts w:eastAsia="Times New Roman"/>
              </w:rPr>
              <w:t>4.2 (1.7-10.8)</w:t>
            </w:r>
          </w:p>
        </w:tc>
        <w:tc>
          <w:tcPr>
            <w:tcW w:w="0" w:type="auto"/>
            <w:hideMark/>
          </w:tcPr>
          <w:p w14:paraId="586860F8" w14:textId="77777777" w:rsidR="009E3A88" w:rsidRDefault="009E3A88">
            <w:pPr>
              <w:rPr>
                <w:rFonts w:eastAsia="Times New Roman"/>
                <w:sz w:val="24"/>
                <w:szCs w:val="24"/>
              </w:rPr>
            </w:pPr>
            <w:r>
              <w:rPr>
                <w:rFonts w:eastAsia="Times New Roman"/>
              </w:rPr>
              <w:t>19</w:t>
            </w:r>
          </w:p>
        </w:tc>
        <w:tc>
          <w:tcPr>
            <w:tcW w:w="0" w:type="auto"/>
            <w:hideMark/>
          </w:tcPr>
          <w:p w14:paraId="375CFBC3" w14:textId="77777777" w:rsidR="009E3A88" w:rsidRDefault="009E3A88">
            <w:pPr>
              <w:rPr>
                <w:rFonts w:eastAsia="Times New Roman"/>
                <w:sz w:val="24"/>
                <w:szCs w:val="24"/>
              </w:rPr>
            </w:pPr>
            <w:r>
              <w:rPr>
                <w:rFonts w:eastAsia="Times New Roman"/>
              </w:rPr>
              <w:t>6.2 (4.0-10.0)</w:t>
            </w:r>
          </w:p>
        </w:tc>
        <w:tc>
          <w:tcPr>
            <w:tcW w:w="0" w:type="auto"/>
            <w:hideMark/>
          </w:tcPr>
          <w:p w14:paraId="05333060" w14:textId="77777777" w:rsidR="009E3A88" w:rsidRDefault="009E3A88">
            <w:pPr>
              <w:rPr>
                <w:rFonts w:eastAsia="Times New Roman"/>
                <w:sz w:val="24"/>
                <w:szCs w:val="24"/>
              </w:rPr>
            </w:pPr>
            <w:r>
              <w:rPr>
                <w:rFonts w:eastAsia="Times New Roman"/>
              </w:rPr>
              <w:t>1.49 (0.66-3.33)</w:t>
            </w:r>
          </w:p>
        </w:tc>
      </w:tr>
      <w:tr w:rsidR="009E3A88" w14:paraId="5E5C878E" w14:textId="77777777" w:rsidTr="004E6B7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733383155"/>
        </w:trPr>
        <w:tc>
          <w:tcPr>
            <w:tcW w:w="0" w:type="auto"/>
            <w:hideMark/>
          </w:tcPr>
          <w:p w14:paraId="27D907C0" w14:textId="77777777" w:rsidR="009E3A88" w:rsidRDefault="009E3A88">
            <w:pPr>
              <w:rPr>
                <w:rFonts w:eastAsia="Times New Roman"/>
                <w:sz w:val="24"/>
                <w:szCs w:val="24"/>
              </w:rPr>
            </w:pPr>
            <w:r>
              <w:rPr>
                <w:rFonts w:eastAsia="Times New Roman"/>
              </w:rPr>
              <w:t>15-19 years</w:t>
            </w:r>
          </w:p>
        </w:tc>
        <w:tc>
          <w:tcPr>
            <w:tcW w:w="0" w:type="auto"/>
            <w:hideMark/>
          </w:tcPr>
          <w:p w14:paraId="4C0B1529" w14:textId="77777777" w:rsidR="009E3A88" w:rsidRDefault="009E3A88">
            <w:pPr>
              <w:rPr>
                <w:rFonts w:eastAsia="Times New Roman"/>
                <w:sz w:val="24"/>
                <w:szCs w:val="24"/>
              </w:rPr>
            </w:pPr>
            <w:r>
              <w:rPr>
                <w:rFonts w:eastAsia="Times New Roman"/>
              </w:rPr>
              <w:t>4</w:t>
            </w:r>
          </w:p>
        </w:tc>
        <w:tc>
          <w:tcPr>
            <w:tcW w:w="0" w:type="auto"/>
            <w:hideMark/>
          </w:tcPr>
          <w:p w14:paraId="60379983" w14:textId="77777777" w:rsidR="009E3A88" w:rsidRDefault="009E3A88">
            <w:pPr>
              <w:rPr>
                <w:rFonts w:eastAsia="Times New Roman"/>
                <w:sz w:val="24"/>
                <w:szCs w:val="24"/>
              </w:rPr>
            </w:pPr>
            <w:r>
              <w:rPr>
                <w:rFonts w:eastAsia="Times New Roman"/>
              </w:rPr>
              <w:t>2.2 (0-5.8)</w:t>
            </w:r>
          </w:p>
        </w:tc>
        <w:tc>
          <w:tcPr>
            <w:tcW w:w="0" w:type="auto"/>
            <w:hideMark/>
          </w:tcPr>
          <w:p w14:paraId="50092BB4" w14:textId="77777777" w:rsidR="009E3A88" w:rsidRDefault="009E3A88">
            <w:pPr>
              <w:rPr>
                <w:rFonts w:eastAsia="Times New Roman"/>
                <w:sz w:val="24"/>
                <w:szCs w:val="24"/>
              </w:rPr>
            </w:pPr>
            <w:r>
              <w:rPr>
                <w:rFonts w:eastAsia="Times New Roman"/>
              </w:rPr>
              <w:t>7</w:t>
            </w:r>
          </w:p>
        </w:tc>
        <w:tc>
          <w:tcPr>
            <w:tcW w:w="0" w:type="auto"/>
            <w:hideMark/>
          </w:tcPr>
          <w:p w14:paraId="0ADE6E90" w14:textId="77777777" w:rsidR="009E3A88" w:rsidRDefault="009E3A88">
            <w:pPr>
              <w:rPr>
                <w:rFonts w:eastAsia="Times New Roman"/>
                <w:sz w:val="24"/>
                <w:szCs w:val="24"/>
              </w:rPr>
            </w:pPr>
            <w:r>
              <w:rPr>
                <w:rFonts w:eastAsia="Times New Roman"/>
              </w:rPr>
              <w:t>2.5 (0-6.6)</w:t>
            </w:r>
          </w:p>
        </w:tc>
        <w:tc>
          <w:tcPr>
            <w:tcW w:w="0" w:type="auto"/>
            <w:hideMark/>
          </w:tcPr>
          <w:p w14:paraId="12443972" w14:textId="77777777" w:rsidR="009E3A88" w:rsidRDefault="009E3A88">
            <w:pPr>
              <w:rPr>
                <w:rFonts w:eastAsia="Times New Roman"/>
                <w:sz w:val="24"/>
                <w:szCs w:val="24"/>
              </w:rPr>
            </w:pPr>
            <w:r>
              <w:rPr>
                <w:rFonts w:eastAsia="Times New Roman"/>
              </w:rPr>
              <w:t>1.17 (0.29-4.71)</w:t>
            </w:r>
          </w:p>
        </w:tc>
      </w:tr>
      <w:tr w:rsidR="009E3A88" w14:paraId="6B460030" w14:textId="77777777" w:rsidTr="004E6B7A">
        <w:tblPrEx>
          <w:tblCellMar>
            <w:top w:w="0" w:type="dxa"/>
            <w:left w:w="108" w:type="dxa"/>
            <w:bottom w:w="0" w:type="dxa"/>
            <w:right w:w="108" w:type="dxa"/>
          </w:tblCellMar>
        </w:tblPrEx>
        <w:trPr>
          <w:divId w:val="1733383155"/>
        </w:trPr>
        <w:tc>
          <w:tcPr>
            <w:tcW w:w="0" w:type="auto"/>
            <w:hideMark/>
          </w:tcPr>
          <w:p w14:paraId="1EC934D2" w14:textId="77777777" w:rsidR="009E3A88" w:rsidRDefault="009E3A88">
            <w:pPr>
              <w:rPr>
                <w:rFonts w:eastAsia="Times New Roman"/>
                <w:sz w:val="24"/>
                <w:szCs w:val="24"/>
              </w:rPr>
            </w:pPr>
            <w:r>
              <w:rPr>
                <w:rFonts w:eastAsia="Times New Roman"/>
              </w:rPr>
              <w:t>20-29 years</w:t>
            </w:r>
          </w:p>
        </w:tc>
        <w:tc>
          <w:tcPr>
            <w:tcW w:w="0" w:type="auto"/>
            <w:hideMark/>
          </w:tcPr>
          <w:p w14:paraId="27FC14C9" w14:textId="77777777" w:rsidR="009E3A88" w:rsidRDefault="009E3A88">
            <w:pPr>
              <w:rPr>
                <w:rFonts w:eastAsia="Times New Roman"/>
                <w:sz w:val="24"/>
                <w:szCs w:val="24"/>
              </w:rPr>
            </w:pPr>
            <w:r>
              <w:rPr>
                <w:rFonts w:eastAsia="Times New Roman"/>
              </w:rPr>
              <w:t>13</w:t>
            </w:r>
          </w:p>
        </w:tc>
        <w:tc>
          <w:tcPr>
            <w:tcW w:w="0" w:type="auto"/>
            <w:hideMark/>
          </w:tcPr>
          <w:p w14:paraId="0CB63B37" w14:textId="77777777" w:rsidR="009E3A88" w:rsidRDefault="009E3A88">
            <w:pPr>
              <w:rPr>
                <w:rFonts w:eastAsia="Times New Roman"/>
                <w:sz w:val="24"/>
                <w:szCs w:val="24"/>
              </w:rPr>
            </w:pPr>
            <w:r>
              <w:rPr>
                <w:rFonts w:eastAsia="Times New Roman"/>
              </w:rPr>
              <w:t>4.3 (2.5-9.3)</w:t>
            </w:r>
          </w:p>
        </w:tc>
        <w:tc>
          <w:tcPr>
            <w:tcW w:w="0" w:type="auto"/>
            <w:hideMark/>
          </w:tcPr>
          <w:p w14:paraId="460A5870" w14:textId="77777777" w:rsidR="009E3A88" w:rsidRDefault="009E3A88">
            <w:pPr>
              <w:rPr>
                <w:rFonts w:eastAsia="Times New Roman"/>
                <w:sz w:val="24"/>
                <w:szCs w:val="24"/>
              </w:rPr>
            </w:pPr>
            <w:r>
              <w:rPr>
                <w:rFonts w:eastAsia="Times New Roman"/>
              </w:rPr>
              <w:t>6</w:t>
            </w:r>
          </w:p>
        </w:tc>
        <w:tc>
          <w:tcPr>
            <w:tcW w:w="0" w:type="auto"/>
            <w:hideMark/>
          </w:tcPr>
          <w:p w14:paraId="15EFA804" w14:textId="77777777" w:rsidR="009E3A88" w:rsidRDefault="009E3A88">
            <w:pPr>
              <w:rPr>
                <w:rFonts w:eastAsia="Times New Roman"/>
                <w:sz w:val="24"/>
                <w:szCs w:val="24"/>
              </w:rPr>
            </w:pPr>
            <w:r>
              <w:rPr>
                <w:rFonts w:eastAsia="Times New Roman"/>
              </w:rPr>
              <w:t>1.4 (0-3.0)</w:t>
            </w:r>
          </w:p>
        </w:tc>
        <w:tc>
          <w:tcPr>
            <w:tcW w:w="0" w:type="auto"/>
            <w:hideMark/>
          </w:tcPr>
          <w:p w14:paraId="260D6770" w14:textId="77777777" w:rsidR="009E3A88" w:rsidRDefault="009E3A88">
            <w:pPr>
              <w:rPr>
                <w:rFonts w:eastAsia="Times New Roman"/>
                <w:sz w:val="24"/>
                <w:szCs w:val="24"/>
              </w:rPr>
            </w:pPr>
            <w:r>
              <w:rPr>
                <w:rFonts w:eastAsia="Times New Roman"/>
              </w:rPr>
              <w:t>0.32 (0.12-0.84)</w:t>
            </w:r>
          </w:p>
        </w:tc>
      </w:tr>
      <w:tr w:rsidR="009E3A88" w14:paraId="7D168D89" w14:textId="77777777" w:rsidTr="004E6B7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733383155"/>
        </w:trPr>
        <w:tc>
          <w:tcPr>
            <w:tcW w:w="0" w:type="auto"/>
            <w:hideMark/>
          </w:tcPr>
          <w:p w14:paraId="77821CBB" w14:textId="77777777" w:rsidR="009E3A88" w:rsidRDefault="009E3A88">
            <w:pPr>
              <w:rPr>
                <w:rFonts w:eastAsia="Times New Roman"/>
                <w:sz w:val="24"/>
                <w:szCs w:val="24"/>
              </w:rPr>
            </w:pPr>
            <w:r>
              <w:rPr>
                <w:rFonts w:eastAsia="Times New Roman"/>
              </w:rPr>
              <w:t>30-39 years</w:t>
            </w:r>
          </w:p>
        </w:tc>
        <w:tc>
          <w:tcPr>
            <w:tcW w:w="0" w:type="auto"/>
            <w:hideMark/>
          </w:tcPr>
          <w:p w14:paraId="55953655" w14:textId="77777777" w:rsidR="009E3A88" w:rsidRDefault="009E3A88">
            <w:pPr>
              <w:rPr>
                <w:rFonts w:eastAsia="Times New Roman"/>
                <w:sz w:val="24"/>
                <w:szCs w:val="24"/>
              </w:rPr>
            </w:pPr>
            <w:r>
              <w:rPr>
                <w:rFonts w:eastAsia="Times New Roman"/>
              </w:rPr>
              <w:t>7</w:t>
            </w:r>
          </w:p>
        </w:tc>
        <w:tc>
          <w:tcPr>
            <w:tcW w:w="0" w:type="auto"/>
            <w:hideMark/>
          </w:tcPr>
          <w:p w14:paraId="58523338" w14:textId="77777777" w:rsidR="009E3A88" w:rsidRDefault="009E3A88">
            <w:pPr>
              <w:rPr>
                <w:rFonts w:eastAsia="Times New Roman"/>
                <w:sz w:val="24"/>
                <w:szCs w:val="24"/>
              </w:rPr>
            </w:pPr>
            <w:r>
              <w:rPr>
                <w:rFonts w:eastAsia="Times New Roman"/>
              </w:rPr>
              <w:t>2.6 (1.2-5.4)</w:t>
            </w:r>
          </w:p>
        </w:tc>
        <w:tc>
          <w:tcPr>
            <w:tcW w:w="0" w:type="auto"/>
            <w:hideMark/>
          </w:tcPr>
          <w:p w14:paraId="6483CB1A" w14:textId="77777777" w:rsidR="009E3A88" w:rsidRDefault="009E3A88">
            <w:pPr>
              <w:rPr>
                <w:rFonts w:eastAsia="Times New Roman"/>
                <w:sz w:val="24"/>
                <w:szCs w:val="24"/>
              </w:rPr>
            </w:pPr>
            <w:r>
              <w:rPr>
                <w:rFonts w:eastAsia="Times New Roman"/>
              </w:rPr>
              <w:t>10</w:t>
            </w:r>
          </w:p>
        </w:tc>
        <w:tc>
          <w:tcPr>
            <w:tcW w:w="0" w:type="auto"/>
            <w:hideMark/>
          </w:tcPr>
          <w:p w14:paraId="2F138388" w14:textId="77777777" w:rsidR="009E3A88" w:rsidRDefault="009E3A88">
            <w:pPr>
              <w:rPr>
                <w:rFonts w:eastAsia="Times New Roman"/>
                <w:sz w:val="24"/>
                <w:szCs w:val="24"/>
              </w:rPr>
            </w:pPr>
            <w:r>
              <w:rPr>
                <w:rFonts w:eastAsia="Times New Roman"/>
              </w:rPr>
              <w:t>2.9 (1.4-6.1)</w:t>
            </w:r>
          </w:p>
        </w:tc>
        <w:tc>
          <w:tcPr>
            <w:tcW w:w="0" w:type="auto"/>
            <w:hideMark/>
          </w:tcPr>
          <w:p w14:paraId="1AA9BF24" w14:textId="77777777" w:rsidR="009E3A88" w:rsidRDefault="009E3A88">
            <w:pPr>
              <w:rPr>
                <w:rFonts w:eastAsia="Times New Roman"/>
                <w:sz w:val="24"/>
                <w:szCs w:val="24"/>
              </w:rPr>
            </w:pPr>
            <w:r>
              <w:rPr>
                <w:rFonts w:eastAsia="Times New Roman"/>
              </w:rPr>
              <w:t>1.12 (0.39-3.24)</w:t>
            </w:r>
          </w:p>
        </w:tc>
      </w:tr>
      <w:tr w:rsidR="009E3A88" w14:paraId="7646CFB5" w14:textId="77777777" w:rsidTr="004E6B7A">
        <w:tblPrEx>
          <w:tblCellMar>
            <w:top w:w="0" w:type="dxa"/>
            <w:left w:w="108" w:type="dxa"/>
            <w:bottom w:w="0" w:type="dxa"/>
            <w:right w:w="108" w:type="dxa"/>
          </w:tblCellMar>
        </w:tblPrEx>
        <w:trPr>
          <w:divId w:val="1733383155"/>
        </w:trPr>
        <w:tc>
          <w:tcPr>
            <w:tcW w:w="0" w:type="auto"/>
            <w:hideMark/>
          </w:tcPr>
          <w:p w14:paraId="6540A938" w14:textId="77777777" w:rsidR="009E3A88" w:rsidRDefault="009E3A88">
            <w:pPr>
              <w:rPr>
                <w:rFonts w:eastAsia="Times New Roman"/>
                <w:sz w:val="24"/>
                <w:szCs w:val="24"/>
              </w:rPr>
            </w:pPr>
            <w:r>
              <w:rPr>
                <w:rFonts w:eastAsia="Times New Roman"/>
              </w:rPr>
              <w:t>≥40 years</w:t>
            </w:r>
          </w:p>
        </w:tc>
        <w:tc>
          <w:tcPr>
            <w:tcW w:w="0" w:type="auto"/>
            <w:hideMark/>
          </w:tcPr>
          <w:p w14:paraId="7CA8AB46" w14:textId="77777777" w:rsidR="009E3A88" w:rsidRDefault="009E3A88">
            <w:pPr>
              <w:rPr>
                <w:rFonts w:eastAsia="Times New Roman"/>
                <w:sz w:val="24"/>
                <w:szCs w:val="24"/>
              </w:rPr>
            </w:pPr>
            <w:r>
              <w:rPr>
                <w:rFonts w:eastAsia="Times New Roman"/>
              </w:rPr>
              <w:t>8</w:t>
            </w:r>
          </w:p>
        </w:tc>
        <w:tc>
          <w:tcPr>
            <w:tcW w:w="0" w:type="auto"/>
            <w:hideMark/>
          </w:tcPr>
          <w:p w14:paraId="6DBF85C7" w14:textId="77777777" w:rsidR="009E3A88" w:rsidRDefault="009E3A88">
            <w:pPr>
              <w:rPr>
                <w:rFonts w:eastAsia="Times New Roman"/>
                <w:sz w:val="24"/>
                <w:szCs w:val="24"/>
              </w:rPr>
            </w:pPr>
            <w:r>
              <w:rPr>
                <w:rFonts w:eastAsia="Times New Roman"/>
              </w:rPr>
              <w:t>2.9 (1.1-4.4)</w:t>
            </w:r>
          </w:p>
        </w:tc>
        <w:tc>
          <w:tcPr>
            <w:tcW w:w="0" w:type="auto"/>
            <w:hideMark/>
          </w:tcPr>
          <w:p w14:paraId="677C0C1E" w14:textId="77777777" w:rsidR="009E3A88" w:rsidRDefault="009E3A88">
            <w:pPr>
              <w:rPr>
                <w:rFonts w:eastAsia="Times New Roman"/>
                <w:sz w:val="24"/>
                <w:szCs w:val="24"/>
              </w:rPr>
            </w:pPr>
            <w:r>
              <w:rPr>
                <w:rFonts w:eastAsia="Times New Roman"/>
              </w:rPr>
              <w:t>12</w:t>
            </w:r>
          </w:p>
        </w:tc>
        <w:tc>
          <w:tcPr>
            <w:tcW w:w="0" w:type="auto"/>
            <w:hideMark/>
          </w:tcPr>
          <w:p w14:paraId="1CE9B93C" w14:textId="77777777" w:rsidR="009E3A88" w:rsidRDefault="009E3A88">
            <w:pPr>
              <w:rPr>
                <w:rFonts w:eastAsia="Times New Roman"/>
                <w:sz w:val="24"/>
                <w:szCs w:val="24"/>
              </w:rPr>
            </w:pPr>
            <w:r>
              <w:rPr>
                <w:rFonts w:eastAsia="Times New Roman"/>
              </w:rPr>
              <w:t>2.0 (1.0-3.8)</w:t>
            </w:r>
          </w:p>
        </w:tc>
        <w:tc>
          <w:tcPr>
            <w:tcW w:w="0" w:type="auto"/>
            <w:hideMark/>
          </w:tcPr>
          <w:p w14:paraId="4D740092" w14:textId="77777777" w:rsidR="009E3A88" w:rsidRDefault="009E3A88">
            <w:pPr>
              <w:rPr>
                <w:rFonts w:eastAsia="Times New Roman"/>
                <w:sz w:val="24"/>
                <w:szCs w:val="24"/>
              </w:rPr>
            </w:pPr>
            <w:r>
              <w:rPr>
                <w:rFonts w:eastAsia="Times New Roman"/>
              </w:rPr>
              <w:t>0.90 (0.36-2.24)</w:t>
            </w:r>
          </w:p>
        </w:tc>
      </w:tr>
      <w:tr w:rsidR="009E3A88" w14:paraId="648759E4" w14:textId="77777777" w:rsidTr="004E6B7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733383155"/>
        </w:trPr>
        <w:tc>
          <w:tcPr>
            <w:tcW w:w="0" w:type="auto"/>
            <w:shd w:val="clear" w:color="auto" w:fill="FDE9D9" w:themeFill="accent6" w:themeFillTint="33"/>
            <w:hideMark/>
          </w:tcPr>
          <w:p w14:paraId="159B3776" w14:textId="77777777" w:rsidR="009E3A88" w:rsidRDefault="009E3A88">
            <w:pPr>
              <w:rPr>
                <w:rFonts w:eastAsia="Times New Roman"/>
                <w:sz w:val="24"/>
                <w:szCs w:val="24"/>
              </w:rPr>
            </w:pPr>
            <w:r>
              <w:rPr>
                <w:rFonts w:eastAsia="Times New Roman"/>
              </w:rPr>
              <w:t>All ages</w:t>
            </w:r>
          </w:p>
        </w:tc>
        <w:tc>
          <w:tcPr>
            <w:tcW w:w="0" w:type="auto"/>
            <w:shd w:val="clear" w:color="auto" w:fill="FDE9D9" w:themeFill="accent6" w:themeFillTint="33"/>
            <w:hideMark/>
          </w:tcPr>
          <w:p w14:paraId="7EAB6223" w14:textId="77777777" w:rsidR="009E3A88" w:rsidRDefault="009E3A88">
            <w:pPr>
              <w:rPr>
                <w:rFonts w:eastAsia="Times New Roman"/>
                <w:sz w:val="24"/>
                <w:szCs w:val="24"/>
              </w:rPr>
            </w:pPr>
            <w:r>
              <w:rPr>
                <w:rFonts w:eastAsia="Times New Roman"/>
              </w:rPr>
              <w:t>212</w:t>
            </w:r>
          </w:p>
        </w:tc>
        <w:tc>
          <w:tcPr>
            <w:tcW w:w="0" w:type="auto"/>
            <w:shd w:val="clear" w:color="auto" w:fill="FDE9D9" w:themeFill="accent6" w:themeFillTint="33"/>
            <w:hideMark/>
          </w:tcPr>
          <w:p w14:paraId="0FE0C25E" w14:textId="77777777" w:rsidR="009E3A88" w:rsidRDefault="009E3A88">
            <w:pPr>
              <w:rPr>
                <w:rFonts w:eastAsia="Times New Roman"/>
                <w:sz w:val="24"/>
                <w:szCs w:val="24"/>
              </w:rPr>
            </w:pPr>
            <w:r>
              <w:rPr>
                <w:rFonts w:eastAsia="Times New Roman"/>
              </w:rPr>
              <w:t>11.5 (10.0-13.1)</w:t>
            </w:r>
          </w:p>
        </w:tc>
        <w:tc>
          <w:tcPr>
            <w:tcW w:w="0" w:type="auto"/>
            <w:shd w:val="clear" w:color="auto" w:fill="FDE9D9" w:themeFill="accent6" w:themeFillTint="33"/>
            <w:hideMark/>
          </w:tcPr>
          <w:p w14:paraId="3C8D481F" w14:textId="77777777" w:rsidR="009E3A88" w:rsidRDefault="009E3A88">
            <w:pPr>
              <w:rPr>
                <w:rFonts w:eastAsia="Times New Roman"/>
                <w:sz w:val="24"/>
                <w:szCs w:val="24"/>
              </w:rPr>
            </w:pPr>
            <w:r>
              <w:rPr>
                <w:rFonts w:eastAsia="Times New Roman"/>
              </w:rPr>
              <w:t>99</w:t>
            </w:r>
          </w:p>
        </w:tc>
        <w:tc>
          <w:tcPr>
            <w:tcW w:w="0" w:type="auto"/>
            <w:shd w:val="clear" w:color="auto" w:fill="FDE9D9" w:themeFill="accent6" w:themeFillTint="33"/>
            <w:hideMark/>
          </w:tcPr>
          <w:p w14:paraId="13149B0A" w14:textId="77777777" w:rsidR="009E3A88" w:rsidRDefault="009E3A88">
            <w:pPr>
              <w:rPr>
                <w:rFonts w:eastAsia="Times New Roman"/>
                <w:sz w:val="24"/>
                <w:szCs w:val="24"/>
              </w:rPr>
            </w:pPr>
            <w:r>
              <w:rPr>
                <w:rFonts w:eastAsia="Times New Roman"/>
              </w:rPr>
              <w:t>3.8 (2.7-5.2)</w:t>
            </w:r>
          </w:p>
        </w:tc>
        <w:tc>
          <w:tcPr>
            <w:tcW w:w="0" w:type="auto"/>
            <w:shd w:val="clear" w:color="auto" w:fill="FDE9D9" w:themeFill="accent6" w:themeFillTint="33"/>
            <w:hideMark/>
          </w:tcPr>
          <w:p w14:paraId="188C96F1" w14:textId="77777777" w:rsidR="009E3A88" w:rsidRDefault="009E3A88">
            <w:pPr>
              <w:rPr>
                <w:rFonts w:eastAsia="Times New Roman"/>
                <w:sz w:val="24"/>
                <w:szCs w:val="24"/>
              </w:rPr>
            </w:pPr>
            <w:r>
              <w:rPr>
                <w:rFonts w:eastAsia="Times New Roman"/>
              </w:rPr>
              <w:t>0.33 (0.25-0.44)</w:t>
            </w:r>
          </w:p>
        </w:tc>
      </w:tr>
    </w:tbl>
    <w:p w14:paraId="37905E77" w14:textId="77777777" w:rsidR="009E3A88" w:rsidRDefault="009E3A88" w:rsidP="00530646">
      <w:pPr>
        <w:pStyle w:val="CDIfootnotes"/>
        <w:divId w:val="1733383155"/>
        <w:rPr>
          <w:rFonts w:eastAsia="Times New Roman"/>
        </w:rPr>
      </w:pPr>
      <w:r>
        <w:rPr>
          <w:rFonts w:eastAsia="Times New Roman"/>
          <w:vertAlign w:val="superscript"/>
        </w:rPr>
        <w:t>***</w:t>
      </w:r>
      <w:r>
        <w:rPr>
          <w:rFonts w:eastAsia="Times New Roman"/>
        </w:rPr>
        <w:t xml:space="preserve">Analyses restricted to Queensland, South Australia, Western </w:t>
      </w:r>
      <w:proofErr w:type="gramStart"/>
      <w:r>
        <w:rPr>
          <w:rFonts w:eastAsia="Times New Roman"/>
        </w:rPr>
        <w:t>Australia</w:t>
      </w:r>
      <w:proofErr w:type="gramEnd"/>
      <w:r>
        <w:rPr>
          <w:rFonts w:eastAsia="Times New Roman"/>
        </w:rPr>
        <w:t xml:space="preserve"> and the Northern Territory</w:t>
      </w:r>
      <w:r>
        <w:rPr>
          <w:rFonts w:eastAsia="Times New Roman"/>
        </w:rPr>
        <w:br/>
      </w:r>
      <w:r>
        <w:rPr>
          <w:rFonts w:eastAsia="Times New Roman"/>
          <w:vertAlign w:val="superscript"/>
        </w:rPr>
        <w:t>†††</w:t>
      </w:r>
      <w:r>
        <w:rPr>
          <w:rFonts w:eastAsia="Times New Roman"/>
        </w:rPr>
        <w:t>Age-specific hospitalisations identified using ICD-10-AM code B02.0-02.9</w:t>
      </w:r>
      <w:r>
        <w:rPr>
          <w:rFonts w:eastAsia="Times New Roman"/>
        </w:rPr>
        <w:br/>
      </w:r>
      <w:r>
        <w:rPr>
          <w:rFonts w:eastAsia="Times New Roman"/>
          <w:vertAlign w:val="superscript"/>
        </w:rPr>
        <w:t>‡‡‡</w:t>
      </w:r>
      <w:r>
        <w:rPr>
          <w:rFonts w:eastAsia="Times New Roman"/>
        </w:rPr>
        <w:t>Average annual hospitalisation rate per 100,000 population</w:t>
      </w:r>
      <w:r>
        <w:rPr>
          <w:rFonts w:eastAsia="Times New Roman"/>
        </w:rPr>
        <w:br/>
      </w:r>
      <w:r>
        <w:rPr>
          <w:rFonts w:eastAsia="Times New Roman"/>
          <w:vertAlign w:val="superscript"/>
        </w:rPr>
        <w:t>§§§</w:t>
      </w:r>
      <w:r>
        <w:rPr>
          <w:rFonts w:eastAsia="Times New Roman"/>
        </w:rPr>
        <w:t>Incidence rate ratio between hospitalisation rates during pre and post-varicella vaccine periods</w:t>
      </w:r>
    </w:p>
    <w:p w14:paraId="3884BE84" w14:textId="77777777" w:rsidR="009E3A88" w:rsidRDefault="009E3A88" w:rsidP="00530646">
      <w:r>
        <w:t>For Queensland, Western Australia, South Australia and the Northern Territory in the pre-vaccine period, the hospitalisation rate in Indigenous children aged 18-59 months was 36% higher compared to non-Indigenous children (IRR 1.36; 95% CI 1.01–1.83) but similar during the post-vaccine period (IRR 0.91; 95% CI 0.42–1.96). During the pre-vaccine period, Indigenous children aged ≤17 months were hospitalised at significantly higher rates compared to non-Indigenous people (IRR 1.69; 95% CI 1.30-2.19) (Figure 7A). However, during the post-vaccine period, varicella hospitalisation rates in Indigenous people aged ≤17 months were not significantly higher compared to non-Indigenous people (IRR 1.52;95% CI 0.99-2.33). Indigenous Australians had higher varicella hospitalisation rates compared to non-Indigenous Australians in all other age groups (Tables 2 and 4).</w:t>
      </w:r>
    </w:p>
    <w:p w14:paraId="578DAC23" w14:textId="77777777" w:rsidR="009E3A88" w:rsidRDefault="00330099">
      <w:pPr>
        <w:pStyle w:val="NormalWeb"/>
        <w:divId w:val="621422155"/>
      </w:pPr>
      <w:r w:rsidRPr="00330099">
        <w:rPr>
          <w:rStyle w:val="CDIFiguresChar"/>
        </w:rPr>
        <w:t>Figure 7: Incidence rate ratios for varicella (A)*and herpes zoster (B)**hospitalisation rates between Indigenous and non-Indigenous Australians by age groups, Australia, 1999- 2013</w:t>
      </w:r>
      <w:r w:rsidR="009E3A88">
        <w:rPr>
          <w:noProof/>
        </w:rPr>
        <w:drawing>
          <wp:inline distT="0" distB="0" distL="0" distR="0" wp14:anchorId="2982EFEB" wp14:editId="3BE0DE89">
            <wp:extent cx="5040000" cy="3505240"/>
            <wp:effectExtent l="0" t="0" r="8255" b="0"/>
            <wp:docPr id="23" name="Picture 23" descr="Figure 7a is a scatter plot showing incidence rate ratios comparing hospitalisation rates for varicella in Indigenous people with non-Indigenous people in Australia by age groups, before (1999-2004) and after (2007-2013) the introduction of a funded varicella vaccine under the National Immunisation Program in 2005.&#10;• Main impact of the national varicella immunisation program was observed in children aged 18-59 months, where in there was no significant difference between hospitalisation rates for Indigenous and non-Indigenous children after the introduction of the vaccine.&#10;" title="Figure 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Staging\CDESS\ZoFE\CDI\Desktopping\OpenCDI\OpenCDI-2018-volume\2-Sheel - Australian vaccine preventable disease\DOCx Export\table-web-resources\image\f7a.png"/>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5040000" cy="3505240"/>
                    </a:xfrm>
                    <a:prstGeom prst="rect">
                      <a:avLst/>
                    </a:prstGeom>
                    <a:noFill/>
                    <a:ln>
                      <a:noFill/>
                    </a:ln>
                  </pic:spPr>
                </pic:pic>
              </a:graphicData>
            </a:graphic>
          </wp:inline>
        </w:drawing>
      </w:r>
    </w:p>
    <w:p w14:paraId="7111A0EA" w14:textId="77777777" w:rsidR="009E3A88" w:rsidRPr="004455F6" w:rsidRDefault="009E3A88" w:rsidP="004455F6">
      <w:pPr>
        <w:pStyle w:val="NormalWeb"/>
        <w:jc w:val="center"/>
        <w:divId w:val="621422155"/>
        <w:rPr>
          <w:b/>
        </w:rPr>
      </w:pPr>
      <w:r w:rsidRPr="004455F6">
        <w:rPr>
          <w:b/>
        </w:rPr>
        <w:lastRenderedPageBreak/>
        <w:t>(A)</w:t>
      </w:r>
    </w:p>
    <w:p w14:paraId="4C5727EB" w14:textId="77777777" w:rsidR="009E3A88" w:rsidRDefault="009E3A88">
      <w:pPr>
        <w:pStyle w:val="NormalWeb"/>
        <w:divId w:val="621422155"/>
      </w:pPr>
      <w:r>
        <w:rPr>
          <w:noProof/>
        </w:rPr>
        <w:drawing>
          <wp:inline distT="0" distB="0" distL="0" distR="0" wp14:anchorId="1F3AE4F6" wp14:editId="1549AFE6">
            <wp:extent cx="5040000" cy="3507217"/>
            <wp:effectExtent l="0" t="0" r="8255" b="0"/>
            <wp:docPr id="24" name="Picture 24" descr="Figure 7b is a scatter plot showing incidence rate ratios comparing hospitalisation rates for herpes zoster in Indigenous people with non-Indigenous people in Australia by age groups for the years 2007-2011.&#10;• Of note was the significantly higher hospitalisation rates in Indigenous people compared to non-Indigenous people aged 50-59 years and 60-69 years. &#10;" title="Figure 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Staging\CDESS\ZoFE\CDI\Desktopping\OpenCDI\OpenCDI-2018-volume\2-Sheel - Australian vaccine preventable disease\DOCx Export\table-web-resources\image\f7b.png"/>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5040000" cy="3507217"/>
                    </a:xfrm>
                    <a:prstGeom prst="rect">
                      <a:avLst/>
                    </a:prstGeom>
                    <a:noFill/>
                    <a:ln>
                      <a:noFill/>
                    </a:ln>
                  </pic:spPr>
                </pic:pic>
              </a:graphicData>
            </a:graphic>
          </wp:inline>
        </w:drawing>
      </w:r>
    </w:p>
    <w:p w14:paraId="46A34666" w14:textId="77777777" w:rsidR="009E3A88" w:rsidRPr="004455F6" w:rsidRDefault="009E3A88" w:rsidP="004455F6">
      <w:pPr>
        <w:pStyle w:val="NormalWeb"/>
        <w:jc w:val="center"/>
        <w:divId w:val="621422155"/>
        <w:rPr>
          <w:b/>
        </w:rPr>
      </w:pPr>
      <w:r w:rsidRPr="004455F6">
        <w:rPr>
          <w:b/>
        </w:rPr>
        <w:t>(B)</w:t>
      </w:r>
    </w:p>
    <w:p w14:paraId="00D0A3B4" w14:textId="77777777" w:rsidR="009E3A88" w:rsidRDefault="009E3A88" w:rsidP="00530646">
      <w:pPr>
        <w:pStyle w:val="CDIfootnotes"/>
        <w:divId w:val="621422155"/>
      </w:pPr>
      <w:r>
        <w:rPr>
          <w:vertAlign w:val="superscript"/>
        </w:rPr>
        <w:t>*</w:t>
      </w:r>
      <w:r>
        <w:t xml:space="preserve"> Analyses restricted to Queensland, South Australia, Western </w:t>
      </w:r>
      <w:proofErr w:type="gramStart"/>
      <w:r>
        <w:t>Australia</w:t>
      </w:r>
      <w:proofErr w:type="gramEnd"/>
      <w:r>
        <w:t xml:space="preserve"> and the Northern Territory. Pre-varicella vaccine=1999-2004 and post-varicella vaccine=2007-2013.</w:t>
      </w:r>
      <w:r>
        <w:br/>
      </w:r>
      <w:r>
        <w:rPr>
          <w:vertAlign w:val="superscript"/>
        </w:rPr>
        <w:t xml:space="preserve">** </w:t>
      </w:r>
      <w:r>
        <w:t xml:space="preserve">Analyses restricted to New South Wales, Victoria, Queensland, South Australia, Western </w:t>
      </w:r>
      <w:proofErr w:type="gramStart"/>
      <w:r>
        <w:t>Australia</w:t>
      </w:r>
      <w:proofErr w:type="gramEnd"/>
      <w:r>
        <w:t xml:space="preserve"> and the Northern Territory for the years 2007-2011.</w:t>
      </w:r>
    </w:p>
    <w:p w14:paraId="5F24F267" w14:textId="77777777" w:rsidR="009E3A88" w:rsidRPr="00530646" w:rsidRDefault="009E3A88" w:rsidP="00530646">
      <w:pPr>
        <w:pStyle w:val="Heading4"/>
      </w:pPr>
      <w:r w:rsidRPr="00530646">
        <w:t>Herpes zoster</w:t>
      </w:r>
    </w:p>
    <w:p w14:paraId="2774343C" w14:textId="77777777" w:rsidR="009E3A88" w:rsidRDefault="009E3A88" w:rsidP="00530646">
      <w:r>
        <w:t>When we analysed data from six jurisdictions (New South Wales, Victoria, Queensland, South Australia, Northern Territory and Western Australia) for the years 2007-2011, we found HZ hospitalisation rates in Indigenous people to be almost double those in non-Indigenous people aged 50-59 years (IRR 1.87; 95% CI 1.29-2.71) and 60-69 years (IRR 1.77; 95% CI 1.27-2.48) (Figure 7B). However, no significant difference was observed in people aged 70-79 years (IRR 0.83; 95% CI 0.51-1.36).</w:t>
      </w:r>
    </w:p>
    <w:p w14:paraId="3004A66F" w14:textId="77777777" w:rsidR="009E3A88" w:rsidRPr="00530646" w:rsidRDefault="009E3A88" w:rsidP="00530646">
      <w:pPr>
        <w:pStyle w:val="Heading3"/>
      </w:pPr>
      <w:r w:rsidRPr="00530646">
        <w:t xml:space="preserve">Varicella and herpes zoster associated </w:t>
      </w:r>
      <w:proofErr w:type="gramStart"/>
      <w:r w:rsidRPr="00530646">
        <w:t>mortality</w:t>
      </w:r>
      <w:proofErr w:type="gramEnd"/>
    </w:p>
    <w:p w14:paraId="3D71B27D" w14:textId="77777777" w:rsidR="009E3A88" w:rsidRDefault="009E3A88" w:rsidP="00530646">
      <w:r>
        <w:t>During the period 1998-2013, there were 21 deaths with varicella coded as the underlying cause of death (UCOD). In people aged &lt;40 years the number of deaths was two-thirds lower in the post-vaccine period (2007-2013; 5 deaths) compared to the pre-vaccine period (1998-2004; 15 deaths). In children aged &lt;10 years, the number of deaths reduced from 6 deaths in 1998-2004 to &lt;4 deaths in 2007-2013.</w:t>
      </w:r>
    </w:p>
    <w:p w14:paraId="4DD927CC" w14:textId="77777777" w:rsidR="009E3A88" w:rsidRDefault="009E3A88" w:rsidP="00530646">
      <w:r>
        <w:t>During the same period, there were 340 deaths where HZ was coded as the UCOD with an overall crude mortality rate of 0.23 per 100,000 (95% CI 0.21-0.26) in those aged ≥40 years. Of these deaths, 5 (1.5%) were in people 40-59 years of age, 7 (2.1%) in those aged 60-69 years, 40 (11.8%) in those aged 70-79 years and 288 (84.7%) in those aged ≥80 years. The number of HZ-related deaths recorded for females (230, 67.6%) was twice that of males (110, 32.4%).</w:t>
      </w:r>
    </w:p>
    <w:p w14:paraId="1ED89467" w14:textId="77777777" w:rsidR="009E3A88" w:rsidRPr="00530646" w:rsidRDefault="009E3A88" w:rsidP="00530646">
      <w:pPr>
        <w:pStyle w:val="Heading1"/>
      </w:pPr>
      <w:r w:rsidRPr="00530646">
        <w:t>Discussion</w:t>
      </w:r>
    </w:p>
    <w:p w14:paraId="75C1FE58" w14:textId="77777777" w:rsidR="009E3A88" w:rsidRDefault="009E3A88" w:rsidP="00530646">
      <w:r>
        <w:t xml:space="preserve">Introduction of the national varicella immunisation program in 2005 for children aged 18 months was associated with a rapid and significant decline in varicella hospitalisation rates in Australia, particularly in children aged ≤10 </w:t>
      </w:r>
      <w:r>
        <w:lastRenderedPageBreak/>
        <w:t>years. While the varicella vaccine was available through the private market from 2000 and was recommended for use in 2003,</w:t>
      </w:r>
      <w:r>
        <w:rPr>
          <w:vertAlign w:val="superscript"/>
        </w:rPr>
        <w:t>2</w:t>
      </w:r>
      <w:r>
        <w:t xml:space="preserve"> the vaccine did not have significant impact on hospitalisation rates until it was introduced under the NIP in 2005 as a single dose at 18 months of age with no formal catch-up program. According to the 2014 coverage estimates, the uptake of MMRV at 18 months of age measured at 2 years of age was 89.6%.</w:t>
      </w:r>
      <w:r>
        <w:rPr>
          <w:vertAlign w:val="superscript"/>
        </w:rPr>
        <w:t>13</w:t>
      </w:r>
      <w:r>
        <w:t xml:space="preserve"> Previously published data on varicella hospitalisations until 2010 reported 70% and 60% reductions in the age groups of 1-4 year olds and &lt;1 year olds, respectively.</w:t>
      </w:r>
      <w:r>
        <w:rPr>
          <w:vertAlign w:val="superscript"/>
        </w:rPr>
        <w:t>11</w:t>
      </w:r>
      <w:r>
        <w:t xml:space="preserve"> By December 2013, we found 84% reduction in hospitalisation rates in the post-varicella vaccine period in children aged 18-59 months, most of whom would have received the vaccine. Significant herd effect with 67% reduction in varicella hospitalisation rates was evident in children aged &lt;18 months, who are not eligible for varicella immunisation. In the 20-29 years and 30-39 years age groups, varicella hospitalisation rates also reduced by 65% and 44%, respectively, suggesting that the herd protection effects of universal childhood immunisation also extend to adults of childrearing age, who are susceptible to more severe disease than children.</w:t>
      </w:r>
      <w:r>
        <w:rPr>
          <w:vertAlign w:val="superscript"/>
        </w:rPr>
        <w:t>22-24</w:t>
      </w:r>
      <w:r>
        <w:t xml:space="preserve"> Similar impacts following one-dose varicella immunisation programs have been documented in other countries including the USA, Canada, Italy, Germany, Taiwan and Uruguay.</w:t>
      </w:r>
      <w:r>
        <w:rPr>
          <w:vertAlign w:val="superscript"/>
        </w:rPr>
        <w:t>25</w:t>
      </w:r>
      <w:r>
        <w:t xml:space="preserve"> Hospitalisation rates in those aged ≥40 years did not decline during the post-vaccine period (IRR 1.15; 95% CI 1.01–1.30), most likely due to naturally acquired VZV-specific immunity in this age group and possible misclassification of HZ as varicella.</w:t>
      </w:r>
      <w:r>
        <w:rPr>
          <w:vertAlign w:val="superscript"/>
        </w:rPr>
        <w:t>20,26</w:t>
      </w:r>
    </w:p>
    <w:p w14:paraId="2E476863" w14:textId="77777777" w:rsidR="009E3A88" w:rsidRDefault="009E3A88" w:rsidP="00530646">
      <w:r>
        <w:t>Despite the relatively high vaccine coverage and rapid initial decline in hospitalisation rates, little change in varicella hospitalisation rates was observed from 2010 onwards. Approximately 300 varicella hospitalisations continue to occur each year in those aged &lt;40 years. Two recent Australian studies, one in Queensland and one nationally across all sentinel sites in the Paediatric Active Enhanced Disease Surveillance (PAEDS) network, have shown a single dose of varicella vaccine to have moderate effectiveness against varicella-associated hospitalisations of 81.9% and 64.6%, respectively.</w:t>
      </w:r>
      <w:r>
        <w:rPr>
          <w:vertAlign w:val="superscript"/>
        </w:rPr>
        <w:t>27,28</w:t>
      </w:r>
      <w:r>
        <w:t xml:space="preserve"> Further decreases in hospitalisation rates and interruption of community-wide transmission will likely require a second dose of vaccine.</w:t>
      </w:r>
      <w:r>
        <w:rPr>
          <w:vertAlign w:val="superscript"/>
        </w:rPr>
        <w:t>29</w:t>
      </w:r>
      <w:r>
        <w:t xml:space="preserve"> In the USA, continuing varicella outbreaks and episodes of breakthrough disease were documented, despite high coverage attained under their one-dose varicella immunisation program, and prompted a switch to a two-dose program in 2006. </w:t>
      </w:r>
      <w:r>
        <w:rPr>
          <w:vertAlign w:val="superscript"/>
        </w:rPr>
        <w:t>30-33</w:t>
      </w:r>
      <w:r>
        <w:t xml:space="preserve"> Introduction of a second dose led to a greater than 40% decline in hospitalisations during the years 2006-2010 compared to 2002-2005, as reported from two sentinel surveillance sites, and was accompanied by reduction in severe disease and outbreaks.</w:t>
      </w:r>
      <w:r>
        <w:rPr>
          <w:vertAlign w:val="superscript"/>
        </w:rPr>
        <w:t>34-36</w:t>
      </w:r>
      <w:r>
        <w:t xml:space="preserve"> Similar to the USA, where overall deaths reduced by 66% in the first 6 years following the introduction of the one-dose program,</w:t>
      </w:r>
      <w:r>
        <w:rPr>
          <w:vertAlign w:val="superscript"/>
        </w:rPr>
        <w:t>37</w:t>
      </w:r>
      <w:r>
        <w:t xml:space="preserve"> we found a 67% reduction in varicella-attributable deaths in people aged &lt;40 years during the post-vaccine period. In 2007, addition of a second dose of varicella vaccine to the NIP was deemed not cost-effective by the Pharmaceutical Benefits Advisory Committee.</w:t>
      </w:r>
      <w:r>
        <w:rPr>
          <w:vertAlign w:val="superscript"/>
        </w:rPr>
        <w:t>38</w:t>
      </w:r>
      <w:r>
        <w:t xml:space="preserve"> However, our findings suggest that it may be time to re-examine the potential for NIP funding of a second dose in the childhood schedule, if Australia is to achieve any further significant reductions in varicella-associated morbidity and mortality.</w:t>
      </w:r>
      <w:r>
        <w:rPr>
          <w:vertAlign w:val="superscript"/>
        </w:rPr>
        <w:t>39</w:t>
      </w:r>
    </w:p>
    <w:p w14:paraId="047C5F88" w14:textId="77777777" w:rsidR="009E3A88" w:rsidRDefault="009E3A88" w:rsidP="00530646">
      <w:r>
        <w:t>A national HZ immunisation program, using the live attenuated zoster vaccine, was introduced in Australia in November 2016 for people aged 70-79 years. Our report focussed on HZ-related hospitalisations - although only around 3% of HZ cases are hospitalised,</w:t>
      </w:r>
      <w:r>
        <w:rPr>
          <w:vertAlign w:val="superscript"/>
        </w:rPr>
        <w:t>40</w:t>
      </w:r>
      <w:r>
        <w:t xml:space="preserve"> hospitalisation rates are a measure of severe disease posing a significant economic burden on the health system.</w:t>
      </w:r>
      <w:r>
        <w:rPr>
          <w:vertAlign w:val="superscript"/>
        </w:rPr>
        <w:t>41,42</w:t>
      </w:r>
      <w:r>
        <w:t xml:space="preserve"> Consistent with other studies, our results demonstrate higher hospitalisation rates and mortality associated with HZ in older people (associated with </w:t>
      </w:r>
      <w:proofErr w:type="spellStart"/>
      <w:r>
        <w:t>immunosenescence</w:t>
      </w:r>
      <w:proofErr w:type="spellEnd"/>
      <w:r>
        <w:t>) and in females (in whom a different response to latent VZV infection has been identified).</w:t>
      </w:r>
      <w:r>
        <w:rPr>
          <w:vertAlign w:val="superscript"/>
        </w:rPr>
        <w:t>40,43</w:t>
      </w:r>
      <w:r>
        <w:t xml:space="preserve"> We found similar HZ hospitalisation rates between the pre- and post-varicella vaccine periods, including in those aged 70-74 years (IRR 0.94; 95% CI 0.86–1.02) and ≥75 years (IRR 1.01; 95% CI 0.96–1.06), but an increasing trend in the HZ notification rate in South Australia and the Northern Territory. While this increase in notifications may be partly due to increased testing, similar to that seen with influenza and pertussis,</w:t>
      </w:r>
      <w:r>
        <w:rPr>
          <w:vertAlign w:val="superscript"/>
        </w:rPr>
        <w:t>44</w:t>
      </w:r>
      <w:r>
        <w:t xml:space="preserve"> several studies have documented increases in community-based consultations and emergency department presentations for HZ, which may be due to a combination of ageing of the Australian population, greater use of immunosuppressive medications and reduced natural boosting to VZV since the introduction of universal childhood varicella immunisation.</w:t>
      </w:r>
      <w:r>
        <w:rPr>
          <w:vertAlign w:val="superscript"/>
        </w:rPr>
        <w:t>18,45-48</w:t>
      </w:r>
      <w:r>
        <w:t xml:space="preserve"> Similarly, the increase in all herpes zoster </w:t>
      </w:r>
      <w:r>
        <w:lastRenderedPageBreak/>
        <w:t>associated hospitalisations in the recent years (Figure 5A) might also be influenced by a combination of factors mentioned above.</w:t>
      </w:r>
    </w:p>
    <w:p w14:paraId="32699569" w14:textId="77777777" w:rsidR="009E3A88" w:rsidRDefault="009E3A88" w:rsidP="00530646">
      <w:r>
        <w:t>One third of all hospitalised cases in our study had PHN recorded in a diagnostic field, with the highest hospitalisation rate (32.1 per 100,000) in people aged ≥75 years. In Australia, the economic burden of HZ and PHN are significant, with an estimated total cost of 32.8 million Australian dollars each year to the health care system.</w:t>
      </w:r>
      <w:r>
        <w:rPr>
          <w:vertAlign w:val="superscript"/>
        </w:rPr>
        <w:t>42</w:t>
      </w:r>
      <w:r>
        <w:t xml:space="preserve"> Pain associated with PHN is often refractory to treatment and can have substantial negative impact on the health-related quality of life.</w:t>
      </w:r>
      <w:r>
        <w:rPr>
          <w:vertAlign w:val="superscript"/>
        </w:rPr>
        <w:t>14,49,</w:t>
      </w:r>
      <w:proofErr w:type="gramStart"/>
      <w:r>
        <w:rPr>
          <w:vertAlign w:val="superscript"/>
        </w:rPr>
        <w:t>50</w:t>
      </w:r>
      <w:proofErr w:type="gramEnd"/>
    </w:p>
    <w:p w14:paraId="1795AF0B" w14:textId="77777777" w:rsidR="009E3A88" w:rsidRDefault="009E3A88" w:rsidP="00530646">
      <w:r>
        <w:t>During the pre-vaccine period, Indigenous children aged 18-59 months had higher varicella hospitalisation rates compared to their non-Indigenous counterparts. Funded childhood varicella immunisation has contributed towards ‘closing the gap’— during the post-vaccine period, Indigenous children aged 18-59 months had similar varicella hospitalisation rates compared to their non-Indigenous counterparts. However, Indigenous people overall continue to be hospitalised due to varicella and HZ at almost double the rate compared to non-Indigenous people. Our recent work demonstrated that Indigenous Australians aged 60-69 years had higher HZ hospitalisation rates compared to non-Indigenous Australians aged 70-79 years, who are currently eligible for funded HZ immunisation.</w:t>
      </w:r>
      <w:r>
        <w:rPr>
          <w:vertAlign w:val="superscript"/>
        </w:rPr>
        <w:t>51</w:t>
      </w:r>
    </w:p>
    <w:p w14:paraId="646900ED" w14:textId="77777777" w:rsidR="009E3A88" w:rsidRDefault="009E3A88" w:rsidP="00530646">
      <w:r>
        <w:t>High quality disease surveillance strategies are imperative for monitoring the population-wide impact of immunisation programs and driving evidence-based policies. Our study highlights a number of limitations of using notification and hospitalisation data for surveillance of varicella and HZ. While varicella and HZ are considered to be nationally notifiable diseases, differences in reporting mechanisms, the inherent challenges in reporting of these diseases (related to reliance on clinical/ epidemiological information rather than solely laboratory diagnosis) and absence of routine reporting from New South Wales to the NNDSS significantly limit interpretation of the data. South Australia and the Northern Territory are the only jurisdictions that routinely follow up laboratory notifications of VZV in order to be able to align cases with national case definitions. Both notification and hospitalisation data considerably underestimate the true burden of varicella and HZ, as both diseases are generally self-limiting and only a small proportion are likely to be tested for, notified and/or hospitalised. Notification data may be influenced by changes in testing practices over time. Surveillance using hospitalisation data is not timely and data may be influenced by access to hospitals over time, coding practices and misclassification between varicella and HZ.</w:t>
      </w:r>
      <w:r>
        <w:rPr>
          <w:vertAlign w:val="superscript"/>
        </w:rPr>
        <w:t>20,26,</w:t>
      </w:r>
      <w:proofErr w:type="gramStart"/>
      <w:r>
        <w:rPr>
          <w:vertAlign w:val="superscript"/>
        </w:rPr>
        <w:t>52</w:t>
      </w:r>
      <w:proofErr w:type="gramEnd"/>
    </w:p>
    <w:p w14:paraId="2B556C53" w14:textId="77777777" w:rsidR="009E3A88" w:rsidRDefault="009E3A88" w:rsidP="00530646">
      <w:r>
        <w:t>Other industrialised countries with national HZ immunisation programs have implemented a variety of surveillance systems targeted at capturing cases of HZ. In the UK, enhanced surveillance using sentinel GP clinics and pain clinics was established to monitor the effectiveness of their HZ immunisation program.</w:t>
      </w:r>
      <w:r>
        <w:rPr>
          <w:vertAlign w:val="superscript"/>
        </w:rPr>
        <w:t>53,54</w:t>
      </w:r>
      <w:r>
        <w:t xml:space="preserve"> Several other European countries conduct active surveillance for HZ including sentinel surveillance. </w:t>
      </w:r>
      <w:r>
        <w:rPr>
          <w:vertAlign w:val="superscript"/>
        </w:rPr>
        <w:t>55</w:t>
      </w:r>
      <w:r>
        <w:t xml:space="preserve"> In the USA, active sentinel surveillance sites initially established for varicella surveillance were also successful at monitoring the epidemiology of HZ after the introduction of HZ vaccine in 2006.</w:t>
      </w:r>
      <w:r>
        <w:rPr>
          <w:vertAlign w:val="superscript"/>
        </w:rPr>
        <w:t>56,57</w:t>
      </w:r>
      <w:r>
        <w:t xml:space="preserve"> Based on this, Australia will need to adopt a national and unified approach to identify ideal surveillance strategies.</w:t>
      </w:r>
    </w:p>
    <w:p w14:paraId="07297908" w14:textId="77777777" w:rsidR="009E3A88" w:rsidRDefault="009E3A88" w:rsidP="00530646">
      <w:r>
        <w:t>In conclusion, introduction of a national varicella immunisation program in 2005 substantially reduced varicella associated morbidity and mortality in Australia. Minimal decline has been observed during recent years and further reductions in disease incidence will most likely require a second dose of varicella vaccine to be added on the NIP. A vaccine for HZ was introduced under the NIP in 2016. Timely and high quality surveillance, including data on HZ encounters at the primary health care level, along with HZ vaccine coverage data sourced from Australian Immunisation Register, will be crucial to evaluate the population-wide impact of the national HZ immunisation</w:t>
      </w:r>
      <w:r w:rsidR="004455F6">
        <w:t> </w:t>
      </w:r>
      <w:r>
        <w:t>program.</w:t>
      </w:r>
    </w:p>
    <w:p w14:paraId="5D14E951" w14:textId="77777777" w:rsidR="004455F6" w:rsidRDefault="004455F6">
      <w:pPr>
        <w:rPr>
          <w:rFonts w:asciiTheme="majorHAnsi" w:eastAsiaTheme="majorEastAsia" w:hAnsiTheme="majorHAnsi" w:cstheme="majorBidi"/>
          <w:b/>
          <w:bCs/>
          <w:sz w:val="32"/>
          <w:szCs w:val="28"/>
        </w:rPr>
      </w:pPr>
      <w:r>
        <w:br w:type="page"/>
      </w:r>
    </w:p>
    <w:p w14:paraId="0647B839" w14:textId="77777777" w:rsidR="009E3A88" w:rsidRPr="00530646" w:rsidRDefault="009E3A88" w:rsidP="00530646">
      <w:pPr>
        <w:pStyle w:val="Heading1"/>
      </w:pPr>
      <w:r w:rsidRPr="00530646">
        <w:lastRenderedPageBreak/>
        <w:t>Acknowledgements</w:t>
      </w:r>
    </w:p>
    <w:p w14:paraId="0873167C" w14:textId="77777777" w:rsidR="009E3A88" w:rsidRDefault="009E3A88" w:rsidP="00530646">
      <w:r>
        <w:t>We would like to acknowledge Allison Cairns, Vaccine Preventable Diseases Surveillance Section, Department of Health for providing useful comments on a late draft of the manuscript.</w:t>
      </w:r>
    </w:p>
    <w:p w14:paraId="42325A3B" w14:textId="77777777" w:rsidR="009E3A88" w:rsidRDefault="009E3A88" w:rsidP="00530646">
      <w:r>
        <w:t>We thank the Australian Coordinating Registry, state and territory registries of births, deaths and marriages, state and territory coroners, and the National Coronial Information System, for providing access to cause of death data.</w:t>
      </w:r>
    </w:p>
    <w:p w14:paraId="20BC5257" w14:textId="77777777" w:rsidR="009E3A88" w:rsidRDefault="009E3A88" w:rsidP="00530646">
      <w:r>
        <w:t xml:space="preserve">The National Centre for Immunisation Research and Surveillance is supported by the Australian Government Department of Health, the NSW Ministry of </w:t>
      </w:r>
      <w:proofErr w:type="gramStart"/>
      <w:r>
        <w:t>Health</w:t>
      </w:r>
      <w:proofErr w:type="gramEnd"/>
      <w:r>
        <w:t xml:space="preserve"> and The Children’s Hospital at Westmead. The opinions expressed in this paper are those of the authors, and do not necessarily represent the views of these agencies.</w:t>
      </w:r>
    </w:p>
    <w:p w14:paraId="73AFA354" w14:textId="77777777" w:rsidR="009E3A88" w:rsidRPr="00530646" w:rsidRDefault="009E3A88" w:rsidP="00530646">
      <w:pPr>
        <w:pStyle w:val="Heading1"/>
      </w:pPr>
      <w:r w:rsidRPr="00530646">
        <w:t>Corresponding author</w:t>
      </w:r>
    </w:p>
    <w:p w14:paraId="3419B18C" w14:textId="77777777" w:rsidR="009E3A88" w:rsidRDefault="009E3A88" w:rsidP="00530646">
      <w:r>
        <w:t>Dr Meru Sheel</w:t>
      </w:r>
      <w:r>
        <w:rPr>
          <w:vertAlign w:val="superscript"/>
        </w:rPr>
        <w:t>1,2</w:t>
      </w:r>
      <w:r>
        <w:t xml:space="preserve"> </w:t>
      </w:r>
      <w:r w:rsidR="006009C4">
        <w:t>Epidemiologist</w:t>
      </w:r>
      <w:r w:rsidR="006009C4">
        <w:br/>
      </w:r>
      <w:r>
        <w:t>National Centre for Immunisation Research and Surveillance Email: Meru.Sheel@health.nsw.gov.au Phone: 02-98451447</w:t>
      </w:r>
    </w:p>
    <w:p w14:paraId="58BD0E37" w14:textId="77777777" w:rsidR="009E3A88" w:rsidRDefault="009E3A88">
      <w:pPr>
        <w:pStyle w:val="Heading1"/>
        <w:rPr>
          <w:rFonts w:eastAsia="Times New Roman"/>
        </w:rPr>
      </w:pPr>
      <w:r>
        <w:rPr>
          <w:rFonts w:eastAsia="Times New Roman"/>
        </w:rPr>
        <w:t>Author details</w:t>
      </w:r>
    </w:p>
    <w:p w14:paraId="67D74352" w14:textId="77777777" w:rsidR="009E3A88" w:rsidRDefault="009E3A88" w:rsidP="00DC3C81">
      <w:r>
        <w:t>(I) Dr Frank Beard</w:t>
      </w:r>
      <w:r>
        <w:rPr>
          <w:vertAlign w:val="superscript"/>
        </w:rPr>
        <w:t>1,3</w:t>
      </w:r>
      <w:r>
        <w:t xml:space="preserve"> – Staff Specialist, Public Health Physician - joint co-author</w:t>
      </w:r>
    </w:p>
    <w:p w14:paraId="483E9DD8" w14:textId="77777777" w:rsidR="009E3A88" w:rsidRDefault="009E3A88" w:rsidP="00DC3C81">
      <w:r>
        <w:t>(II) Dr Helen Quinn</w:t>
      </w:r>
      <w:r>
        <w:rPr>
          <w:vertAlign w:val="superscript"/>
        </w:rPr>
        <w:t>1,3</w:t>
      </w:r>
      <w:r>
        <w:t xml:space="preserve"> – Senior Research Fellow - joint co-author</w:t>
      </w:r>
    </w:p>
    <w:p w14:paraId="253A4761" w14:textId="77777777" w:rsidR="009E3A88" w:rsidRDefault="009E3A88" w:rsidP="00DC3C81">
      <w:r>
        <w:t>Dr Aditi Dey</w:t>
      </w:r>
      <w:r>
        <w:rPr>
          <w:vertAlign w:val="superscript"/>
        </w:rPr>
        <w:t>1,3</w:t>
      </w:r>
      <w:r>
        <w:t xml:space="preserve"> – Manager, Surveillance, NCIRS</w:t>
      </w:r>
    </w:p>
    <w:p w14:paraId="47D11AE5" w14:textId="77777777" w:rsidR="009E3A88" w:rsidRDefault="009E3A88" w:rsidP="00DC3C81">
      <w:r>
        <w:t>Associate Prof Martyn Kirk</w:t>
      </w:r>
      <w:r>
        <w:rPr>
          <w:vertAlign w:val="superscript"/>
        </w:rPr>
        <w:t>2</w:t>
      </w:r>
      <w:r>
        <w:t xml:space="preserve"> – Convenor, </w:t>
      </w:r>
      <w:proofErr w:type="gramStart"/>
      <w:r>
        <w:t>Masters of Philosophy</w:t>
      </w:r>
      <w:proofErr w:type="gramEnd"/>
      <w:r>
        <w:t xml:space="preserve"> in Applied Epidemiology</w:t>
      </w:r>
    </w:p>
    <w:p w14:paraId="3C01A80C" w14:textId="77777777" w:rsidR="009E3A88" w:rsidRDefault="009E3A88" w:rsidP="00DC3C81">
      <w:r>
        <w:t>Dr Ann Koehler</w:t>
      </w:r>
      <w:r>
        <w:rPr>
          <w:vertAlign w:val="superscript"/>
        </w:rPr>
        <w:t>4</w:t>
      </w:r>
      <w:r>
        <w:t xml:space="preserve"> – Director</w:t>
      </w:r>
    </w:p>
    <w:p w14:paraId="26989A92" w14:textId="77777777" w:rsidR="009E3A88" w:rsidRDefault="009E3A88" w:rsidP="00DC3C81">
      <w:r>
        <w:t>Dr Peter Markey</w:t>
      </w:r>
      <w:r>
        <w:rPr>
          <w:vertAlign w:val="superscript"/>
        </w:rPr>
        <w:t>5</w:t>
      </w:r>
      <w:r>
        <w:t xml:space="preserve"> – Head, Disease Surveillance</w:t>
      </w:r>
    </w:p>
    <w:p w14:paraId="476E8E15" w14:textId="77777777" w:rsidR="009E3A88" w:rsidRDefault="009E3A88" w:rsidP="00DC3C81">
      <w:r>
        <w:t>Prof Peter McIntyre</w:t>
      </w:r>
      <w:r>
        <w:rPr>
          <w:vertAlign w:val="superscript"/>
        </w:rPr>
        <w:t>1,3</w:t>
      </w:r>
      <w:r>
        <w:t xml:space="preserve"> – Director, NCIRS</w:t>
      </w:r>
    </w:p>
    <w:p w14:paraId="774D9A8F" w14:textId="77777777" w:rsidR="009E3A88" w:rsidRDefault="009E3A88" w:rsidP="00DC3C81">
      <w:r>
        <w:t>Associate Prof Kristine Macartney</w:t>
      </w:r>
      <w:r>
        <w:rPr>
          <w:vertAlign w:val="superscript"/>
        </w:rPr>
        <w:t>1,3</w:t>
      </w:r>
      <w:r>
        <w:t xml:space="preserve"> – Deputy Director, NCIRS</w:t>
      </w:r>
    </w:p>
    <w:p w14:paraId="772F6578" w14:textId="77777777" w:rsidR="009E3A88" w:rsidRDefault="009E3A88" w:rsidP="00DC3C81">
      <w:r>
        <w:rPr>
          <w:vertAlign w:val="superscript"/>
        </w:rPr>
        <w:t>1</w:t>
      </w:r>
      <w:r>
        <w:t>National Centre for Immunisation Research and Surveillance, Westmead, New South Wales</w:t>
      </w:r>
    </w:p>
    <w:p w14:paraId="7054A0CE" w14:textId="77777777" w:rsidR="009E3A88" w:rsidRDefault="009E3A88" w:rsidP="00DC3C81">
      <w:r>
        <w:rPr>
          <w:vertAlign w:val="superscript"/>
        </w:rPr>
        <w:t>2</w:t>
      </w:r>
      <w:r>
        <w:t>National Centre for Epidemiology and Population Health, Australian National University, Acton, Australian Capital</w:t>
      </w:r>
      <w:r w:rsidR="004E39FD">
        <w:t> </w:t>
      </w:r>
      <w:r>
        <w:t>Territory</w:t>
      </w:r>
    </w:p>
    <w:p w14:paraId="79A9F48C" w14:textId="77777777" w:rsidR="009E3A88" w:rsidRDefault="009E3A88" w:rsidP="00DC3C81">
      <w:r>
        <w:rPr>
          <w:vertAlign w:val="superscript"/>
        </w:rPr>
        <w:t>3</w:t>
      </w:r>
      <w:r>
        <w:t>University of Sydney, Sydney, New South Wales</w:t>
      </w:r>
    </w:p>
    <w:p w14:paraId="0817867D" w14:textId="77777777" w:rsidR="009E3A88" w:rsidRDefault="009E3A88" w:rsidP="00DC3C81">
      <w:r>
        <w:rPr>
          <w:vertAlign w:val="superscript"/>
        </w:rPr>
        <w:t>4</w:t>
      </w:r>
      <w:r>
        <w:t>Communicable Disease Control Branch, South Australia Health, South Australia</w:t>
      </w:r>
    </w:p>
    <w:p w14:paraId="098F24FB" w14:textId="77777777" w:rsidR="00A15A84" w:rsidRDefault="00A15A84" w:rsidP="00DC3C81">
      <w:r w:rsidRPr="00A15A84">
        <w:rPr>
          <w:vertAlign w:val="superscript"/>
        </w:rPr>
        <w:t>5</w:t>
      </w:r>
      <w:r w:rsidRPr="00A15A84">
        <w:t>Centre for Disease Control, Department of Health, Northern Territory</w:t>
      </w:r>
    </w:p>
    <w:p w14:paraId="538A742B" w14:textId="77777777" w:rsidR="009E3A88" w:rsidRPr="00DC3C81" w:rsidRDefault="009E3A88" w:rsidP="00DC3C81">
      <w:pPr>
        <w:pStyle w:val="Heading1"/>
      </w:pPr>
      <w:r w:rsidRPr="00DC3C81">
        <w:t>References</w:t>
      </w:r>
    </w:p>
    <w:p w14:paraId="01977E4D" w14:textId="77777777" w:rsidR="009E3A88" w:rsidRPr="00010337" w:rsidRDefault="009E3A88" w:rsidP="00010337">
      <w:pPr>
        <w:pStyle w:val="ListParagraph"/>
        <w:numPr>
          <w:ilvl w:val="0"/>
          <w:numId w:val="7"/>
        </w:numPr>
        <w:rPr>
          <w:rFonts w:eastAsia="Times New Roman"/>
        </w:rPr>
      </w:pPr>
      <w:proofErr w:type="spellStart"/>
      <w:r w:rsidRPr="00010337">
        <w:rPr>
          <w:rFonts w:eastAsia="Times New Roman"/>
        </w:rPr>
        <w:t>Heymann</w:t>
      </w:r>
      <w:proofErr w:type="spellEnd"/>
      <w:r w:rsidRPr="00010337">
        <w:rPr>
          <w:rFonts w:eastAsia="Times New Roman"/>
        </w:rPr>
        <w:t xml:space="preserve"> DL. Control of Communicable Diseases Manual, 20th Edition: APHA Press; 2015.</w:t>
      </w:r>
    </w:p>
    <w:p w14:paraId="2BD4F9EF"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Australian Technical Advisory Group on Immunisation (ATAGI). The Australian immunisation handbook. 10th </w:t>
      </w:r>
      <w:proofErr w:type="spellStart"/>
      <w:r w:rsidRPr="00010337">
        <w:rPr>
          <w:rFonts w:eastAsia="Times New Roman"/>
        </w:rPr>
        <w:t>edn</w:t>
      </w:r>
      <w:proofErr w:type="spellEnd"/>
      <w:r w:rsidRPr="00010337">
        <w:rPr>
          <w:rFonts w:eastAsia="Times New Roman"/>
        </w:rPr>
        <w:t>. Canberra: Australian Government Department of Health and Ageing; 2015.</w:t>
      </w:r>
    </w:p>
    <w:p w14:paraId="248514E0" w14:textId="77777777" w:rsidR="009E3A88" w:rsidRPr="00010337" w:rsidRDefault="009E3A88" w:rsidP="00010337">
      <w:pPr>
        <w:pStyle w:val="ListParagraph"/>
        <w:numPr>
          <w:ilvl w:val="0"/>
          <w:numId w:val="7"/>
        </w:numPr>
        <w:rPr>
          <w:rFonts w:eastAsia="Times New Roman"/>
        </w:rPr>
      </w:pPr>
      <w:r w:rsidRPr="00010337">
        <w:rPr>
          <w:rFonts w:eastAsia="Times New Roman"/>
        </w:rPr>
        <w:lastRenderedPageBreak/>
        <w:t xml:space="preserve">Macartney KK, Burgess MA. Varicella vaccination in Australia and New Zealand. </w:t>
      </w:r>
      <w:r w:rsidRPr="00010337">
        <w:rPr>
          <w:rStyle w:val="Emphasis"/>
          <w:rFonts w:eastAsia="Times New Roman"/>
          <w:b w:val="0"/>
        </w:rPr>
        <w:t>The Journal of infectious diseases</w:t>
      </w:r>
      <w:r w:rsidRPr="00010337">
        <w:rPr>
          <w:rFonts w:eastAsia="Times New Roman"/>
        </w:rPr>
        <w:t xml:space="preserve"> 2008;197 Suppl 2:S191-195.</w:t>
      </w:r>
    </w:p>
    <w:p w14:paraId="207EAC8E"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Plotkin SA, Orenstein WA, editors. Vaccines. 2nd </w:t>
      </w:r>
      <w:proofErr w:type="spellStart"/>
      <w:r w:rsidRPr="00010337">
        <w:rPr>
          <w:rFonts w:eastAsia="Times New Roman"/>
        </w:rPr>
        <w:t>edn</w:t>
      </w:r>
      <w:proofErr w:type="spellEnd"/>
      <w:r w:rsidRPr="00010337">
        <w:rPr>
          <w:rFonts w:eastAsia="Times New Roman"/>
        </w:rPr>
        <w:t>. Philadelphia: WB Saunders; 1994.</w:t>
      </w:r>
    </w:p>
    <w:p w14:paraId="36AE973F"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Hall S, Maupin T, Seward J, </w:t>
      </w:r>
      <w:proofErr w:type="spellStart"/>
      <w:r w:rsidRPr="00010337">
        <w:rPr>
          <w:rFonts w:eastAsia="Times New Roman"/>
        </w:rPr>
        <w:t>Jumaan</w:t>
      </w:r>
      <w:proofErr w:type="spellEnd"/>
      <w:r w:rsidRPr="00010337">
        <w:rPr>
          <w:rFonts w:eastAsia="Times New Roman"/>
        </w:rPr>
        <w:t xml:space="preserve"> AO, Peterson C, Goldman G, et al. Second varicella infections: are they more common than previously thought? </w:t>
      </w:r>
      <w:proofErr w:type="spellStart"/>
      <w:r w:rsidRPr="00010337">
        <w:rPr>
          <w:rStyle w:val="Emphasis"/>
          <w:rFonts w:eastAsia="Times New Roman"/>
          <w:b w:val="0"/>
        </w:rPr>
        <w:t>Pediatrics</w:t>
      </w:r>
      <w:proofErr w:type="spellEnd"/>
      <w:r w:rsidRPr="00010337">
        <w:rPr>
          <w:rFonts w:eastAsia="Times New Roman"/>
        </w:rPr>
        <w:t xml:space="preserve"> 2002;109:1068-1073.</w:t>
      </w:r>
    </w:p>
    <w:p w14:paraId="62ED0AF0"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Cunningham AL, Breuer J, Dwyer DE, Gronow DW, </w:t>
      </w:r>
      <w:proofErr w:type="spellStart"/>
      <w:r w:rsidRPr="00010337">
        <w:rPr>
          <w:rFonts w:eastAsia="Times New Roman"/>
        </w:rPr>
        <w:t>Helme</w:t>
      </w:r>
      <w:proofErr w:type="spellEnd"/>
      <w:r w:rsidRPr="00010337">
        <w:rPr>
          <w:rFonts w:eastAsia="Times New Roman"/>
        </w:rPr>
        <w:t xml:space="preserve"> RD, </w:t>
      </w:r>
      <w:proofErr w:type="spellStart"/>
      <w:r w:rsidRPr="00010337">
        <w:rPr>
          <w:rFonts w:eastAsia="Times New Roman"/>
        </w:rPr>
        <w:t>Litt</w:t>
      </w:r>
      <w:proofErr w:type="spellEnd"/>
      <w:r w:rsidRPr="00010337">
        <w:rPr>
          <w:rFonts w:eastAsia="Times New Roman"/>
        </w:rPr>
        <w:t xml:space="preserve"> JC, et al. The prevention and management of herpes zoster. </w:t>
      </w:r>
      <w:r w:rsidRPr="00010337">
        <w:rPr>
          <w:rStyle w:val="Emphasis"/>
          <w:rFonts w:eastAsia="Times New Roman"/>
          <w:b w:val="0"/>
        </w:rPr>
        <w:t>The Medical journal of Australia</w:t>
      </w:r>
      <w:r w:rsidRPr="00010337">
        <w:rPr>
          <w:rFonts w:eastAsia="Times New Roman"/>
        </w:rPr>
        <w:t xml:space="preserve"> 2008;188:171-176.</w:t>
      </w:r>
    </w:p>
    <w:p w14:paraId="3AC98070" w14:textId="77777777" w:rsidR="009E3A88" w:rsidRPr="00010337" w:rsidRDefault="009E3A88" w:rsidP="00010337">
      <w:pPr>
        <w:pStyle w:val="ListParagraph"/>
        <w:numPr>
          <w:ilvl w:val="0"/>
          <w:numId w:val="7"/>
        </w:numPr>
        <w:rPr>
          <w:rFonts w:eastAsia="Times New Roman"/>
        </w:rPr>
      </w:pPr>
      <w:r w:rsidRPr="00010337">
        <w:rPr>
          <w:rFonts w:eastAsia="Times New Roman"/>
        </w:rPr>
        <w:t>WHO. Varicella and herpes zoster vaccines: WHO position paper, June 2014; 2014. Accessed on 12/01/2017. Available from: http://www.who.int/wer/2014/wer8925.pdf?ua=1 .</w:t>
      </w:r>
    </w:p>
    <w:p w14:paraId="5F512E10"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Cohen JI. Clinical practice: Herpes zoster. </w:t>
      </w:r>
      <w:r w:rsidRPr="00010337">
        <w:rPr>
          <w:rStyle w:val="Emphasis"/>
          <w:rFonts w:eastAsia="Times New Roman"/>
          <w:b w:val="0"/>
        </w:rPr>
        <w:t>The New England journal of medicine</w:t>
      </w:r>
      <w:r w:rsidRPr="00010337">
        <w:rPr>
          <w:rFonts w:eastAsia="Times New Roman"/>
        </w:rPr>
        <w:t xml:space="preserve"> 2013;369:255-263.</w:t>
      </w:r>
    </w:p>
    <w:p w14:paraId="486112CC"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Ward K, Dey A, Hull B, Quinn HE, Macartney K, Menzies R. Evaluation of Australia’s varicella vaccination program for children and adolescents. </w:t>
      </w:r>
      <w:r w:rsidRPr="00010337">
        <w:rPr>
          <w:rStyle w:val="Emphasis"/>
          <w:rFonts w:eastAsia="Times New Roman"/>
          <w:b w:val="0"/>
        </w:rPr>
        <w:t>Vaccine</w:t>
      </w:r>
      <w:r w:rsidRPr="00010337">
        <w:rPr>
          <w:rFonts w:eastAsia="Times New Roman"/>
        </w:rPr>
        <w:t xml:space="preserve"> 2013;31:1413-1419.</w:t>
      </w:r>
    </w:p>
    <w:p w14:paraId="4F1B0708" w14:textId="77777777" w:rsidR="009E3A88" w:rsidRPr="00010337" w:rsidRDefault="009E3A88" w:rsidP="00010337">
      <w:pPr>
        <w:pStyle w:val="ListParagraph"/>
        <w:numPr>
          <w:ilvl w:val="0"/>
          <w:numId w:val="7"/>
        </w:numPr>
        <w:rPr>
          <w:rFonts w:eastAsia="Times New Roman"/>
        </w:rPr>
      </w:pPr>
      <w:r w:rsidRPr="00010337">
        <w:rPr>
          <w:rFonts w:eastAsia="Times New Roman"/>
        </w:rPr>
        <w:t>Department of Health. National Immunisation Program Schedule. 2016. Accessed on 20 December 2016. Available from: http://www.immunise.health.gov.au/internet/immunise/publishing.nsf/Content/national-immunisation-program-schedule</w:t>
      </w:r>
    </w:p>
    <w:p w14:paraId="5AE99F76"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Heywood AE, Wang H, Macartney KK, McIntyre P. Varicella and herpes zoster hospitalizations before and after implementation of one-dose varicella vaccination in Australia: an ecological study. </w:t>
      </w:r>
      <w:r w:rsidRPr="00010337">
        <w:rPr>
          <w:rStyle w:val="Emphasis"/>
          <w:rFonts w:eastAsia="Times New Roman"/>
          <w:b w:val="0"/>
        </w:rPr>
        <w:t>Bulletin of the World Health Organization</w:t>
      </w:r>
      <w:r w:rsidRPr="00010337">
        <w:rPr>
          <w:rFonts w:eastAsia="Times New Roman"/>
        </w:rPr>
        <w:t xml:space="preserve"> 2014;92:593-604.</w:t>
      </w:r>
    </w:p>
    <w:p w14:paraId="4F975EBD"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Hull BP, Dey A, Menzies RI, Brotherton JM, McIntyre PB. Immunisation coverage, 2012. </w:t>
      </w:r>
      <w:r w:rsidRPr="00010337">
        <w:rPr>
          <w:rStyle w:val="Emphasis"/>
          <w:rFonts w:eastAsia="Times New Roman"/>
          <w:b w:val="0"/>
        </w:rPr>
        <w:t>Communicable diseases intelligence quarterly report</w:t>
      </w:r>
      <w:r w:rsidRPr="00010337">
        <w:rPr>
          <w:rFonts w:eastAsia="Times New Roman"/>
        </w:rPr>
        <w:t xml:space="preserve"> 2014;38:E208-231.</w:t>
      </w:r>
    </w:p>
    <w:p w14:paraId="7D1A4F93"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Hull BP, Dey A, Beard FH, Hendry A, Brotherton JM, McIntyre PB. Immunisation coverage annual report, 2014. </w:t>
      </w:r>
      <w:r w:rsidRPr="00010337">
        <w:rPr>
          <w:rStyle w:val="Emphasis"/>
          <w:rFonts w:eastAsia="Times New Roman"/>
          <w:b w:val="0"/>
        </w:rPr>
        <w:t>Commun Dis Intell</w:t>
      </w:r>
      <w:r w:rsidRPr="00010337">
        <w:rPr>
          <w:rFonts w:eastAsia="Times New Roman"/>
        </w:rPr>
        <w:t xml:space="preserve"> 2017.</w:t>
      </w:r>
    </w:p>
    <w:p w14:paraId="756BAF36" w14:textId="77777777" w:rsidR="009E3A88" w:rsidRPr="00010337" w:rsidRDefault="009E3A88" w:rsidP="00010337">
      <w:pPr>
        <w:pStyle w:val="ListParagraph"/>
        <w:numPr>
          <w:ilvl w:val="0"/>
          <w:numId w:val="7"/>
        </w:numPr>
        <w:rPr>
          <w:rFonts w:eastAsia="Times New Roman"/>
        </w:rPr>
      </w:pPr>
      <w:r w:rsidRPr="00010337">
        <w:rPr>
          <w:rFonts w:eastAsia="Times New Roman"/>
        </w:rPr>
        <w:t>Department of Health. PBAC Public Summary Documents - November 2014. 2015. Accessed on 12 December 2016. Available from: http://www.pbs.gov.au/pbs/industry/listing/elements/pbac-meetings/psd/11-2014</w:t>
      </w:r>
    </w:p>
    <w:p w14:paraId="3F2DB1B7"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Khandaker G, Marshall H, </w:t>
      </w:r>
      <w:proofErr w:type="spellStart"/>
      <w:r w:rsidRPr="00010337">
        <w:rPr>
          <w:rFonts w:eastAsia="Times New Roman"/>
        </w:rPr>
        <w:t>Peadon</w:t>
      </w:r>
      <w:proofErr w:type="spellEnd"/>
      <w:r w:rsidRPr="00010337">
        <w:rPr>
          <w:rFonts w:eastAsia="Times New Roman"/>
        </w:rPr>
        <w:t xml:space="preserve"> E, </w:t>
      </w:r>
      <w:proofErr w:type="spellStart"/>
      <w:r w:rsidRPr="00010337">
        <w:rPr>
          <w:rFonts w:eastAsia="Times New Roman"/>
        </w:rPr>
        <w:t>Zurynski</w:t>
      </w:r>
      <w:proofErr w:type="spellEnd"/>
      <w:r w:rsidRPr="00010337">
        <w:rPr>
          <w:rFonts w:eastAsia="Times New Roman"/>
        </w:rPr>
        <w:t xml:space="preserve"> Y, </w:t>
      </w:r>
      <w:proofErr w:type="spellStart"/>
      <w:r w:rsidRPr="00010337">
        <w:rPr>
          <w:rFonts w:eastAsia="Times New Roman"/>
        </w:rPr>
        <w:t>Burgner</w:t>
      </w:r>
      <w:proofErr w:type="spellEnd"/>
      <w:r w:rsidRPr="00010337">
        <w:rPr>
          <w:rFonts w:eastAsia="Times New Roman"/>
        </w:rPr>
        <w:t xml:space="preserve"> D, Buttery J, et al. Congenital and neonatal varicella: impact of the national varicella vaccination programme in Australia. </w:t>
      </w:r>
      <w:r w:rsidRPr="00010337">
        <w:rPr>
          <w:rStyle w:val="Emphasis"/>
          <w:rFonts w:eastAsia="Times New Roman"/>
          <w:b w:val="0"/>
        </w:rPr>
        <w:t>Archives of Disease in Childhood</w:t>
      </w:r>
      <w:r w:rsidRPr="00010337">
        <w:rPr>
          <w:rFonts w:eastAsia="Times New Roman"/>
        </w:rPr>
        <w:t xml:space="preserve"> 2011;96:453-456.</w:t>
      </w:r>
    </w:p>
    <w:p w14:paraId="57078023"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Marshall HS, McIntyre P, Richmond P, Buttery JP, Royle JA, Gold MS, et al. Changes in patterns of hospitalized children with varicella and of associated varicella genotypes after introduction of varicella vaccine in Australia. </w:t>
      </w:r>
      <w:r w:rsidRPr="00010337">
        <w:rPr>
          <w:rStyle w:val="Emphasis"/>
          <w:rFonts w:eastAsia="Times New Roman"/>
          <w:b w:val="0"/>
        </w:rPr>
        <w:t>Pediatric Infectious Disease Journal</w:t>
      </w:r>
      <w:r w:rsidRPr="00010337">
        <w:rPr>
          <w:rFonts w:eastAsia="Times New Roman"/>
        </w:rPr>
        <w:t xml:space="preserve"> 2013;32:530-537.</w:t>
      </w:r>
    </w:p>
    <w:p w14:paraId="55CBA391"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Carville KS, Grant KA, Kelly HA. Herpes zoster in Australia. </w:t>
      </w:r>
      <w:r w:rsidRPr="00010337">
        <w:rPr>
          <w:rStyle w:val="Emphasis"/>
          <w:rFonts w:eastAsia="Times New Roman"/>
          <w:b w:val="0"/>
        </w:rPr>
        <w:t>Epidemiology and infection</w:t>
      </w:r>
      <w:r w:rsidRPr="00010337">
        <w:rPr>
          <w:rFonts w:eastAsia="Times New Roman"/>
        </w:rPr>
        <w:t xml:space="preserve"> 2012;140:599-600; author reply 600-591.</w:t>
      </w:r>
    </w:p>
    <w:p w14:paraId="004EDE40" w14:textId="77777777" w:rsidR="009E3A88" w:rsidRPr="00010337" w:rsidRDefault="009E3A88" w:rsidP="00010337">
      <w:pPr>
        <w:pStyle w:val="ListParagraph"/>
        <w:numPr>
          <w:ilvl w:val="0"/>
          <w:numId w:val="7"/>
        </w:numPr>
        <w:rPr>
          <w:rFonts w:eastAsia="Times New Roman"/>
        </w:rPr>
      </w:pPr>
      <w:proofErr w:type="spellStart"/>
      <w:r w:rsidRPr="00010337">
        <w:rPr>
          <w:rFonts w:eastAsia="Times New Roman"/>
        </w:rPr>
        <w:t>MacIntyre</w:t>
      </w:r>
      <w:proofErr w:type="spellEnd"/>
      <w:r w:rsidRPr="00010337">
        <w:rPr>
          <w:rFonts w:eastAsia="Times New Roman"/>
        </w:rPr>
        <w:t xml:space="preserve"> R, Stein A, Harrison C, Britt H, </w:t>
      </w:r>
      <w:proofErr w:type="spellStart"/>
      <w:r w:rsidRPr="00010337">
        <w:rPr>
          <w:rFonts w:eastAsia="Times New Roman"/>
        </w:rPr>
        <w:t>Mahimbo</w:t>
      </w:r>
      <w:proofErr w:type="spellEnd"/>
      <w:r w:rsidRPr="00010337">
        <w:rPr>
          <w:rFonts w:eastAsia="Times New Roman"/>
        </w:rPr>
        <w:t xml:space="preserve"> A, Cunningham A. Increasing trends of herpes zoster in Australia. </w:t>
      </w:r>
      <w:proofErr w:type="spellStart"/>
      <w:r w:rsidRPr="00010337">
        <w:rPr>
          <w:rStyle w:val="Emphasis"/>
          <w:rFonts w:eastAsia="Times New Roman"/>
          <w:b w:val="0"/>
        </w:rPr>
        <w:t>PloS</w:t>
      </w:r>
      <w:proofErr w:type="spellEnd"/>
      <w:r w:rsidRPr="00010337">
        <w:rPr>
          <w:rStyle w:val="Emphasis"/>
          <w:rFonts w:eastAsia="Times New Roman"/>
          <w:b w:val="0"/>
        </w:rPr>
        <w:t xml:space="preserve"> one</w:t>
      </w:r>
      <w:r w:rsidRPr="00010337">
        <w:rPr>
          <w:rFonts w:eastAsia="Times New Roman"/>
        </w:rPr>
        <w:t xml:space="preserve"> 2015;10:e0125025.</w:t>
      </w:r>
    </w:p>
    <w:p w14:paraId="6CB0F84B" w14:textId="77777777" w:rsidR="009E3A88" w:rsidRPr="00010337" w:rsidRDefault="009E3A88" w:rsidP="00010337">
      <w:pPr>
        <w:pStyle w:val="ListParagraph"/>
        <w:numPr>
          <w:ilvl w:val="0"/>
          <w:numId w:val="7"/>
        </w:numPr>
        <w:rPr>
          <w:rFonts w:eastAsia="Times New Roman"/>
        </w:rPr>
      </w:pPr>
      <w:r w:rsidRPr="00010337">
        <w:rPr>
          <w:rFonts w:eastAsia="Times New Roman"/>
        </w:rPr>
        <w:t>Communicable Diseases Network Australia. Surveillance case definitions for the Australian National Notifiable Diseases Surveillance System 2017. Accessed on 29 March 2017. Available from: http://www.health.gov.au/casedefinitions</w:t>
      </w:r>
    </w:p>
    <w:p w14:paraId="5C32342E"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Galil K, Pletcher MJ, Wallace BJ, Seward J, Meyer PA, Baughman AL, et al. Tracking Varicella Deaths: Accuracy and Completeness of Death Certificates and Hospital Discharge Records, New York State, 1989–1995. </w:t>
      </w:r>
      <w:r w:rsidRPr="00010337">
        <w:rPr>
          <w:rStyle w:val="Emphasis"/>
          <w:rFonts w:eastAsia="Times New Roman"/>
          <w:b w:val="0"/>
        </w:rPr>
        <w:t>American Journal of Public Health</w:t>
      </w:r>
      <w:r w:rsidRPr="00010337">
        <w:rPr>
          <w:rFonts w:eastAsia="Times New Roman"/>
        </w:rPr>
        <w:t xml:space="preserve"> 2002;92:1248-1250.</w:t>
      </w:r>
    </w:p>
    <w:p w14:paraId="0D08B656" w14:textId="77777777" w:rsidR="009E3A88" w:rsidRPr="00010337" w:rsidRDefault="009E3A88" w:rsidP="00010337">
      <w:pPr>
        <w:pStyle w:val="ListParagraph"/>
        <w:numPr>
          <w:ilvl w:val="0"/>
          <w:numId w:val="7"/>
        </w:numPr>
        <w:rPr>
          <w:rFonts w:eastAsia="Times New Roman"/>
        </w:rPr>
      </w:pPr>
      <w:r w:rsidRPr="00010337">
        <w:rPr>
          <w:rFonts w:eastAsia="Times New Roman"/>
        </w:rPr>
        <w:t>Australian Institute of Health and Welfare. Indigenous identification in hospital separations data—quality report. Health Services Series no. 35. Cat. no. HSE 85. Canberra; 2010. Available from: http://www.aihw.gov.au/publication-detail/?id=6442468330 .</w:t>
      </w:r>
    </w:p>
    <w:p w14:paraId="2247AAC1" w14:textId="77777777" w:rsidR="009E3A88" w:rsidRPr="00010337" w:rsidRDefault="009E3A88" w:rsidP="00010337">
      <w:pPr>
        <w:pStyle w:val="ListParagraph"/>
        <w:numPr>
          <w:ilvl w:val="0"/>
          <w:numId w:val="7"/>
        </w:numPr>
        <w:rPr>
          <w:rFonts w:eastAsia="Times New Roman"/>
        </w:rPr>
      </w:pPr>
      <w:proofErr w:type="spellStart"/>
      <w:r w:rsidRPr="00010337">
        <w:rPr>
          <w:rFonts w:eastAsia="Times New Roman"/>
        </w:rPr>
        <w:t>Waye</w:t>
      </w:r>
      <w:proofErr w:type="spellEnd"/>
      <w:r w:rsidRPr="00010337">
        <w:rPr>
          <w:rFonts w:eastAsia="Times New Roman"/>
        </w:rPr>
        <w:t xml:space="preserve"> A, Jacobs P, Tan B. The impact of the universal infant varicella immunization strategy on Canadian varicella-related hospitalization rates. </w:t>
      </w:r>
      <w:r w:rsidRPr="00010337">
        <w:rPr>
          <w:rStyle w:val="Emphasis"/>
          <w:rFonts w:eastAsia="Times New Roman"/>
          <w:b w:val="0"/>
        </w:rPr>
        <w:t>Vaccine</w:t>
      </w:r>
      <w:r w:rsidRPr="00010337">
        <w:rPr>
          <w:rFonts w:eastAsia="Times New Roman"/>
        </w:rPr>
        <w:t xml:space="preserve"> 2013;31:4744-4748.</w:t>
      </w:r>
    </w:p>
    <w:p w14:paraId="326E79B8"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Singleton RJ, Holman RC, Person MK, Steiner CA, Redd JT, Hennessy TW, et al. Impact of Varicella Vaccination on Varicella-related Hospitalizations Among American Indian/Alaska Native People. </w:t>
      </w:r>
      <w:r w:rsidRPr="00010337">
        <w:rPr>
          <w:rStyle w:val="Emphasis"/>
          <w:rFonts w:eastAsia="Times New Roman"/>
          <w:b w:val="0"/>
        </w:rPr>
        <w:t>Pediatric Infectious Disease Journal</w:t>
      </w:r>
      <w:r w:rsidRPr="00010337">
        <w:rPr>
          <w:rFonts w:eastAsia="Times New Roman"/>
        </w:rPr>
        <w:t xml:space="preserve"> 2014;33:276-279.</w:t>
      </w:r>
    </w:p>
    <w:p w14:paraId="534045E2" w14:textId="77777777" w:rsidR="009E3A88" w:rsidRPr="00010337" w:rsidRDefault="009E3A88" w:rsidP="00010337">
      <w:pPr>
        <w:pStyle w:val="ListParagraph"/>
        <w:numPr>
          <w:ilvl w:val="0"/>
          <w:numId w:val="7"/>
        </w:numPr>
        <w:rPr>
          <w:rFonts w:eastAsia="Times New Roman"/>
        </w:rPr>
      </w:pPr>
      <w:r w:rsidRPr="00010337">
        <w:rPr>
          <w:rFonts w:eastAsia="Times New Roman"/>
        </w:rPr>
        <w:lastRenderedPageBreak/>
        <w:t xml:space="preserve">Davis MM, Patel MS, </w:t>
      </w:r>
      <w:proofErr w:type="spellStart"/>
      <w:r w:rsidRPr="00010337">
        <w:rPr>
          <w:rFonts w:eastAsia="Times New Roman"/>
        </w:rPr>
        <w:t>Gebremariam</w:t>
      </w:r>
      <w:proofErr w:type="spellEnd"/>
      <w:r w:rsidRPr="00010337">
        <w:rPr>
          <w:rFonts w:eastAsia="Times New Roman"/>
        </w:rPr>
        <w:t xml:space="preserve"> A. Decline in varicella-related hospitalizations and expenditures for children and adults after introduction of varicella vaccine in the United States. </w:t>
      </w:r>
      <w:proofErr w:type="spellStart"/>
      <w:r w:rsidRPr="00010337">
        <w:rPr>
          <w:rStyle w:val="Emphasis"/>
          <w:rFonts w:eastAsia="Times New Roman"/>
          <w:b w:val="0"/>
        </w:rPr>
        <w:t>Pediatrics</w:t>
      </w:r>
      <w:proofErr w:type="spellEnd"/>
      <w:r w:rsidRPr="00010337">
        <w:rPr>
          <w:rFonts w:eastAsia="Times New Roman"/>
        </w:rPr>
        <w:t xml:space="preserve"> 2004;114:786-792.</w:t>
      </w:r>
    </w:p>
    <w:p w14:paraId="63C5D839"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Varicella and herpes zoster vaccines: WHO position paper, June 2014. </w:t>
      </w:r>
      <w:proofErr w:type="spellStart"/>
      <w:r w:rsidRPr="00010337">
        <w:rPr>
          <w:rStyle w:val="Emphasis"/>
          <w:rFonts w:eastAsia="Times New Roman"/>
          <w:b w:val="0"/>
        </w:rPr>
        <w:t>Releve</w:t>
      </w:r>
      <w:proofErr w:type="spellEnd"/>
      <w:r w:rsidRPr="00010337">
        <w:rPr>
          <w:rStyle w:val="Emphasis"/>
          <w:rFonts w:eastAsia="Times New Roman"/>
          <w:b w:val="0"/>
        </w:rPr>
        <w:t xml:space="preserve"> </w:t>
      </w:r>
      <w:proofErr w:type="spellStart"/>
      <w:r w:rsidRPr="00010337">
        <w:rPr>
          <w:rStyle w:val="Emphasis"/>
          <w:rFonts w:eastAsia="Times New Roman"/>
          <w:b w:val="0"/>
        </w:rPr>
        <w:t>epidemiologique</w:t>
      </w:r>
      <w:proofErr w:type="spellEnd"/>
      <w:r w:rsidRPr="00010337">
        <w:rPr>
          <w:rStyle w:val="Emphasis"/>
          <w:rFonts w:eastAsia="Times New Roman"/>
          <w:b w:val="0"/>
        </w:rPr>
        <w:t xml:space="preserve"> </w:t>
      </w:r>
      <w:proofErr w:type="spellStart"/>
      <w:r w:rsidRPr="00010337">
        <w:rPr>
          <w:rStyle w:val="Emphasis"/>
          <w:rFonts w:eastAsia="Times New Roman"/>
          <w:b w:val="0"/>
        </w:rPr>
        <w:t>hebdomadaire</w:t>
      </w:r>
      <w:proofErr w:type="spellEnd"/>
      <w:r w:rsidRPr="00010337">
        <w:rPr>
          <w:rStyle w:val="Emphasis"/>
          <w:rFonts w:eastAsia="Times New Roman"/>
          <w:b w:val="0"/>
        </w:rPr>
        <w:t xml:space="preserve"> / Section </w:t>
      </w:r>
      <w:proofErr w:type="spellStart"/>
      <w:r w:rsidRPr="00010337">
        <w:rPr>
          <w:rStyle w:val="Emphasis"/>
          <w:rFonts w:eastAsia="Times New Roman"/>
          <w:b w:val="0"/>
        </w:rPr>
        <w:t>d’hygiene</w:t>
      </w:r>
      <w:proofErr w:type="spellEnd"/>
      <w:r w:rsidRPr="00010337">
        <w:rPr>
          <w:rStyle w:val="Emphasis"/>
          <w:rFonts w:eastAsia="Times New Roman"/>
          <w:b w:val="0"/>
        </w:rPr>
        <w:t xml:space="preserve"> du </w:t>
      </w:r>
      <w:proofErr w:type="spellStart"/>
      <w:r w:rsidRPr="00010337">
        <w:rPr>
          <w:rStyle w:val="Emphasis"/>
          <w:rFonts w:eastAsia="Times New Roman"/>
          <w:b w:val="0"/>
        </w:rPr>
        <w:t>Secr</w:t>
      </w:r>
      <w:proofErr w:type="spellEnd"/>
      <w:r w:rsidRPr="00010337">
        <w:rPr>
          <w:rFonts w:eastAsia="Times New Roman"/>
        </w:rPr>
        <w:t xml:space="preserve"> 2014;89:265-287.</w:t>
      </w:r>
    </w:p>
    <w:p w14:paraId="3804FCD7"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Lin F, </w:t>
      </w:r>
      <w:proofErr w:type="spellStart"/>
      <w:r w:rsidRPr="00010337">
        <w:rPr>
          <w:rFonts w:eastAsia="Times New Roman"/>
        </w:rPr>
        <w:t>Hadler</w:t>
      </w:r>
      <w:proofErr w:type="spellEnd"/>
      <w:r w:rsidRPr="00010337">
        <w:rPr>
          <w:rFonts w:eastAsia="Times New Roman"/>
        </w:rPr>
        <w:t xml:space="preserve"> JL. Epidemiology of primary varicella and herpes zoster hospitalizations: the pre-varicella vaccine era. </w:t>
      </w:r>
      <w:r w:rsidRPr="00010337">
        <w:rPr>
          <w:rStyle w:val="Emphasis"/>
          <w:rFonts w:eastAsia="Times New Roman"/>
          <w:b w:val="0"/>
        </w:rPr>
        <w:t>The Journal of infectious diseases</w:t>
      </w:r>
      <w:r w:rsidRPr="00010337">
        <w:rPr>
          <w:rFonts w:eastAsia="Times New Roman"/>
        </w:rPr>
        <w:t xml:space="preserve"> 2000;181:1897-1905.</w:t>
      </w:r>
    </w:p>
    <w:p w14:paraId="3264A0CB"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Sheridan SL, Quinn HE, Hull BP, Ware RS, </w:t>
      </w:r>
      <w:proofErr w:type="spellStart"/>
      <w:r w:rsidRPr="00010337">
        <w:rPr>
          <w:rFonts w:eastAsia="Times New Roman"/>
        </w:rPr>
        <w:t>Grimwood</w:t>
      </w:r>
      <w:proofErr w:type="spellEnd"/>
      <w:r w:rsidRPr="00010337">
        <w:rPr>
          <w:rFonts w:eastAsia="Times New Roman"/>
        </w:rPr>
        <w:t xml:space="preserve"> K, Lambert SB. </w:t>
      </w:r>
      <w:proofErr w:type="gramStart"/>
      <w:r w:rsidRPr="00010337">
        <w:rPr>
          <w:rFonts w:eastAsia="Times New Roman"/>
        </w:rPr>
        <w:t>Impact</w:t>
      </w:r>
      <w:proofErr w:type="gramEnd"/>
      <w:r w:rsidRPr="00010337">
        <w:rPr>
          <w:rFonts w:eastAsia="Times New Roman"/>
        </w:rPr>
        <w:t xml:space="preserve"> and effectiveness of childhood varicella vaccine program in Queensland, Australia. </w:t>
      </w:r>
      <w:r w:rsidRPr="00010337">
        <w:rPr>
          <w:rStyle w:val="Emphasis"/>
          <w:rFonts w:eastAsia="Times New Roman"/>
          <w:b w:val="0"/>
        </w:rPr>
        <w:t>Vaccine</w:t>
      </w:r>
      <w:r w:rsidRPr="00010337">
        <w:rPr>
          <w:rFonts w:eastAsia="Times New Roman"/>
        </w:rPr>
        <w:t xml:space="preserve"> 2017;In press.</w:t>
      </w:r>
    </w:p>
    <w:p w14:paraId="597959AC" w14:textId="77777777" w:rsidR="009E3A88" w:rsidRPr="00010337" w:rsidRDefault="009E3A88" w:rsidP="00010337">
      <w:pPr>
        <w:pStyle w:val="ListParagraph"/>
        <w:numPr>
          <w:ilvl w:val="0"/>
          <w:numId w:val="7"/>
        </w:numPr>
        <w:rPr>
          <w:rFonts w:eastAsia="Times New Roman"/>
        </w:rPr>
      </w:pPr>
      <w:r w:rsidRPr="00010337">
        <w:rPr>
          <w:rFonts w:eastAsia="Times New Roman"/>
        </w:rPr>
        <w:t>Quinn H, Gidding H, Macartney K, Marshall H, Richmond P, Crawford N, et al. Vaccine effectiveness against hospitalised varicella. Presented at: 15th National Immunisation Conference; Brisbane, Australia.</w:t>
      </w:r>
    </w:p>
    <w:p w14:paraId="1F71F1BB"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Gao Z, Gidding HF, Wood JG, </w:t>
      </w:r>
      <w:proofErr w:type="spellStart"/>
      <w:r w:rsidRPr="00010337">
        <w:rPr>
          <w:rFonts w:eastAsia="Times New Roman"/>
        </w:rPr>
        <w:t>MacIntyre</w:t>
      </w:r>
      <w:proofErr w:type="spellEnd"/>
      <w:r w:rsidRPr="00010337">
        <w:rPr>
          <w:rFonts w:eastAsia="Times New Roman"/>
        </w:rPr>
        <w:t xml:space="preserve"> CR. Modelling the impact of one-dose vs. two-dose vaccination regimens on the epidemiology of varicella zoster virus in Australia. </w:t>
      </w:r>
      <w:r w:rsidRPr="00010337">
        <w:rPr>
          <w:rStyle w:val="Emphasis"/>
          <w:rFonts w:eastAsia="Times New Roman"/>
          <w:b w:val="0"/>
        </w:rPr>
        <w:t>Epidemiology and infection</w:t>
      </w:r>
      <w:r w:rsidRPr="00010337">
        <w:rPr>
          <w:rFonts w:eastAsia="Times New Roman"/>
        </w:rPr>
        <w:t xml:space="preserve"> 2010;138:457-468.</w:t>
      </w:r>
    </w:p>
    <w:p w14:paraId="71534907"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Chaves SS, Zhang J, </w:t>
      </w:r>
      <w:proofErr w:type="spellStart"/>
      <w:r w:rsidRPr="00010337">
        <w:rPr>
          <w:rFonts w:eastAsia="Times New Roman"/>
        </w:rPr>
        <w:t>Civen</w:t>
      </w:r>
      <w:proofErr w:type="spellEnd"/>
      <w:r w:rsidRPr="00010337">
        <w:rPr>
          <w:rFonts w:eastAsia="Times New Roman"/>
        </w:rPr>
        <w:t xml:space="preserve"> R, Watson BM, Carbajal T, </w:t>
      </w:r>
      <w:proofErr w:type="spellStart"/>
      <w:r w:rsidRPr="00010337">
        <w:rPr>
          <w:rFonts w:eastAsia="Times New Roman"/>
        </w:rPr>
        <w:t>Perella</w:t>
      </w:r>
      <w:proofErr w:type="spellEnd"/>
      <w:r w:rsidRPr="00010337">
        <w:rPr>
          <w:rFonts w:eastAsia="Times New Roman"/>
        </w:rPr>
        <w:t xml:space="preserve"> D, et al. Varicella disease among vaccinated persons: clinical and epidemiological characteristics, 1997-2005. </w:t>
      </w:r>
      <w:r w:rsidRPr="00010337">
        <w:rPr>
          <w:rStyle w:val="Emphasis"/>
          <w:rFonts w:eastAsia="Times New Roman"/>
          <w:b w:val="0"/>
        </w:rPr>
        <w:t>Journal of Infectious Diseases</w:t>
      </w:r>
      <w:r w:rsidRPr="00010337">
        <w:rPr>
          <w:rFonts w:eastAsia="Times New Roman"/>
        </w:rPr>
        <w:t xml:space="preserve"> 2008;197 Suppl 2:S127-S131.</w:t>
      </w:r>
    </w:p>
    <w:p w14:paraId="2325974B"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Marin M, </w:t>
      </w:r>
      <w:proofErr w:type="spellStart"/>
      <w:r w:rsidRPr="00010337">
        <w:rPr>
          <w:rFonts w:eastAsia="Times New Roman"/>
        </w:rPr>
        <w:t>Guris</w:t>
      </w:r>
      <w:proofErr w:type="spellEnd"/>
      <w:r w:rsidRPr="00010337">
        <w:rPr>
          <w:rFonts w:eastAsia="Times New Roman"/>
        </w:rPr>
        <w:t xml:space="preserve"> D, Chaves SS, Schmid S, Seward JF, Advisory Committee on Immunization Practices </w:t>
      </w:r>
      <w:proofErr w:type="spellStart"/>
      <w:r w:rsidRPr="00010337">
        <w:rPr>
          <w:rFonts w:eastAsia="Times New Roman"/>
        </w:rPr>
        <w:t>CfDC</w:t>
      </w:r>
      <w:proofErr w:type="spellEnd"/>
      <w:r w:rsidRPr="00010337">
        <w:rPr>
          <w:rFonts w:eastAsia="Times New Roman"/>
        </w:rPr>
        <w:t xml:space="preserve">, et al. Prevention of varicella: recommendations of the Advisory Committee on Immunization Practices (ACIP). </w:t>
      </w:r>
      <w:r w:rsidRPr="00010337">
        <w:rPr>
          <w:rStyle w:val="Emphasis"/>
          <w:rFonts w:eastAsia="Times New Roman"/>
          <w:b w:val="0"/>
        </w:rPr>
        <w:t>MMWR Recommendations and reports : Morbidity and mortality weekly report Recommendations and reports</w:t>
      </w:r>
      <w:r w:rsidRPr="00010337">
        <w:rPr>
          <w:rFonts w:eastAsia="Times New Roman"/>
        </w:rPr>
        <w:t xml:space="preserve"> 2007;56:1-40.</w:t>
      </w:r>
    </w:p>
    <w:p w14:paraId="7429D48F"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Marin M, Marti M, </w:t>
      </w:r>
      <w:proofErr w:type="spellStart"/>
      <w:r w:rsidRPr="00010337">
        <w:rPr>
          <w:rFonts w:eastAsia="Times New Roman"/>
        </w:rPr>
        <w:t>Kambhampati</w:t>
      </w:r>
      <w:proofErr w:type="spellEnd"/>
      <w:r w:rsidRPr="00010337">
        <w:rPr>
          <w:rFonts w:eastAsia="Times New Roman"/>
        </w:rPr>
        <w:t xml:space="preserve"> A, Jeram SM, Seward JF. Global Varicella Vaccine Effectiveness: A Meta-analysis. </w:t>
      </w:r>
      <w:proofErr w:type="spellStart"/>
      <w:r w:rsidRPr="00010337">
        <w:rPr>
          <w:rStyle w:val="Emphasis"/>
          <w:rFonts w:eastAsia="Times New Roman"/>
          <w:b w:val="0"/>
        </w:rPr>
        <w:t>Pediatrics</w:t>
      </w:r>
      <w:proofErr w:type="spellEnd"/>
      <w:r w:rsidRPr="00010337">
        <w:rPr>
          <w:rFonts w:eastAsia="Times New Roman"/>
        </w:rPr>
        <w:t xml:space="preserve"> 2016;137:e20153741.</w:t>
      </w:r>
    </w:p>
    <w:p w14:paraId="03CC7A9F"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Lopez AS, </w:t>
      </w:r>
      <w:proofErr w:type="spellStart"/>
      <w:r w:rsidRPr="00010337">
        <w:rPr>
          <w:rFonts w:eastAsia="Times New Roman"/>
        </w:rPr>
        <w:t>Guris</w:t>
      </w:r>
      <w:proofErr w:type="spellEnd"/>
      <w:r w:rsidRPr="00010337">
        <w:rPr>
          <w:rFonts w:eastAsia="Times New Roman"/>
        </w:rPr>
        <w:t xml:space="preserve"> D, Zimmerman L, Gladden L, Moore T, </w:t>
      </w:r>
      <w:proofErr w:type="spellStart"/>
      <w:r w:rsidRPr="00010337">
        <w:rPr>
          <w:rFonts w:eastAsia="Times New Roman"/>
        </w:rPr>
        <w:t>Haselow</w:t>
      </w:r>
      <w:proofErr w:type="spellEnd"/>
      <w:r w:rsidRPr="00010337">
        <w:rPr>
          <w:rFonts w:eastAsia="Times New Roman"/>
        </w:rPr>
        <w:t xml:space="preserve"> DT, et al. One dose of varicella vaccine does not prevent school outbreaks: is it time for a second dose? </w:t>
      </w:r>
      <w:proofErr w:type="spellStart"/>
      <w:r w:rsidRPr="00010337">
        <w:rPr>
          <w:rStyle w:val="Emphasis"/>
          <w:rFonts w:eastAsia="Times New Roman"/>
          <w:b w:val="0"/>
        </w:rPr>
        <w:t>Pediatrics</w:t>
      </w:r>
      <w:proofErr w:type="spellEnd"/>
      <w:r w:rsidRPr="00010337">
        <w:rPr>
          <w:rFonts w:eastAsia="Times New Roman"/>
        </w:rPr>
        <w:t xml:space="preserve"> 2006;117:e1070-1077.</w:t>
      </w:r>
    </w:p>
    <w:p w14:paraId="5688E53A" w14:textId="77777777" w:rsidR="009E3A88" w:rsidRPr="00010337" w:rsidRDefault="009E3A88" w:rsidP="00010337">
      <w:pPr>
        <w:pStyle w:val="ListParagraph"/>
        <w:numPr>
          <w:ilvl w:val="0"/>
          <w:numId w:val="7"/>
        </w:numPr>
        <w:rPr>
          <w:rFonts w:eastAsia="Times New Roman"/>
        </w:rPr>
      </w:pPr>
      <w:proofErr w:type="spellStart"/>
      <w:r w:rsidRPr="00010337">
        <w:rPr>
          <w:rFonts w:eastAsia="Times New Roman"/>
        </w:rPr>
        <w:t>Bialek</w:t>
      </w:r>
      <w:proofErr w:type="spellEnd"/>
      <w:r w:rsidRPr="00010337">
        <w:rPr>
          <w:rFonts w:eastAsia="Times New Roman"/>
        </w:rPr>
        <w:t xml:space="preserve"> SR, </w:t>
      </w:r>
      <w:proofErr w:type="spellStart"/>
      <w:r w:rsidRPr="00010337">
        <w:rPr>
          <w:rFonts w:eastAsia="Times New Roman"/>
        </w:rPr>
        <w:t>Perella</w:t>
      </w:r>
      <w:proofErr w:type="spellEnd"/>
      <w:r w:rsidRPr="00010337">
        <w:rPr>
          <w:rFonts w:eastAsia="Times New Roman"/>
        </w:rPr>
        <w:t xml:space="preserve"> D, Zhang J, </w:t>
      </w:r>
      <w:proofErr w:type="spellStart"/>
      <w:r w:rsidRPr="00010337">
        <w:rPr>
          <w:rFonts w:eastAsia="Times New Roman"/>
        </w:rPr>
        <w:t>Mascola</w:t>
      </w:r>
      <w:proofErr w:type="spellEnd"/>
      <w:r w:rsidRPr="00010337">
        <w:rPr>
          <w:rFonts w:eastAsia="Times New Roman"/>
        </w:rPr>
        <w:t xml:space="preserve"> L, Viner K, Jackson C, et al. Impact of a routine two-dose varicella vaccination program on varicella epidemiology. </w:t>
      </w:r>
      <w:proofErr w:type="spellStart"/>
      <w:r w:rsidRPr="00010337">
        <w:rPr>
          <w:rStyle w:val="Emphasis"/>
          <w:rFonts w:eastAsia="Times New Roman"/>
          <w:b w:val="0"/>
        </w:rPr>
        <w:t>Pediatrics</w:t>
      </w:r>
      <w:proofErr w:type="spellEnd"/>
      <w:r w:rsidRPr="00010337">
        <w:rPr>
          <w:rFonts w:eastAsia="Times New Roman"/>
        </w:rPr>
        <w:t xml:space="preserve"> 2013;132:e1134-1140.</w:t>
      </w:r>
    </w:p>
    <w:p w14:paraId="5CCEB623"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Lopez AS, Zhang J, Marin M. Epidemiology of Varicella During the 2-Dose Varicella Vaccination Program - United States, 2005-2014. </w:t>
      </w:r>
      <w:r w:rsidRPr="00010337">
        <w:rPr>
          <w:rStyle w:val="Emphasis"/>
          <w:rFonts w:eastAsia="Times New Roman"/>
          <w:b w:val="0"/>
        </w:rPr>
        <w:t>MMWR Morbidity and mortality weekly report</w:t>
      </w:r>
      <w:r w:rsidRPr="00010337">
        <w:rPr>
          <w:rFonts w:eastAsia="Times New Roman"/>
        </w:rPr>
        <w:t xml:space="preserve"> 2016;65:902-905.</w:t>
      </w:r>
    </w:p>
    <w:p w14:paraId="012E5547"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Leung J, Lopez AS, </w:t>
      </w:r>
      <w:proofErr w:type="spellStart"/>
      <w:r w:rsidRPr="00010337">
        <w:rPr>
          <w:rFonts w:eastAsia="Times New Roman"/>
        </w:rPr>
        <w:t>Blostein</w:t>
      </w:r>
      <w:proofErr w:type="spellEnd"/>
      <w:r w:rsidRPr="00010337">
        <w:rPr>
          <w:rFonts w:eastAsia="Times New Roman"/>
        </w:rPr>
        <w:t xml:space="preserve"> J, Thayer N, </w:t>
      </w:r>
      <w:proofErr w:type="spellStart"/>
      <w:r w:rsidRPr="00010337">
        <w:rPr>
          <w:rFonts w:eastAsia="Times New Roman"/>
        </w:rPr>
        <w:t>Zipprich</w:t>
      </w:r>
      <w:proofErr w:type="spellEnd"/>
      <w:r w:rsidRPr="00010337">
        <w:rPr>
          <w:rFonts w:eastAsia="Times New Roman"/>
        </w:rPr>
        <w:t xml:space="preserve"> J, Clayton A, et al. Impact of the US Two-dose Varicella Vaccination Program on the Epidemiology of Varicella Outbreaks: Data from Nine States, 2005-2012. </w:t>
      </w:r>
      <w:r w:rsidRPr="00010337">
        <w:rPr>
          <w:rStyle w:val="Emphasis"/>
          <w:rFonts w:eastAsia="Times New Roman"/>
          <w:b w:val="0"/>
        </w:rPr>
        <w:t>The Pediatric infectious disease journal</w:t>
      </w:r>
      <w:r w:rsidRPr="00010337">
        <w:rPr>
          <w:rFonts w:eastAsia="Times New Roman"/>
        </w:rPr>
        <w:t xml:space="preserve"> 2015;34:1105-1109.</w:t>
      </w:r>
    </w:p>
    <w:p w14:paraId="698A423B"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Marin M, Zhang JX, Seward JF. Near elimination of varicella deaths in the US after implementation of the vaccination program. </w:t>
      </w:r>
      <w:proofErr w:type="spellStart"/>
      <w:r w:rsidRPr="00010337">
        <w:rPr>
          <w:rStyle w:val="Emphasis"/>
          <w:rFonts w:eastAsia="Times New Roman"/>
          <w:b w:val="0"/>
        </w:rPr>
        <w:t>Pediatrics</w:t>
      </w:r>
      <w:proofErr w:type="spellEnd"/>
      <w:r w:rsidRPr="00010337">
        <w:rPr>
          <w:rFonts w:eastAsia="Times New Roman"/>
        </w:rPr>
        <w:t xml:space="preserve"> 2011;128:214-220.</w:t>
      </w:r>
    </w:p>
    <w:p w14:paraId="781BCF89" w14:textId="77777777" w:rsidR="009E3A88" w:rsidRPr="00010337" w:rsidRDefault="009E3A88" w:rsidP="00010337">
      <w:pPr>
        <w:pStyle w:val="ListParagraph"/>
        <w:numPr>
          <w:ilvl w:val="0"/>
          <w:numId w:val="7"/>
        </w:numPr>
        <w:rPr>
          <w:rFonts w:eastAsia="Times New Roman"/>
        </w:rPr>
      </w:pPr>
      <w:r w:rsidRPr="00010337">
        <w:rPr>
          <w:rFonts w:eastAsia="Times New Roman"/>
        </w:rPr>
        <w:t>Department of Health. PBAC Public Summary Documents - November 2007. 2007. Accessed on 17 February 2017. Available from: http://www.pbs.gov.au/info/industry/listing/elements/pbac-meetings/psd/2007-11/pbac-psd-measles-nov07</w:t>
      </w:r>
    </w:p>
    <w:p w14:paraId="5DF5BAF8"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Macartney K. Prevention of varicella: time for two-dose vaccination. </w:t>
      </w:r>
      <w:r w:rsidRPr="00010337">
        <w:rPr>
          <w:rStyle w:val="Emphasis"/>
          <w:rFonts w:eastAsia="Times New Roman"/>
          <w:b w:val="0"/>
        </w:rPr>
        <w:t>Lancet</w:t>
      </w:r>
      <w:r w:rsidRPr="00010337">
        <w:rPr>
          <w:rFonts w:eastAsia="Times New Roman"/>
        </w:rPr>
        <w:t xml:space="preserve"> 2014;383:1276-1277.</w:t>
      </w:r>
    </w:p>
    <w:p w14:paraId="3712B434"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Liu B, Heywood AE, Reekie J, Banks E, Kaldor JM, McIntyre P, et al. Risk factors for herpes zoster in a large cohort of unvaccinated older adults: a prospective cohort study. </w:t>
      </w:r>
      <w:r w:rsidRPr="00010337">
        <w:rPr>
          <w:rStyle w:val="Emphasis"/>
          <w:rFonts w:eastAsia="Times New Roman"/>
          <w:b w:val="0"/>
        </w:rPr>
        <w:t>Epidemiology and infection</w:t>
      </w:r>
      <w:r w:rsidRPr="00010337">
        <w:rPr>
          <w:rFonts w:eastAsia="Times New Roman"/>
        </w:rPr>
        <w:t xml:space="preserve"> 2015;143:2871-2881.</w:t>
      </w:r>
    </w:p>
    <w:p w14:paraId="63980F3F" w14:textId="77777777" w:rsidR="009E3A88" w:rsidRPr="00010337" w:rsidRDefault="009E3A88" w:rsidP="00010337">
      <w:pPr>
        <w:pStyle w:val="ListParagraph"/>
        <w:numPr>
          <w:ilvl w:val="0"/>
          <w:numId w:val="7"/>
        </w:numPr>
        <w:rPr>
          <w:rFonts w:eastAsia="Times New Roman"/>
        </w:rPr>
      </w:pPr>
      <w:proofErr w:type="spellStart"/>
      <w:r w:rsidRPr="00010337">
        <w:rPr>
          <w:rFonts w:eastAsia="Times New Roman"/>
        </w:rPr>
        <w:t>Carapetis</w:t>
      </w:r>
      <w:proofErr w:type="spellEnd"/>
      <w:r w:rsidRPr="00010337">
        <w:rPr>
          <w:rFonts w:eastAsia="Times New Roman"/>
        </w:rPr>
        <w:t xml:space="preserve"> JR, Russell DM, Curtis N. The burden and cost of hospitalised varicella and zoster in Australian children. </w:t>
      </w:r>
      <w:r w:rsidRPr="00010337">
        <w:rPr>
          <w:rStyle w:val="Emphasis"/>
          <w:rFonts w:eastAsia="Times New Roman"/>
          <w:b w:val="0"/>
        </w:rPr>
        <w:t>Vaccine</w:t>
      </w:r>
      <w:r w:rsidRPr="00010337">
        <w:rPr>
          <w:rFonts w:eastAsia="Times New Roman"/>
        </w:rPr>
        <w:t xml:space="preserve"> 2004;23:755-761.</w:t>
      </w:r>
    </w:p>
    <w:p w14:paraId="5B8DD45A"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Stein AN, Britt H, Harrison C, Conway EL, Cunningham A, Macintyre CR. Herpes zoster burden of illness and health care resource utilisation in the Australian population aged 50 years and older. </w:t>
      </w:r>
      <w:r w:rsidRPr="00010337">
        <w:rPr>
          <w:rStyle w:val="Emphasis"/>
          <w:rFonts w:eastAsia="Times New Roman"/>
          <w:b w:val="0"/>
        </w:rPr>
        <w:t>Vaccine</w:t>
      </w:r>
      <w:r w:rsidRPr="00010337">
        <w:rPr>
          <w:rFonts w:eastAsia="Times New Roman"/>
        </w:rPr>
        <w:t xml:space="preserve"> 2009;27:520-529.</w:t>
      </w:r>
    </w:p>
    <w:p w14:paraId="6B18732F" w14:textId="77777777" w:rsidR="009E3A88" w:rsidRPr="00010337" w:rsidRDefault="009E3A88" w:rsidP="00010337">
      <w:pPr>
        <w:pStyle w:val="ListParagraph"/>
        <w:numPr>
          <w:ilvl w:val="0"/>
          <w:numId w:val="7"/>
        </w:numPr>
        <w:rPr>
          <w:rFonts w:eastAsia="Times New Roman"/>
        </w:rPr>
      </w:pPr>
      <w:proofErr w:type="spellStart"/>
      <w:r w:rsidRPr="00010337">
        <w:rPr>
          <w:rFonts w:eastAsia="Times New Roman"/>
        </w:rPr>
        <w:t>Opstelten</w:t>
      </w:r>
      <w:proofErr w:type="spellEnd"/>
      <w:r w:rsidRPr="00010337">
        <w:rPr>
          <w:rFonts w:eastAsia="Times New Roman"/>
        </w:rPr>
        <w:t xml:space="preserve"> W, Van Essen GA, </w:t>
      </w:r>
      <w:proofErr w:type="spellStart"/>
      <w:r w:rsidRPr="00010337">
        <w:rPr>
          <w:rFonts w:eastAsia="Times New Roman"/>
        </w:rPr>
        <w:t>Schellevis</w:t>
      </w:r>
      <w:proofErr w:type="spellEnd"/>
      <w:r w:rsidRPr="00010337">
        <w:rPr>
          <w:rFonts w:eastAsia="Times New Roman"/>
        </w:rPr>
        <w:t xml:space="preserve"> F, Verheij TJ, Moons KG. Gender as an independent risk factor for herpes zoster: a population-based prospective study. </w:t>
      </w:r>
      <w:r w:rsidRPr="00010337">
        <w:rPr>
          <w:rStyle w:val="Emphasis"/>
          <w:rFonts w:eastAsia="Times New Roman"/>
          <w:b w:val="0"/>
        </w:rPr>
        <w:t>Annals of epidemiology</w:t>
      </w:r>
      <w:r w:rsidRPr="00010337">
        <w:rPr>
          <w:rFonts w:eastAsia="Times New Roman"/>
        </w:rPr>
        <w:t xml:space="preserve"> 2006;16:692-695.</w:t>
      </w:r>
    </w:p>
    <w:p w14:paraId="2407C0E5" w14:textId="77777777" w:rsidR="009E3A88" w:rsidRPr="00010337" w:rsidRDefault="009E3A88" w:rsidP="00010337">
      <w:pPr>
        <w:pStyle w:val="ListParagraph"/>
        <w:numPr>
          <w:ilvl w:val="0"/>
          <w:numId w:val="7"/>
        </w:numPr>
        <w:rPr>
          <w:rFonts w:eastAsia="Times New Roman"/>
        </w:rPr>
      </w:pPr>
      <w:r w:rsidRPr="00010337">
        <w:rPr>
          <w:rFonts w:eastAsia="Times New Roman"/>
        </w:rPr>
        <w:lastRenderedPageBreak/>
        <w:t xml:space="preserve">Kaczmarek MC, Ware RS, Lambert SB. The contribution of PCR testing to influenza and pertussis notifications in Australia. </w:t>
      </w:r>
      <w:r w:rsidRPr="00010337">
        <w:rPr>
          <w:rStyle w:val="Emphasis"/>
          <w:rFonts w:eastAsia="Times New Roman"/>
          <w:b w:val="0"/>
        </w:rPr>
        <w:t>Epidemiology and infection</w:t>
      </w:r>
      <w:r w:rsidRPr="00010337">
        <w:rPr>
          <w:rFonts w:eastAsia="Times New Roman"/>
        </w:rPr>
        <w:t xml:space="preserve"> 2016;144:306-314.</w:t>
      </w:r>
    </w:p>
    <w:p w14:paraId="587FDD8B"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Carville KS, Riddell MA, Kelly HA. A decline in varicella but an uncertain impact on zoster following varicella vaccination in Victoria, Australia. </w:t>
      </w:r>
      <w:r w:rsidRPr="00010337">
        <w:rPr>
          <w:rStyle w:val="Emphasis"/>
          <w:rFonts w:eastAsia="Times New Roman"/>
          <w:b w:val="0"/>
        </w:rPr>
        <w:t>Vaccine</w:t>
      </w:r>
      <w:r w:rsidRPr="00010337">
        <w:rPr>
          <w:rFonts w:eastAsia="Times New Roman"/>
        </w:rPr>
        <w:t xml:space="preserve"> 2010;28:2532-2538.</w:t>
      </w:r>
    </w:p>
    <w:p w14:paraId="3C62FADB"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Nelson MR, Britt HC, Harrison CM. Evidence of increasing frequency of herpes zoster management in Australian general practice since the introduction of a varicella vaccine. </w:t>
      </w:r>
      <w:r w:rsidRPr="00010337">
        <w:rPr>
          <w:rStyle w:val="Emphasis"/>
          <w:rFonts w:eastAsia="Times New Roman"/>
          <w:b w:val="0"/>
        </w:rPr>
        <w:t>Medical Journal of Australia</w:t>
      </w:r>
      <w:r w:rsidRPr="00010337">
        <w:rPr>
          <w:rFonts w:eastAsia="Times New Roman"/>
        </w:rPr>
        <w:t xml:space="preserve"> 2010;193:110-113.</w:t>
      </w:r>
    </w:p>
    <w:p w14:paraId="3C3E89D6"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Jardine A, </w:t>
      </w:r>
      <w:proofErr w:type="spellStart"/>
      <w:r w:rsidRPr="00010337">
        <w:rPr>
          <w:rFonts w:eastAsia="Times New Roman"/>
        </w:rPr>
        <w:t>Conaty</w:t>
      </w:r>
      <w:proofErr w:type="spellEnd"/>
      <w:r w:rsidRPr="00010337">
        <w:rPr>
          <w:rFonts w:eastAsia="Times New Roman"/>
        </w:rPr>
        <w:t xml:space="preserve"> SJ, Vally H. Herpes zoster in Australia: evidence of increase in incidence in adults attributable to varicella immunization? </w:t>
      </w:r>
      <w:r w:rsidRPr="00010337">
        <w:rPr>
          <w:rStyle w:val="Emphasis"/>
          <w:rFonts w:eastAsia="Times New Roman"/>
          <w:b w:val="0"/>
        </w:rPr>
        <w:t>Epidemiology and infection</w:t>
      </w:r>
      <w:r w:rsidRPr="00010337">
        <w:rPr>
          <w:rFonts w:eastAsia="Times New Roman"/>
        </w:rPr>
        <w:t xml:space="preserve"> 2011;139:658-665.</w:t>
      </w:r>
    </w:p>
    <w:p w14:paraId="463AAE42"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Kelly HA, Grant KA, Gidding H, Carville KS. Decreased varicella and increased herpes zoster incidence at a sentinel medical deputising service in a setting of increasing varicella vaccine coverage in Victoria, Australia, 1998 to 2012. </w:t>
      </w:r>
      <w:r w:rsidRPr="00010337">
        <w:rPr>
          <w:rStyle w:val="Emphasis"/>
          <w:rFonts w:eastAsia="Times New Roman"/>
          <w:b w:val="0"/>
        </w:rPr>
        <w:t xml:space="preserve">Euro Surveillance: Bulletin </w:t>
      </w:r>
      <w:proofErr w:type="spellStart"/>
      <w:r w:rsidRPr="00010337">
        <w:rPr>
          <w:rStyle w:val="Emphasis"/>
          <w:rFonts w:eastAsia="Times New Roman"/>
          <w:b w:val="0"/>
        </w:rPr>
        <w:t>Europeen</w:t>
      </w:r>
      <w:proofErr w:type="spellEnd"/>
      <w:r w:rsidRPr="00010337">
        <w:rPr>
          <w:rStyle w:val="Emphasis"/>
          <w:rFonts w:eastAsia="Times New Roman"/>
          <w:b w:val="0"/>
        </w:rPr>
        <w:t xml:space="preserve"> sur les Maladies </w:t>
      </w:r>
      <w:proofErr w:type="spellStart"/>
      <w:r w:rsidRPr="00010337">
        <w:rPr>
          <w:rStyle w:val="Emphasis"/>
          <w:rFonts w:eastAsia="Times New Roman"/>
          <w:b w:val="0"/>
        </w:rPr>
        <w:t>Transmissibles</w:t>
      </w:r>
      <w:proofErr w:type="spellEnd"/>
      <w:r w:rsidRPr="00010337">
        <w:rPr>
          <w:rStyle w:val="Emphasis"/>
          <w:rFonts w:eastAsia="Times New Roman"/>
          <w:b w:val="0"/>
        </w:rPr>
        <w:t xml:space="preserve"> = European Communicable Disease Bulletin</w:t>
      </w:r>
      <w:r w:rsidRPr="00010337">
        <w:rPr>
          <w:rFonts w:eastAsia="Times New Roman"/>
        </w:rPr>
        <w:t xml:space="preserve"> 2014;19.</w:t>
      </w:r>
    </w:p>
    <w:p w14:paraId="543BF9CF" w14:textId="77777777" w:rsidR="009E3A88" w:rsidRPr="00010337" w:rsidRDefault="009E3A88" w:rsidP="00010337">
      <w:pPr>
        <w:pStyle w:val="ListParagraph"/>
        <w:numPr>
          <w:ilvl w:val="0"/>
          <w:numId w:val="7"/>
        </w:numPr>
        <w:rPr>
          <w:rFonts w:eastAsia="Times New Roman"/>
        </w:rPr>
      </w:pPr>
      <w:proofErr w:type="spellStart"/>
      <w:r w:rsidRPr="00010337">
        <w:rPr>
          <w:rFonts w:eastAsia="Times New Roman"/>
        </w:rPr>
        <w:t>Serpell</w:t>
      </w:r>
      <w:proofErr w:type="spellEnd"/>
      <w:r w:rsidRPr="00010337">
        <w:rPr>
          <w:rFonts w:eastAsia="Times New Roman"/>
        </w:rPr>
        <w:t xml:space="preserve"> M, </w:t>
      </w:r>
      <w:proofErr w:type="spellStart"/>
      <w:r w:rsidRPr="00010337">
        <w:rPr>
          <w:rFonts w:eastAsia="Times New Roman"/>
        </w:rPr>
        <w:t>Gater</w:t>
      </w:r>
      <w:proofErr w:type="spellEnd"/>
      <w:r w:rsidRPr="00010337">
        <w:rPr>
          <w:rFonts w:eastAsia="Times New Roman"/>
        </w:rPr>
        <w:t xml:space="preserve"> A, Carroll S, Abetz-Webb L, Mannan A, Johnson R. Burden of post-herpetic neuralgia in a sample of UK residents aged 50 years or older: findings from the Zoster Quality of Life (ZQOL) study. </w:t>
      </w:r>
      <w:r w:rsidRPr="00010337">
        <w:rPr>
          <w:rStyle w:val="Emphasis"/>
          <w:rFonts w:eastAsia="Times New Roman"/>
          <w:b w:val="0"/>
        </w:rPr>
        <w:t>Health and quality of life outcomes</w:t>
      </w:r>
      <w:r w:rsidRPr="00010337">
        <w:rPr>
          <w:rFonts w:eastAsia="Times New Roman"/>
        </w:rPr>
        <w:t xml:space="preserve"> 2014;12:92.</w:t>
      </w:r>
    </w:p>
    <w:p w14:paraId="1BEB6041" w14:textId="77777777" w:rsidR="009E3A88" w:rsidRPr="00010337" w:rsidRDefault="009E3A88" w:rsidP="00010337">
      <w:pPr>
        <w:pStyle w:val="ListParagraph"/>
        <w:numPr>
          <w:ilvl w:val="0"/>
          <w:numId w:val="7"/>
        </w:numPr>
        <w:rPr>
          <w:rFonts w:eastAsia="Times New Roman"/>
        </w:rPr>
      </w:pPr>
      <w:proofErr w:type="spellStart"/>
      <w:r w:rsidRPr="00010337">
        <w:rPr>
          <w:rFonts w:eastAsia="Times New Roman"/>
        </w:rPr>
        <w:t>Drolet</w:t>
      </w:r>
      <w:proofErr w:type="spellEnd"/>
      <w:r w:rsidRPr="00010337">
        <w:rPr>
          <w:rFonts w:eastAsia="Times New Roman"/>
        </w:rPr>
        <w:t xml:space="preserve"> M, Brisson M, </w:t>
      </w:r>
      <w:proofErr w:type="spellStart"/>
      <w:r w:rsidRPr="00010337">
        <w:rPr>
          <w:rFonts w:eastAsia="Times New Roman"/>
        </w:rPr>
        <w:t>Schmader</w:t>
      </w:r>
      <w:proofErr w:type="spellEnd"/>
      <w:r w:rsidRPr="00010337">
        <w:rPr>
          <w:rFonts w:eastAsia="Times New Roman"/>
        </w:rPr>
        <w:t xml:space="preserve"> KE, Levin MJ, Johnson R, </w:t>
      </w:r>
      <w:proofErr w:type="spellStart"/>
      <w:r w:rsidRPr="00010337">
        <w:rPr>
          <w:rFonts w:eastAsia="Times New Roman"/>
        </w:rPr>
        <w:t>Oxman</w:t>
      </w:r>
      <w:proofErr w:type="spellEnd"/>
      <w:r w:rsidRPr="00010337">
        <w:rPr>
          <w:rFonts w:eastAsia="Times New Roman"/>
        </w:rPr>
        <w:t xml:space="preserve"> MN, et al. The impact of herpes zoster and postherpetic neuralgia on health-related quality of life: a prospective study. </w:t>
      </w:r>
      <w:r w:rsidRPr="00010337">
        <w:rPr>
          <w:rStyle w:val="Emphasis"/>
          <w:rFonts w:eastAsia="Times New Roman"/>
          <w:b w:val="0"/>
        </w:rPr>
        <w:t xml:space="preserve">CMAJ : Canadian Medical Association journal = journal de </w:t>
      </w:r>
      <w:proofErr w:type="spellStart"/>
      <w:r w:rsidRPr="00010337">
        <w:rPr>
          <w:rStyle w:val="Emphasis"/>
          <w:rFonts w:eastAsia="Times New Roman"/>
          <w:b w:val="0"/>
        </w:rPr>
        <w:t>l’Association</w:t>
      </w:r>
      <w:proofErr w:type="spellEnd"/>
      <w:r w:rsidRPr="00010337">
        <w:rPr>
          <w:rStyle w:val="Emphasis"/>
          <w:rFonts w:eastAsia="Times New Roman"/>
          <w:b w:val="0"/>
        </w:rPr>
        <w:t xml:space="preserve"> </w:t>
      </w:r>
      <w:proofErr w:type="spellStart"/>
      <w:r w:rsidRPr="00010337">
        <w:rPr>
          <w:rStyle w:val="Emphasis"/>
          <w:rFonts w:eastAsia="Times New Roman"/>
          <w:b w:val="0"/>
        </w:rPr>
        <w:t>medicale</w:t>
      </w:r>
      <w:proofErr w:type="spellEnd"/>
      <w:r w:rsidRPr="00010337">
        <w:rPr>
          <w:rStyle w:val="Emphasis"/>
          <w:rFonts w:eastAsia="Times New Roman"/>
          <w:b w:val="0"/>
        </w:rPr>
        <w:t xml:space="preserve"> </w:t>
      </w:r>
      <w:proofErr w:type="spellStart"/>
      <w:r w:rsidRPr="00010337">
        <w:rPr>
          <w:rStyle w:val="Emphasis"/>
          <w:rFonts w:eastAsia="Times New Roman"/>
          <w:b w:val="0"/>
        </w:rPr>
        <w:t>canadienne</w:t>
      </w:r>
      <w:proofErr w:type="spellEnd"/>
      <w:r w:rsidRPr="00010337">
        <w:rPr>
          <w:rFonts w:eastAsia="Times New Roman"/>
        </w:rPr>
        <w:t xml:space="preserve"> 2010;182:1731-1736.</w:t>
      </w:r>
    </w:p>
    <w:p w14:paraId="2FD8603A"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Sheel M, Beard FH, Dey A, Macartney K, McIntyre PB. Rates of hospitalisation for herpes zoster may warrant vaccinating Indigenous Australians under 70. </w:t>
      </w:r>
      <w:r w:rsidRPr="00010337">
        <w:rPr>
          <w:rStyle w:val="Emphasis"/>
          <w:rFonts w:eastAsia="Times New Roman"/>
          <w:b w:val="0"/>
        </w:rPr>
        <w:t>The Medical journal of Australia</w:t>
      </w:r>
      <w:r w:rsidRPr="00010337">
        <w:rPr>
          <w:rFonts w:eastAsia="Times New Roman"/>
        </w:rPr>
        <w:t xml:space="preserve"> 2017;207:395-396.</w:t>
      </w:r>
    </w:p>
    <w:p w14:paraId="1AF056E8" w14:textId="77777777" w:rsidR="009E3A88" w:rsidRPr="00010337" w:rsidRDefault="009E3A88" w:rsidP="00010337">
      <w:pPr>
        <w:pStyle w:val="ListParagraph"/>
        <w:numPr>
          <w:ilvl w:val="0"/>
          <w:numId w:val="7"/>
        </w:numPr>
        <w:rPr>
          <w:rFonts w:eastAsia="Times New Roman"/>
        </w:rPr>
      </w:pPr>
      <w:proofErr w:type="spellStart"/>
      <w:r w:rsidRPr="00010337">
        <w:rPr>
          <w:rFonts w:eastAsia="Times New Roman"/>
        </w:rPr>
        <w:t>Wormsbecker</w:t>
      </w:r>
      <w:proofErr w:type="spellEnd"/>
      <w:r w:rsidRPr="00010337">
        <w:rPr>
          <w:rFonts w:eastAsia="Times New Roman"/>
        </w:rPr>
        <w:t xml:space="preserve"> AE, Wang J, Rosella LC, Kwong JC, Seo CY, Crowcroft NS, et al. Twenty Years of Medically-Attended Pediatric Varicella and Herpes Zoster in Ontario, Canada: A Population-Based Study. </w:t>
      </w:r>
      <w:proofErr w:type="spellStart"/>
      <w:r w:rsidRPr="00010337">
        <w:rPr>
          <w:rStyle w:val="Emphasis"/>
          <w:rFonts w:eastAsia="Times New Roman"/>
          <w:b w:val="0"/>
        </w:rPr>
        <w:t>PloS</w:t>
      </w:r>
      <w:proofErr w:type="spellEnd"/>
      <w:r w:rsidRPr="00010337">
        <w:rPr>
          <w:rStyle w:val="Emphasis"/>
          <w:rFonts w:eastAsia="Times New Roman"/>
          <w:b w:val="0"/>
        </w:rPr>
        <w:t xml:space="preserve"> one</w:t>
      </w:r>
      <w:r w:rsidRPr="00010337">
        <w:rPr>
          <w:rFonts w:eastAsia="Times New Roman"/>
        </w:rPr>
        <w:t xml:space="preserve"> 2015;10:e0129483.</w:t>
      </w:r>
    </w:p>
    <w:p w14:paraId="1142C0D9" w14:textId="77777777" w:rsidR="009E3A88" w:rsidRPr="00010337" w:rsidRDefault="009E3A88" w:rsidP="00010337">
      <w:pPr>
        <w:pStyle w:val="ListParagraph"/>
        <w:numPr>
          <w:ilvl w:val="0"/>
          <w:numId w:val="7"/>
        </w:numPr>
        <w:rPr>
          <w:rFonts w:eastAsia="Times New Roman"/>
        </w:rPr>
      </w:pPr>
      <w:r w:rsidRPr="00010337">
        <w:rPr>
          <w:rFonts w:eastAsia="Times New Roman"/>
        </w:rPr>
        <w:t>Public Health England. Shingles: guidance and vaccination programme. 2013. Accessed on 17 February 2017. Available from: https://www.gov.uk/government/collections/shingles-vaccination-programme</w:t>
      </w:r>
    </w:p>
    <w:p w14:paraId="48ED1202" w14:textId="77777777" w:rsidR="009E3A88" w:rsidRPr="00010337" w:rsidRDefault="009E3A88" w:rsidP="00010337">
      <w:pPr>
        <w:pStyle w:val="ListParagraph"/>
        <w:numPr>
          <w:ilvl w:val="0"/>
          <w:numId w:val="7"/>
        </w:numPr>
        <w:rPr>
          <w:rFonts w:eastAsia="Times New Roman"/>
        </w:rPr>
      </w:pPr>
      <w:r w:rsidRPr="00010337">
        <w:rPr>
          <w:rFonts w:eastAsia="Times New Roman"/>
        </w:rPr>
        <w:t>Public Health England. Herpes zoster (shingles) immunisation programme 2013/14: Report for England. PHE publications gateway number: 2014563; 2014. Available from: https://www.gov.uk/government/uploads/system/uploads/attachment_data/file/383018/ShinglesReport2014.pdf .</w:t>
      </w:r>
    </w:p>
    <w:p w14:paraId="49D8B403" w14:textId="77777777" w:rsidR="009E3A88" w:rsidRPr="00010337" w:rsidRDefault="009E3A88" w:rsidP="00010337">
      <w:pPr>
        <w:pStyle w:val="ListParagraph"/>
        <w:numPr>
          <w:ilvl w:val="0"/>
          <w:numId w:val="7"/>
        </w:numPr>
        <w:rPr>
          <w:rFonts w:eastAsia="Times New Roman"/>
        </w:rPr>
      </w:pPr>
      <w:proofErr w:type="spellStart"/>
      <w:r w:rsidRPr="00010337">
        <w:rPr>
          <w:rFonts w:eastAsia="Times New Roman"/>
        </w:rPr>
        <w:t>Statens</w:t>
      </w:r>
      <w:proofErr w:type="spellEnd"/>
      <w:r w:rsidRPr="00010337">
        <w:rPr>
          <w:rFonts w:eastAsia="Times New Roman"/>
        </w:rPr>
        <w:t xml:space="preserve"> Serum </w:t>
      </w:r>
      <w:proofErr w:type="spellStart"/>
      <w:r w:rsidRPr="00010337">
        <w:rPr>
          <w:rFonts w:eastAsia="Times New Roman"/>
        </w:rPr>
        <w:t>Institut</w:t>
      </w:r>
      <w:proofErr w:type="spellEnd"/>
      <w:r w:rsidRPr="00010337">
        <w:rPr>
          <w:rFonts w:eastAsia="Times New Roman"/>
        </w:rPr>
        <w:t>. Surveillance of Varicella and Herpes Zoster in Europe. 2010. Accessed on 17 February 2017. Available from: http://ecdc.europa.eu/en/publications/Publications/varicella_zoster_report_2009_euvacnet.pdf</w:t>
      </w:r>
    </w:p>
    <w:p w14:paraId="197EB667"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Goldman GS, King PG. Review of the United States universal varicella vaccination program: Herpes zoster incidence rates, cost-effectiveness, and vaccine efficacy based primarily on the Antelope Valley Varicella Active Surveillance Project data. </w:t>
      </w:r>
      <w:r w:rsidRPr="00010337">
        <w:rPr>
          <w:rStyle w:val="Emphasis"/>
          <w:rFonts w:eastAsia="Times New Roman"/>
          <w:b w:val="0"/>
        </w:rPr>
        <w:t>Vaccine</w:t>
      </w:r>
      <w:r w:rsidRPr="00010337">
        <w:rPr>
          <w:rFonts w:eastAsia="Times New Roman"/>
        </w:rPr>
        <w:t xml:space="preserve"> 2013;31:1680-1694.</w:t>
      </w:r>
    </w:p>
    <w:p w14:paraId="2D2842B2" w14:textId="77777777" w:rsidR="009E3A88" w:rsidRPr="00010337" w:rsidRDefault="009E3A88" w:rsidP="00010337">
      <w:pPr>
        <w:pStyle w:val="ListParagraph"/>
        <w:numPr>
          <w:ilvl w:val="0"/>
          <w:numId w:val="7"/>
        </w:numPr>
        <w:rPr>
          <w:rFonts w:eastAsia="Times New Roman"/>
        </w:rPr>
      </w:pPr>
      <w:r w:rsidRPr="00010337">
        <w:rPr>
          <w:rFonts w:eastAsia="Times New Roman"/>
        </w:rPr>
        <w:t xml:space="preserve">Tseng HF, Harpaz R, Luo Y, Hales CM, Sy LS, </w:t>
      </w:r>
      <w:proofErr w:type="spellStart"/>
      <w:r w:rsidRPr="00010337">
        <w:rPr>
          <w:rFonts w:eastAsia="Times New Roman"/>
        </w:rPr>
        <w:t>Tartof</w:t>
      </w:r>
      <w:proofErr w:type="spellEnd"/>
      <w:r w:rsidRPr="00010337">
        <w:rPr>
          <w:rFonts w:eastAsia="Times New Roman"/>
        </w:rPr>
        <w:t xml:space="preserve"> SY, et al. Declining effectiveness of herpes zoster vaccine in adults 60 years and older. </w:t>
      </w:r>
      <w:r w:rsidRPr="00010337">
        <w:rPr>
          <w:rStyle w:val="Emphasis"/>
          <w:rFonts w:eastAsia="Times New Roman"/>
          <w:b w:val="0"/>
        </w:rPr>
        <w:t>The Journal of infectious diseases</w:t>
      </w:r>
      <w:r w:rsidRPr="00010337">
        <w:rPr>
          <w:rFonts w:eastAsia="Times New Roman"/>
        </w:rPr>
        <w:t xml:space="preserve"> 2016.</w:t>
      </w:r>
    </w:p>
    <w:p w14:paraId="7C935FC2" w14:textId="77777777" w:rsidR="007C56A1" w:rsidRDefault="00F43FA3" w:rsidP="00731BC3">
      <w:pPr>
        <w:rPr>
          <w:rStyle w:val="A10"/>
        </w:rPr>
      </w:pPr>
      <w:r>
        <w:rPr>
          <w:rStyle w:val="A10"/>
        </w:rPr>
        <w:br w:type="page"/>
      </w:r>
      <w:r w:rsidR="007C56A1">
        <w:rPr>
          <w:rFonts w:cs="Myriad Pro"/>
          <w:noProof/>
          <w:color w:val="211D1E"/>
        </w:rPr>
        <w:lastRenderedPageBreak/>
        <w:drawing>
          <wp:inline distT="0" distB="0" distL="0" distR="0" wp14:anchorId="316E7BFF" wp14:editId="2891D6BD">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3CCD7F0D" w14:textId="77777777"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274274">
        <w:rPr>
          <w:rStyle w:val="A10"/>
          <w:sz w:val="20"/>
          <w:szCs w:val="20"/>
        </w:rPr>
        <w:t>2018</w:t>
      </w:r>
      <w:r w:rsidR="00731BC3">
        <w:rPr>
          <w:rStyle w:val="A10"/>
          <w:sz w:val="20"/>
          <w:szCs w:val="20"/>
        </w:rPr>
        <w:fldChar w:fldCharType="end"/>
      </w:r>
      <w:r w:rsidR="00C50273">
        <w:rPr>
          <w:sz w:val="20"/>
          <w:szCs w:val="20"/>
        </w:rPr>
        <w:tab/>
      </w:r>
      <w:r w:rsidR="00C50273">
        <w:rPr>
          <w:rStyle w:val="A10"/>
          <w:sz w:val="20"/>
          <w:szCs w:val="20"/>
        </w:rPr>
        <w:t>ISSN: 2209-6051 (Online)</w:t>
      </w:r>
    </w:p>
    <w:p w14:paraId="328FED04" w14:textId="77777777"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w:t>
      </w:r>
      <w:proofErr w:type="gramStart"/>
      <w:r w:rsidRPr="0006264A">
        <w:rPr>
          <w:rStyle w:val="A10"/>
          <w:sz w:val="20"/>
          <w:szCs w:val="20"/>
        </w:rPr>
        <w:t>reserved</w:t>
      </w:r>
      <w:proofErr w:type="gramEnd"/>
      <w:r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56847D61"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33CAE4A8" w14:textId="77777777" w:rsidR="007C56A1" w:rsidRPr="0006264A" w:rsidRDefault="007C56A1" w:rsidP="007C56A1">
      <w:pPr>
        <w:rPr>
          <w:sz w:val="20"/>
          <w:szCs w:val="20"/>
        </w:rPr>
      </w:pPr>
      <w:r w:rsidRPr="0006264A">
        <w:rPr>
          <w:rStyle w:val="A10"/>
          <w:sz w:val="20"/>
          <w:szCs w:val="20"/>
        </w:rPr>
        <w:t>Communicable Diseases Intelligence contributes to the work of the Communic</w:t>
      </w:r>
      <w:r w:rsidR="00613D75">
        <w:rPr>
          <w:rStyle w:val="A10"/>
          <w:sz w:val="20"/>
          <w:szCs w:val="20"/>
        </w:rPr>
        <w:t>able Diseases Network Australia.</w:t>
      </w:r>
    </w:p>
    <w:p w14:paraId="09B2C286" w14:textId="77777777"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14:paraId="29DD38B7" w14:textId="77777777" w:rsidR="007C56A1" w:rsidRPr="00786329" w:rsidRDefault="007C56A1" w:rsidP="007C56A1">
      <w:pPr>
        <w:pBdr>
          <w:bottom w:val="single" w:sz="6" w:space="1" w:color="auto"/>
        </w:pBdr>
        <w:rPr>
          <w:rStyle w:val="A11"/>
          <w:sz w:val="20"/>
          <w:szCs w:val="20"/>
          <w:u w:val="none"/>
        </w:rPr>
      </w:pPr>
    </w:p>
    <w:p w14:paraId="26D59A80"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r w:rsidR="00A84A97">
        <w:rPr>
          <w:sz w:val="20"/>
          <w:szCs w:val="20"/>
        </w:rPr>
        <w:t>.</w:t>
      </w:r>
    </w:p>
    <w:p w14:paraId="6B94E80E" w14:textId="77777777"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4A974CD5" w14:textId="77777777" w:rsidR="007C56A1" w:rsidRPr="0006264A" w:rsidRDefault="007C56A1" w:rsidP="007C56A1">
      <w:pPr>
        <w:pBdr>
          <w:bottom w:val="single" w:sz="6" w:space="1" w:color="auto"/>
        </w:pBdr>
        <w:rPr>
          <w:sz w:val="20"/>
          <w:szCs w:val="20"/>
        </w:rPr>
      </w:pPr>
    </w:p>
    <w:p w14:paraId="296B6903" w14:textId="77777777" w:rsidR="007C56A1" w:rsidRPr="00786329" w:rsidRDefault="007C56A1" w:rsidP="007C56A1">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14:paraId="18A86592"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0F4D3E7A" w14:textId="77777777"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A103C1">
      <w:pgSz w:w="11906" w:h="16838"/>
      <w:pgMar w:top="720" w:right="720" w:bottom="720" w:left="720"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5215B" w14:textId="77777777" w:rsidR="00530646" w:rsidRDefault="00530646" w:rsidP="00E54DBA">
      <w:r>
        <w:separator/>
      </w:r>
    </w:p>
    <w:p w14:paraId="1BFD782D" w14:textId="77777777" w:rsidR="00530646" w:rsidRDefault="00530646"/>
    <w:p w14:paraId="65F82133" w14:textId="77777777" w:rsidR="00530646" w:rsidRDefault="00530646" w:rsidP="008714B0"/>
  </w:endnote>
  <w:endnote w:type="continuationSeparator" w:id="0">
    <w:p w14:paraId="5E13186D" w14:textId="77777777" w:rsidR="00530646" w:rsidRDefault="00530646" w:rsidP="00E54DBA">
      <w:r>
        <w:continuationSeparator/>
      </w:r>
    </w:p>
    <w:p w14:paraId="1D9D0410" w14:textId="77777777" w:rsidR="00530646" w:rsidRDefault="00530646"/>
    <w:p w14:paraId="2BB193F5" w14:textId="77777777" w:rsidR="00530646" w:rsidRDefault="0053064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80BFB" w14:textId="77777777" w:rsidR="00F70286" w:rsidRDefault="00F702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E1B8B" w14:textId="467BEFB7" w:rsidR="00530646" w:rsidRPr="0042435E" w:rsidRDefault="00530646"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15A84">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A15A84">
      <w:rPr>
        <w:noProof/>
        <w:sz w:val="18"/>
      </w:rPr>
      <w:t>29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00781970" w:rsidRPr="00781970">
      <w:rPr>
        <w:sz w:val="18"/>
      </w:rPr>
      <w:t>Commun Dis Intell (2018) 2018;42 https://doi.org/10.33321/cdi.2018.42.</w:t>
    </w:r>
    <w:r w:rsidR="00781970">
      <w:rPr>
        <w:sz w:val="18"/>
      </w:rPr>
      <w:t>2</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20C1" w14:textId="41F05BBC" w:rsidR="00530646" w:rsidRPr="00BB5378" w:rsidRDefault="00530646" w:rsidP="00AF0E5D">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15A84">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A15A84">
      <w:rPr>
        <w:noProof/>
        <w:sz w:val="18"/>
      </w:rPr>
      <w:t>1</w:t>
    </w:r>
    <w:r>
      <w:rPr>
        <w:noProof/>
        <w:sz w:val="18"/>
      </w:rPr>
      <w:fldChar w:fldCharType="end"/>
    </w:r>
    <w:r>
      <w:rPr>
        <w:noProof/>
        <w:sz w:val="18"/>
      </w:rPr>
      <w:t xml:space="preserve"> </w:t>
    </w:r>
    <w:r>
      <w:rPr>
        <w:noProof/>
        <w:sz w:val="18"/>
      </w:rPr>
      <w:ptab w:relativeTo="margin" w:alignment="center" w:leader="none"/>
    </w:r>
    <w:r w:rsidR="00781970" w:rsidRPr="00781970">
      <w:rPr>
        <w:sz w:val="18"/>
      </w:rPr>
      <w:t>Commun Dis Intell (2018) 2018;42 https://doi.org/10.33321/cdi.2018.42.</w:t>
    </w:r>
    <w:r w:rsidR="00781970">
      <w:rPr>
        <w:sz w:val="18"/>
      </w:rPr>
      <w:t>2</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7BC2D" w14:textId="77777777" w:rsidR="00530646" w:rsidRDefault="00530646" w:rsidP="00E54DBA">
      <w:r>
        <w:separator/>
      </w:r>
    </w:p>
    <w:p w14:paraId="361B02AF" w14:textId="77777777" w:rsidR="00530646" w:rsidRDefault="00530646"/>
    <w:p w14:paraId="4542C2A0" w14:textId="77777777" w:rsidR="00530646" w:rsidRDefault="00530646" w:rsidP="008714B0"/>
  </w:footnote>
  <w:footnote w:type="continuationSeparator" w:id="0">
    <w:p w14:paraId="556986D8" w14:textId="77777777" w:rsidR="00530646" w:rsidRDefault="00530646" w:rsidP="00E54DBA">
      <w:r>
        <w:continuationSeparator/>
      </w:r>
    </w:p>
    <w:p w14:paraId="4C66F179" w14:textId="77777777" w:rsidR="00530646" w:rsidRDefault="00530646"/>
    <w:p w14:paraId="244A831B" w14:textId="77777777" w:rsidR="00530646" w:rsidRDefault="00530646"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CEE3E" w14:textId="77777777" w:rsidR="00F70286" w:rsidRDefault="00F702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C4E07" w14:textId="77777777" w:rsidR="00530646" w:rsidRDefault="00781970"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74B55">
          <w:t>Original Article</w:t>
        </w:r>
      </w:sdtContent>
    </w:sdt>
    <w:r w:rsidR="00530646">
      <w:ptab w:relativeTo="margin" w:alignment="right" w:leader="none"/>
    </w:r>
    <w:r w:rsidR="00530646"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870CB" w14:textId="77777777" w:rsidR="00F70286" w:rsidRDefault="00F702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FCE3184"/>
    <w:multiLevelType w:val="multilevel"/>
    <w:tmpl w:val="9ADE9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BD05EF"/>
    <w:multiLevelType w:val="hybridMultilevel"/>
    <w:tmpl w:val="A6F6CF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6872933">
    <w:abstractNumId w:val="1"/>
  </w:num>
  <w:num w:numId="2" w16cid:durableId="1903369960">
    <w:abstractNumId w:val="4"/>
  </w:num>
  <w:num w:numId="3" w16cid:durableId="1798184758">
    <w:abstractNumId w:val="5"/>
  </w:num>
  <w:num w:numId="4" w16cid:durableId="176970835">
    <w:abstractNumId w:val="0"/>
  </w:num>
  <w:num w:numId="5" w16cid:durableId="1621835612">
    <w:abstractNumId w:val="6"/>
  </w:num>
  <w:num w:numId="6" w16cid:durableId="1525707645">
    <w:abstractNumId w:val="2"/>
  </w:num>
  <w:num w:numId="7" w16cid:durableId="10160807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38913"/>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9E3A88"/>
    <w:rsid w:val="00000B5B"/>
    <w:rsid w:val="00001611"/>
    <w:rsid w:val="00010337"/>
    <w:rsid w:val="000104A8"/>
    <w:rsid w:val="0001246E"/>
    <w:rsid w:val="000124B1"/>
    <w:rsid w:val="00016FE6"/>
    <w:rsid w:val="00024D61"/>
    <w:rsid w:val="00026691"/>
    <w:rsid w:val="00031064"/>
    <w:rsid w:val="00032531"/>
    <w:rsid w:val="00035D58"/>
    <w:rsid w:val="000471BF"/>
    <w:rsid w:val="00050129"/>
    <w:rsid w:val="00052600"/>
    <w:rsid w:val="0005643C"/>
    <w:rsid w:val="0006264A"/>
    <w:rsid w:val="00071480"/>
    <w:rsid w:val="00073D77"/>
    <w:rsid w:val="00081655"/>
    <w:rsid w:val="000864E0"/>
    <w:rsid w:val="000969B3"/>
    <w:rsid w:val="000B6353"/>
    <w:rsid w:val="000C07DC"/>
    <w:rsid w:val="000C085D"/>
    <w:rsid w:val="000D4B4D"/>
    <w:rsid w:val="000E3E90"/>
    <w:rsid w:val="00107D24"/>
    <w:rsid w:val="00113D58"/>
    <w:rsid w:val="00134E03"/>
    <w:rsid w:val="001400CF"/>
    <w:rsid w:val="00155582"/>
    <w:rsid w:val="00157574"/>
    <w:rsid w:val="00161590"/>
    <w:rsid w:val="00171CC0"/>
    <w:rsid w:val="00175494"/>
    <w:rsid w:val="00175629"/>
    <w:rsid w:val="001830EC"/>
    <w:rsid w:val="00183534"/>
    <w:rsid w:val="001A4A96"/>
    <w:rsid w:val="001A5D05"/>
    <w:rsid w:val="001A796C"/>
    <w:rsid w:val="001B2614"/>
    <w:rsid w:val="001B37B8"/>
    <w:rsid w:val="001B4CB6"/>
    <w:rsid w:val="001B552F"/>
    <w:rsid w:val="001C0893"/>
    <w:rsid w:val="001C1303"/>
    <w:rsid w:val="001C70B2"/>
    <w:rsid w:val="001D6888"/>
    <w:rsid w:val="001E0DB9"/>
    <w:rsid w:val="002276DC"/>
    <w:rsid w:val="00227E00"/>
    <w:rsid w:val="002307CB"/>
    <w:rsid w:val="00231046"/>
    <w:rsid w:val="00242659"/>
    <w:rsid w:val="002428F7"/>
    <w:rsid w:val="0024315F"/>
    <w:rsid w:val="00252C9A"/>
    <w:rsid w:val="00256309"/>
    <w:rsid w:val="00257484"/>
    <w:rsid w:val="00260636"/>
    <w:rsid w:val="0026605B"/>
    <w:rsid w:val="00274274"/>
    <w:rsid w:val="00280594"/>
    <w:rsid w:val="00281EE3"/>
    <w:rsid w:val="00283147"/>
    <w:rsid w:val="00284E4A"/>
    <w:rsid w:val="002A3799"/>
    <w:rsid w:val="002A3BCC"/>
    <w:rsid w:val="002A4516"/>
    <w:rsid w:val="002A569F"/>
    <w:rsid w:val="002A7066"/>
    <w:rsid w:val="002B001E"/>
    <w:rsid w:val="002B09B7"/>
    <w:rsid w:val="002B2020"/>
    <w:rsid w:val="002B48FE"/>
    <w:rsid w:val="002C15EA"/>
    <w:rsid w:val="002C21B0"/>
    <w:rsid w:val="002E2FB3"/>
    <w:rsid w:val="002F327B"/>
    <w:rsid w:val="00301626"/>
    <w:rsid w:val="00304EC6"/>
    <w:rsid w:val="00316CCD"/>
    <w:rsid w:val="00324F7E"/>
    <w:rsid w:val="00330099"/>
    <w:rsid w:val="003323BC"/>
    <w:rsid w:val="00346D42"/>
    <w:rsid w:val="00346E11"/>
    <w:rsid w:val="003601C0"/>
    <w:rsid w:val="003635F5"/>
    <w:rsid w:val="00372A88"/>
    <w:rsid w:val="00381A0F"/>
    <w:rsid w:val="003A1B3A"/>
    <w:rsid w:val="003A40F5"/>
    <w:rsid w:val="003B52F6"/>
    <w:rsid w:val="003B5B8C"/>
    <w:rsid w:val="003D5723"/>
    <w:rsid w:val="003E74EE"/>
    <w:rsid w:val="003F0552"/>
    <w:rsid w:val="003F3BC2"/>
    <w:rsid w:val="00401ED1"/>
    <w:rsid w:val="00413EE1"/>
    <w:rsid w:val="0041626C"/>
    <w:rsid w:val="004164BB"/>
    <w:rsid w:val="00421ECE"/>
    <w:rsid w:val="0042435E"/>
    <w:rsid w:val="004315F5"/>
    <w:rsid w:val="00433456"/>
    <w:rsid w:val="00433DFA"/>
    <w:rsid w:val="00435D67"/>
    <w:rsid w:val="004455F6"/>
    <w:rsid w:val="00464A58"/>
    <w:rsid w:val="0047261E"/>
    <w:rsid w:val="00473D2D"/>
    <w:rsid w:val="00481FA0"/>
    <w:rsid w:val="00494E5B"/>
    <w:rsid w:val="004A2125"/>
    <w:rsid w:val="004A38F6"/>
    <w:rsid w:val="004B4EB6"/>
    <w:rsid w:val="004C67C6"/>
    <w:rsid w:val="004E39FD"/>
    <w:rsid w:val="004E6B7A"/>
    <w:rsid w:val="00510EAC"/>
    <w:rsid w:val="00530646"/>
    <w:rsid w:val="00542A57"/>
    <w:rsid w:val="00567D12"/>
    <w:rsid w:val="00572913"/>
    <w:rsid w:val="005732C0"/>
    <w:rsid w:val="0057336D"/>
    <w:rsid w:val="0058540B"/>
    <w:rsid w:val="00587C87"/>
    <w:rsid w:val="00590B80"/>
    <w:rsid w:val="00597C17"/>
    <w:rsid w:val="005B3134"/>
    <w:rsid w:val="005B4E61"/>
    <w:rsid w:val="005B595A"/>
    <w:rsid w:val="005B66C2"/>
    <w:rsid w:val="005D2465"/>
    <w:rsid w:val="005D38A2"/>
    <w:rsid w:val="005D4F1D"/>
    <w:rsid w:val="005E4229"/>
    <w:rsid w:val="005E540E"/>
    <w:rsid w:val="005E55FB"/>
    <w:rsid w:val="005F16BB"/>
    <w:rsid w:val="006009C4"/>
    <w:rsid w:val="00607115"/>
    <w:rsid w:val="00610AC7"/>
    <w:rsid w:val="00613D75"/>
    <w:rsid w:val="00617E0E"/>
    <w:rsid w:val="00620768"/>
    <w:rsid w:val="0062594B"/>
    <w:rsid w:val="00631406"/>
    <w:rsid w:val="006324FF"/>
    <w:rsid w:val="00634A60"/>
    <w:rsid w:val="006351D6"/>
    <w:rsid w:val="00636E0D"/>
    <w:rsid w:val="0064142F"/>
    <w:rsid w:val="00643CB4"/>
    <w:rsid w:val="00647E9E"/>
    <w:rsid w:val="00660255"/>
    <w:rsid w:val="00674B55"/>
    <w:rsid w:val="00690486"/>
    <w:rsid w:val="006971F3"/>
    <w:rsid w:val="006B6B62"/>
    <w:rsid w:val="006B7448"/>
    <w:rsid w:val="006C74A3"/>
    <w:rsid w:val="006D1381"/>
    <w:rsid w:val="006D31BC"/>
    <w:rsid w:val="006D6540"/>
    <w:rsid w:val="006E0EB1"/>
    <w:rsid w:val="006E3394"/>
    <w:rsid w:val="006E5C42"/>
    <w:rsid w:val="006E6CBF"/>
    <w:rsid w:val="006E6E59"/>
    <w:rsid w:val="006E7943"/>
    <w:rsid w:val="006F24EA"/>
    <w:rsid w:val="006F5BF3"/>
    <w:rsid w:val="00704CA9"/>
    <w:rsid w:val="0071048D"/>
    <w:rsid w:val="00710F86"/>
    <w:rsid w:val="007111A8"/>
    <w:rsid w:val="00731BC3"/>
    <w:rsid w:val="00741192"/>
    <w:rsid w:val="00743A33"/>
    <w:rsid w:val="00746080"/>
    <w:rsid w:val="0075144A"/>
    <w:rsid w:val="00781970"/>
    <w:rsid w:val="00786329"/>
    <w:rsid w:val="00792C7D"/>
    <w:rsid w:val="00794A4D"/>
    <w:rsid w:val="007A5234"/>
    <w:rsid w:val="007B7854"/>
    <w:rsid w:val="007C56A1"/>
    <w:rsid w:val="007C6454"/>
    <w:rsid w:val="007D43CC"/>
    <w:rsid w:val="007E01E0"/>
    <w:rsid w:val="007F0B93"/>
    <w:rsid w:val="008018F9"/>
    <w:rsid w:val="00811503"/>
    <w:rsid w:val="00811708"/>
    <w:rsid w:val="00816B90"/>
    <w:rsid w:val="00817E05"/>
    <w:rsid w:val="00822F5F"/>
    <w:rsid w:val="00824FD3"/>
    <w:rsid w:val="00826589"/>
    <w:rsid w:val="00830452"/>
    <w:rsid w:val="008305B0"/>
    <w:rsid w:val="00834BCC"/>
    <w:rsid w:val="00850D54"/>
    <w:rsid w:val="008524B2"/>
    <w:rsid w:val="0085383F"/>
    <w:rsid w:val="00856AC0"/>
    <w:rsid w:val="008714B0"/>
    <w:rsid w:val="00880726"/>
    <w:rsid w:val="008A3544"/>
    <w:rsid w:val="008B48B8"/>
    <w:rsid w:val="008B58F8"/>
    <w:rsid w:val="008C0712"/>
    <w:rsid w:val="008C4520"/>
    <w:rsid w:val="008C5F09"/>
    <w:rsid w:val="008D470F"/>
    <w:rsid w:val="008E1F8F"/>
    <w:rsid w:val="008E4768"/>
    <w:rsid w:val="008E761E"/>
    <w:rsid w:val="008F4688"/>
    <w:rsid w:val="008F77B3"/>
    <w:rsid w:val="009008F5"/>
    <w:rsid w:val="00904CC1"/>
    <w:rsid w:val="009066AF"/>
    <w:rsid w:val="00912050"/>
    <w:rsid w:val="00912E48"/>
    <w:rsid w:val="00915266"/>
    <w:rsid w:val="00923761"/>
    <w:rsid w:val="0092746F"/>
    <w:rsid w:val="0093501E"/>
    <w:rsid w:val="00935DC9"/>
    <w:rsid w:val="009446C0"/>
    <w:rsid w:val="0096082E"/>
    <w:rsid w:val="00964D5F"/>
    <w:rsid w:val="00967D73"/>
    <w:rsid w:val="009748FF"/>
    <w:rsid w:val="0098119A"/>
    <w:rsid w:val="00984AAF"/>
    <w:rsid w:val="00991B09"/>
    <w:rsid w:val="00993CB2"/>
    <w:rsid w:val="009A5166"/>
    <w:rsid w:val="009A580B"/>
    <w:rsid w:val="009A76F8"/>
    <w:rsid w:val="009B2B83"/>
    <w:rsid w:val="009C2A6D"/>
    <w:rsid w:val="009C31FB"/>
    <w:rsid w:val="009C49F8"/>
    <w:rsid w:val="009D3D73"/>
    <w:rsid w:val="009D77CC"/>
    <w:rsid w:val="009E2423"/>
    <w:rsid w:val="009E3A88"/>
    <w:rsid w:val="009E55D7"/>
    <w:rsid w:val="009F4150"/>
    <w:rsid w:val="009F5665"/>
    <w:rsid w:val="009F5DAD"/>
    <w:rsid w:val="009F6DCA"/>
    <w:rsid w:val="00A103C1"/>
    <w:rsid w:val="00A10458"/>
    <w:rsid w:val="00A15A84"/>
    <w:rsid w:val="00A2564B"/>
    <w:rsid w:val="00A273C3"/>
    <w:rsid w:val="00A30C7C"/>
    <w:rsid w:val="00A36C65"/>
    <w:rsid w:val="00A41BBE"/>
    <w:rsid w:val="00A46A0A"/>
    <w:rsid w:val="00A53521"/>
    <w:rsid w:val="00A553F8"/>
    <w:rsid w:val="00A5579E"/>
    <w:rsid w:val="00A6708F"/>
    <w:rsid w:val="00A71BF6"/>
    <w:rsid w:val="00A75CE6"/>
    <w:rsid w:val="00A84535"/>
    <w:rsid w:val="00A84A97"/>
    <w:rsid w:val="00A86F9A"/>
    <w:rsid w:val="00AA35E6"/>
    <w:rsid w:val="00AA50B6"/>
    <w:rsid w:val="00AB3472"/>
    <w:rsid w:val="00AB664E"/>
    <w:rsid w:val="00AC34DB"/>
    <w:rsid w:val="00AD0762"/>
    <w:rsid w:val="00AE4452"/>
    <w:rsid w:val="00AE7C38"/>
    <w:rsid w:val="00AF0E5D"/>
    <w:rsid w:val="00B01F99"/>
    <w:rsid w:val="00B02B37"/>
    <w:rsid w:val="00B05276"/>
    <w:rsid w:val="00B110A6"/>
    <w:rsid w:val="00B132DB"/>
    <w:rsid w:val="00B31427"/>
    <w:rsid w:val="00B33861"/>
    <w:rsid w:val="00B40DE2"/>
    <w:rsid w:val="00B50210"/>
    <w:rsid w:val="00B53955"/>
    <w:rsid w:val="00B63629"/>
    <w:rsid w:val="00B6408A"/>
    <w:rsid w:val="00B714B8"/>
    <w:rsid w:val="00B82C2C"/>
    <w:rsid w:val="00B85624"/>
    <w:rsid w:val="00B8720B"/>
    <w:rsid w:val="00B876EF"/>
    <w:rsid w:val="00BA4697"/>
    <w:rsid w:val="00BB5378"/>
    <w:rsid w:val="00BC0BD3"/>
    <w:rsid w:val="00BC6B55"/>
    <w:rsid w:val="00BD0107"/>
    <w:rsid w:val="00BD3CF8"/>
    <w:rsid w:val="00BE0C33"/>
    <w:rsid w:val="00BE262C"/>
    <w:rsid w:val="00BE6C3D"/>
    <w:rsid w:val="00C07606"/>
    <w:rsid w:val="00C12542"/>
    <w:rsid w:val="00C30BA9"/>
    <w:rsid w:val="00C3541E"/>
    <w:rsid w:val="00C36A8F"/>
    <w:rsid w:val="00C37B08"/>
    <w:rsid w:val="00C42FFA"/>
    <w:rsid w:val="00C50273"/>
    <w:rsid w:val="00C507D8"/>
    <w:rsid w:val="00C57079"/>
    <w:rsid w:val="00C60892"/>
    <w:rsid w:val="00C62EAC"/>
    <w:rsid w:val="00C63F9F"/>
    <w:rsid w:val="00C702CB"/>
    <w:rsid w:val="00C73BA7"/>
    <w:rsid w:val="00C7723C"/>
    <w:rsid w:val="00C93926"/>
    <w:rsid w:val="00CA1AF4"/>
    <w:rsid w:val="00CA6068"/>
    <w:rsid w:val="00CB15E1"/>
    <w:rsid w:val="00CB3D46"/>
    <w:rsid w:val="00CB7C19"/>
    <w:rsid w:val="00CD1A87"/>
    <w:rsid w:val="00CD35F3"/>
    <w:rsid w:val="00CD5C93"/>
    <w:rsid w:val="00CF320C"/>
    <w:rsid w:val="00CF3A4B"/>
    <w:rsid w:val="00D05837"/>
    <w:rsid w:val="00D12D8A"/>
    <w:rsid w:val="00D13E0C"/>
    <w:rsid w:val="00D22D23"/>
    <w:rsid w:val="00D25896"/>
    <w:rsid w:val="00D30448"/>
    <w:rsid w:val="00D373A1"/>
    <w:rsid w:val="00D37C0F"/>
    <w:rsid w:val="00D45661"/>
    <w:rsid w:val="00D45943"/>
    <w:rsid w:val="00D45ABA"/>
    <w:rsid w:val="00D47D22"/>
    <w:rsid w:val="00D51865"/>
    <w:rsid w:val="00D51D0C"/>
    <w:rsid w:val="00D74140"/>
    <w:rsid w:val="00D7659C"/>
    <w:rsid w:val="00DA6E56"/>
    <w:rsid w:val="00DC3C81"/>
    <w:rsid w:val="00DC6705"/>
    <w:rsid w:val="00DE38B4"/>
    <w:rsid w:val="00DE5D02"/>
    <w:rsid w:val="00DF76C0"/>
    <w:rsid w:val="00E005A9"/>
    <w:rsid w:val="00E1166E"/>
    <w:rsid w:val="00E24DC0"/>
    <w:rsid w:val="00E2519C"/>
    <w:rsid w:val="00E25F2A"/>
    <w:rsid w:val="00E41455"/>
    <w:rsid w:val="00E42AD2"/>
    <w:rsid w:val="00E50856"/>
    <w:rsid w:val="00E528EC"/>
    <w:rsid w:val="00E54DBA"/>
    <w:rsid w:val="00E63D7C"/>
    <w:rsid w:val="00E640D5"/>
    <w:rsid w:val="00E67691"/>
    <w:rsid w:val="00E92237"/>
    <w:rsid w:val="00E951EF"/>
    <w:rsid w:val="00EA3D54"/>
    <w:rsid w:val="00EA56D9"/>
    <w:rsid w:val="00EA5CE3"/>
    <w:rsid w:val="00EB51C1"/>
    <w:rsid w:val="00EB5E0B"/>
    <w:rsid w:val="00EC2171"/>
    <w:rsid w:val="00ED442D"/>
    <w:rsid w:val="00ED70C2"/>
    <w:rsid w:val="00EE18FF"/>
    <w:rsid w:val="00EE489F"/>
    <w:rsid w:val="00F04671"/>
    <w:rsid w:val="00F0647F"/>
    <w:rsid w:val="00F10CE3"/>
    <w:rsid w:val="00F14F3B"/>
    <w:rsid w:val="00F16362"/>
    <w:rsid w:val="00F3119B"/>
    <w:rsid w:val="00F31999"/>
    <w:rsid w:val="00F36B6D"/>
    <w:rsid w:val="00F43FA3"/>
    <w:rsid w:val="00F60A3E"/>
    <w:rsid w:val="00F70046"/>
    <w:rsid w:val="00F70286"/>
    <w:rsid w:val="00F748C2"/>
    <w:rsid w:val="00F76C5C"/>
    <w:rsid w:val="00F80C72"/>
    <w:rsid w:val="00F81EF3"/>
    <w:rsid w:val="00F84496"/>
    <w:rsid w:val="00F85DCB"/>
    <w:rsid w:val="00F86F9C"/>
    <w:rsid w:val="00FC002E"/>
    <w:rsid w:val="00FC4C23"/>
    <w:rsid w:val="00FC642E"/>
    <w:rsid w:val="00FD16C2"/>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04A7380F"/>
  <w15:docId w15:val="{D3AA1E16-C1C3-48C0-B3BD-6B8C9A1E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2B001E"/>
    <w:pPr>
      <w:spacing w:before="480" w:after="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01E"/>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A2">
    <w:name w:val="A2"/>
    <w:uiPriority w:val="99"/>
    <w:rsid w:val="00330099"/>
    <w:rPr>
      <w:rFonts w:cs="Minion Pro SmBd"/>
      <w:b/>
      <w:bCs/>
      <w:color w:val="211D1E"/>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176579035">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443815268">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21422155">
      <w:marLeft w:val="0"/>
      <w:marRight w:val="0"/>
      <w:marTop w:val="0"/>
      <w:marBottom w:val="0"/>
      <w:divBdr>
        <w:top w:val="none" w:sz="0" w:space="0" w:color="auto"/>
        <w:left w:val="none" w:sz="0" w:space="0" w:color="auto"/>
        <w:bottom w:val="none" w:sz="0" w:space="0" w:color="auto"/>
        <w:right w:val="none" w:sz="0" w:space="0" w:color="auto"/>
      </w:divBdr>
    </w:div>
    <w:div w:id="1038704693">
      <w:marLeft w:val="0"/>
      <w:marRight w:val="0"/>
      <w:marTop w:val="0"/>
      <w:marBottom w:val="0"/>
      <w:divBdr>
        <w:top w:val="none" w:sz="0" w:space="0" w:color="auto"/>
        <w:left w:val="none" w:sz="0" w:space="0" w:color="auto"/>
        <w:bottom w:val="none" w:sz="0" w:space="0" w:color="auto"/>
        <w:right w:val="none" w:sz="0" w:space="0" w:color="auto"/>
      </w:divBdr>
    </w:div>
    <w:div w:id="1053890861">
      <w:marLeft w:val="0"/>
      <w:marRight w:val="0"/>
      <w:marTop w:val="0"/>
      <w:marBottom w:val="0"/>
      <w:divBdr>
        <w:top w:val="none" w:sz="0" w:space="0" w:color="auto"/>
        <w:left w:val="none" w:sz="0" w:space="0" w:color="auto"/>
        <w:bottom w:val="none" w:sz="0" w:space="0" w:color="auto"/>
        <w:right w:val="none" w:sz="0" w:space="0" w:color="auto"/>
      </w:divBdr>
    </w:div>
    <w:div w:id="1091439249">
      <w:bodyDiv w:val="1"/>
      <w:marLeft w:val="0"/>
      <w:marRight w:val="0"/>
      <w:marTop w:val="0"/>
      <w:marBottom w:val="0"/>
      <w:divBdr>
        <w:top w:val="none" w:sz="0" w:space="0" w:color="auto"/>
        <w:left w:val="none" w:sz="0" w:space="0" w:color="auto"/>
        <w:bottom w:val="none" w:sz="0" w:space="0" w:color="auto"/>
        <w:right w:val="none" w:sz="0" w:space="0" w:color="auto"/>
      </w:divBdr>
    </w:div>
    <w:div w:id="1134836914">
      <w:marLeft w:val="0"/>
      <w:marRight w:val="0"/>
      <w:marTop w:val="0"/>
      <w:marBottom w:val="0"/>
      <w:divBdr>
        <w:top w:val="none" w:sz="0" w:space="0" w:color="auto"/>
        <w:left w:val="none" w:sz="0" w:space="0" w:color="auto"/>
        <w:bottom w:val="none" w:sz="0" w:space="0" w:color="auto"/>
        <w:right w:val="none" w:sz="0" w:space="0" w:color="auto"/>
      </w:divBdr>
    </w:div>
    <w:div w:id="1733383155">
      <w:marLeft w:val="0"/>
      <w:marRight w:val="0"/>
      <w:marTop w:val="0"/>
      <w:marBottom w:val="0"/>
      <w:divBdr>
        <w:top w:val="none" w:sz="0" w:space="0" w:color="auto"/>
        <w:left w:val="none" w:sz="0" w:space="0" w:color="auto"/>
        <w:bottom w:val="none" w:sz="0" w:space="0" w:color="auto"/>
        <w:right w:val="none" w:sz="0" w:space="0" w:color="auto"/>
      </w:divBdr>
    </w:div>
    <w:div w:id="214685482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0.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38"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3.xml"/><Relationship Id="rId37" Type="http://schemas.openxmlformats.org/officeDocument/2006/relationships/image" Target="media/image23.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36" Type="http://schemas.openxmlformats.org/officeDocument/2006/relationships/image" Target="media/image22.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6472E2-5F5D-47F6-BE5C-200F1D45C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8068</Words>
  <Characters>45994</Characters>
  <Application>Microsoft Office Word</Application>
  <DocSecurity>0</DocSecurity>
  <Lines>383</Lines>
  <Paragraphs>107</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Australian vaccine preventable disease epidemiological review series: varicella-zoster virus infections, 1998–2015</vt:lpstr>
      <vt:lpstr>Abstract</vt:lpstr>
      <vt:lpstr>    Introduction</vt:lpstr>
      <vt:lpstr>    Methods</vt:lpstr>
      <vt:lpstr>    Results</vt:lpstr>
      <vt:lpstr>    Conclusions</vt:lpstr>
      <vt:lpstr>Introduction</vt:lpstr>
      <vt:lpstr>Methods</vt:lpstr>
      <vt:lpstr>    Data sources</vt:lpstr>
      <vt:lpstr>        Notification data</vt:lpstr>
      <vt:lpstr>        Hospitalisation data</vt:lpstr>
      <vt:lpstr>        Mortality data</vt:lpstr>
      <vt:lpstr>        Population estimates</vt:lpstr>
      <vt:lpstr>        Data analysis</vt:lpstr>
      <vt:lpstr>        Indigenous hospitalisation data</vt:lpstr>
      <vt:lpstr>    Results</vt:lpstr>
      <vt:lpstr>        Notifications of varicella and herpes zoster</vt:lpstr>
      <vt:lpstr>        Varicella and herpes zoster associated hospitalisations</vt:lpstr>
      <vt:lpstr>        VZV associated hospitalisations in Indigenous Australians</vt:lpstr>
      <vt:lpstr>        Varicella and herpes zoster associated mortality</vt:lpstr>
      <vt:lpstr>Discussion</vt:lpstr>
      <vt:lpstr>Acknowledgements</vt:lpstr>
      <vt:lpstr>Corresponding author</vt:lpstr>
      <vt:lpstr>Author details</vt:lpstr>
      <vt:lpstr>References</vt:lpstr>
    </vt:vector>
  </TitlesOfParts>
  <Company>Australian Government, Department of Health</Company>
  <LinksUpToDate>false</LinksUpToDate>
  <CharactersWithSpaces>53955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vaccine preventable disease epidemiological review series: varicella-zoster virus infections, 1998–2015</dc:title>
  <dc:subject>This epidemiological review summarises notification, hospitalisation and mortality data for varicella and herpes zoster in Australia for the years 1998 to 2015. It described the impact of a nationally funded varicella vaccination program under Australia’s National Immunisation Program and provides baseline epidemiology for herpes zoster prior to the introduction of a herpes zoster vaccine under the National Immunisation Program.</dc:subject>
  <dc:creator>Meru Sheel, Frank Beard, Helen Quinn, Aditi Dey, Martyn Kirk, Ann Koehler Peter Markey, Peter McIntyre, Kristine Macartney</dc:creator>
  <cp:keywords>varicella zoster virus, varicella, herpes zoster, chickenpox, shingles, epidemiology, disease surveillance, immunisation, vaccine preventable disease</cp:keywords>
  <cp:revision>2</cp:revision>
  <cp:lastPrinted>2018-05-31T06:18:00Z</cp:lastPrinted>
  <dcterms:created xsi:type="dcterms:W3CDTF">2024-08-27T01:54:00Z</dcterms:created>
  <dcterms:modified xsi:type="dcterms:W3CDTF">2024-08-27T01:54:00Z</dcterms:modified>
  <cp:category>Original Article</cp:category>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