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A7B8" w14:textId="77777777" w:rsidR="00CC25E2" w:rsidRDefault="00CC25E2" w:rsidP="00CC25E2">
      <w:pPr>
        <w:pStyle w:val="Title"/>
        <w:rPr>
          <w:rFonts w:eastAsia="Times New Roman"/>
          <w:sz w:val="24"/>
          <w:szCs w:val="24"/>
        </w:rPr>
      </w:pPr>
      <w:r>
        <w:rPr>
          <w:rFonts w:eastAsia="Times New Roman"/>
        </w:rPr>
        <w:t xml:space="preserve">Influenza epidemiology in patients admitted to sentinel Australian hospitals in 2017: the Influenza Complications Alert Network (FluCAN) </w:t>
      </w:r>
    </w:p>
    <w:p w14:paraId="26E7E2B6" w14:textId="77777777" w:rsidR="00CC25E2" w:rsidRDefault="00CC25E2" w:rsidP="00896407">
      <w:r>
        <w:t xml:space="preserve">Allen C Cheng, Mark Holmes, Dominic E Dwyer, Sanjaya Senanayake, Louise Cooley, Louis B Irving , Graham Simpson, Tony </w:t>
      </w:r>
      <w:proofErr w:type="spellStart"/>
      <w:r>
        <w:t>Korman</w:t>
      </w:r>
      <w:proofErr w:type="spellEnd"/>
      <w:r>
        <w:t xml:space="preserve">, Kristine Macartney, N Deborah Friedman, Peter </w:t>
      </w:r>
      <w:proofErr w:type="spellStart"/>
      <w:r>
        <w:t>Wark</w:t>
      </w:r>
      <w:proofErr w:type="spellEnd"/>
      <w:r>
        <w:t xml:space="preserve">, Anna Holwell , Christopher C Blyth, Simon Bowler, John Upham, Grant W Waterer, Tom </w:t>
      </w:r>
      <w:proofErr w:type="spellStart"/>
      <w:r>
        <w:t>Kotsimbos</w:t>
      </w:r>
      <w:proofErr w:type="spellEnd"/>
      <w:r>
        <w:t xml:space="preserve"> and Paul M Kelly </w:t>
      </w:r>
    </w:p>
    <w:p w14:paraId="28F121AF" w14:textId="77777777" w:rsidR="00CC25E2" w:rsidRDefault="00CC25E2">
      <w:pPr>
        <w:pStyle w:val="Heading1"/>
        <w:rPr>
          <w:rFonts w:eastAsia="Times New Roman"/>
        </w:rPr>
      </w:pPr>
      <w:r>
        <w:rPr>
          <w:rFonts w:eastAsia="Times New Roman"/>
        </w:rPr>
        <w:t>Abstract</w:t>
      </w:r>
    </w:p>
    <w:p w14:paraId="45A5F537" w14:textId="77777777" w:rsidR="00CC25E2" w:rsidRDefault="00CC25E2" w:rsidP="007C3CF7">
      <w:r>
        <w:t>The Influenza Complications Alert Network (FluCAN) is a sentinel-hospital-based surveillance program that operates at sites in all jurisdictions in Australia. This report summarises the epidemiology of hospitalisations with laboratory-confirmed influenza during the 2017 influenza season.</w:t>
      </w:r>
    </w:p>
    <w:p w14:paraId="0ABD1321" w14:textId="77777777" w:rsidR="00CC25E2" w:rsidRDefault="00CC25E2" w:rsidP="007C3CF7">
      <w:r>
        <w:t>In this observational surveillance system, cases were defined as patients admitted to any of the 17 sentinel hospitals with influenza confirmed by nucleic acid detection. Data are also collected on a frequency-matched control group of influenza-negative patients admitted with acute respiratory infection.</w:t>
      </w:r>
    </w:p>
    <w:p w14:paraId="12938BCB" w14:textId="77777777" w:rsidR="00CC25E2" w:rsidRDefault="00CC25E2" w:rsidP="007C3CF7">
      <w:r>
        <w:t>During the period 3 April to 31 October 2017 (the 2017 influenza season), 4,359 patients were admitted with confirmed influenza to one of 17 FluCAN sentinel hospitals. Of these, 52% were elderly (≥65 years), 14% were children (&lt;16 years), 6.5% were Aboriginal and Torres Strait Islander peoples, 1.6% were pregnant and 78% had chronic comorbidities. A significant proportion were due to influenza B (31%). Estimated vaccine coverage was 72% in the elderly (≥65 years), 50% in non-elderly adults with medical comorbidities and 24% in children (&lt;16 years) with medical comorbidities. The estimated vaccine effectiveness (VE) in the target population was 23% (95% CI: 7%, 36%).</w:t>
      </w:r>
    </w:p>
    <w:p w14:paraId="4166A411" w14:textId="77777777" w:rsidR="00CC25E2" w:rsidRDefault="00CC25E2" w:rsidP="007C3CF7">
      <w:r>
        <w:t>There were a large number of hospital admissions detected with confirmed influenza in this national observational surveillance system in 2017, with case numbers more than twice that reported in 2016.</w:t>
      </w:r>
    </w:p>
    <w:p w14:paraId="19B0F84B" w14:textId="77777777" w:rsidR="00CC25E2" w:rsidRDefault="00CC25E2" w:rsidP="007C3CF7">
      <w:r>
        <w:t>Keywords: Influenza, public health surveillance, influenza vaccines, vaccination coverage, vaccine effectiveness</w:t>
      </w:r>
    </w:p>
    <w:p w14:paraId="3532201A" w14:textId="77777777" w:rsidR="00CC25E2" w:rsidRPr="007C3CF7" w:rsidRDefault="00CC25E2" w:rsidP="007C3CF7">
      <w:pPr>
        <w:pStyle w:val="Heading1"/>
      </w:pPr>
      <w:r w:rsidRPr="007C3CF7">
        <w:t>Introduction</w:t>
      </w:r>
    </w:p>
    <w:p w14:paraId="5F064A87" w14:textId="77777777" w:rsidR="00CC25E2" w:rsidRDefault="00CC25E2" w:rsidP="007C3CF7">
      <w:r>
        <w:t>Influenza is a common respiratory virus that affects up to 5–10% of the population each year.</w:t>
      </w:r>
      <w:r>
        <w:rPr>
          <w:vertAlign w:val="superscript"/>
        </w:rPr>
        <w:t>1</w:t>
      </w:r>
      <w:r>
        <w:t xml:space="preserve"> Although most infection with influenza results in a relatively mild self-limiting illness, the widespread transmission of this virus means that complications from influenza are a major cause of hospitalisation and death.</w:t>
      </w:r>
      <w:r>
        <w:rPr>
          <w:vertAlign w:val="superscript"/>
        </w:rPr>
        <w:t>2,3</w:t>
      </w:r>
      <w:r>
        <w:t xml:space="preserve"> In this report, we describe the epidemiology of hospitalisation with laboratory-confirmed influenza in the 2017 season in Australia.</w:t>
      </w:r>
    </w:p>
    <w:p w14:paraId="0F660905" w14:textId="77777777" w:rsidR="00CC25E2" w:rsidRPr="007C3CF7" w:rsidRDefault="00CC25E2" w:rsidP="007C3CF7">
      <w:pPr>
        <w:pStyle w:val="Heading1"/>
      </w:pPr>
      <w:r w:rsidRPr="007C3CF7">
        <w:t>Methods</w:t>
      </w:r>
    </w:p>
    <w:p w14:paraId="5874AE7A" w14:textId="77777777" w:rsidR="00CC25E2" w:rsidRDefault="00CC25E2" w:rsidP="007C3CF7">
      <w:r>
        <w:t>The Influenza Complications Alert Network (FluCAN) is a national hospital-based sentinel surveillance system.</w:t>
      </w:r>
      <w:r>
        <w:rPr>
          <w:vertAlign w:val="superscript"/>
        </w:rPr>
        <w:t>4</w:t>
      </w:r>
      <w:r>
        <w:t xml:space="preserve"> Since 2011, the participating sites have been Canberra Hospital (ACT), Calvary Hospital (ACT), Westmead Hospital (NSW), John Hunter Hospital (NSW), Children’s Hospital at Westmead (NSW), Alice Springs Hospital (NT), Royal Adelaide Hospital (SA), Mater Hospital (Qld), Princess Alexandra Hospital (Qld), Cairns Base Hospital (Qld), Royal Hobart Hospital (Tas), The Alfred Hospital (Vic), Royal Melbourne Hospital (Vic), Monash Medical Centre (Vic), University Hospital Geelong (Vic), Royal Perth Hospital (WA), and Princess Margaret Hospital (WA). In 2017, additional specialist </w:t>
      </w:r>
      <w:r>
        <w:lastRenderedPageBreak/>
        <w:t>paediatric hospitals also participated, but data from these sites were not included in this report to facilitate comparisons with previous years. Ethical approval has been obtained at all participating sites and at Monash University. Hospital bed capacity statistics were obtained from each participating hospital, and national bed capacity was obtained from the last published AIHW report.</w:t>
      </w:r>
      <w:r>
        <w:rPr>
          <w:vertAlign w:val="superscript"/>
        </w:rPr>
        <w:t>5</w:t>
      </w:r>
      <w:r>
        <w:t xml:space="preserve"> </w:t>
      </w:r>
    </w:p>
    <w:p w14:paraId="0F5657DD" w14:textId="77777777" w:rsidR="00CC25E2" w:rsidRDefault="00CC25E2" w:rsidP="007C3CF7">
      <w:r>
        <w:t>An influenza case was defined as a patient admitted to hospital with influenza confirmed by nucleic acid testing (NAT). Surveillance is conducted from early April to the end of October (with follow-up continuing to the end of November) each year. Data on a frequency-matched group of test-negative controls were also collected. Admission or transfer to an intensive care unit (ICU) included patients managed in a high dependency unit (HDU). The onset date was defined as the date of admission except for patients where the date of the test was more than 7 days after admission, where the onset date was the date of the test. The presence of risk factors and comorbidities was ascertained from the patient’s medical record. Restricted functional capacity was defined as those who were not fully active and not able to carry out all activities without restriction prior to the acute illness.</w:t>
      </w:r>
      <w:r>
        <w:rPr>
          <w:vertAlign w:val="superscript"/>
        </w:rPr>
        <w:t>6</w:t>
      </w:r>
      <w:r>
        <w:t xml:space="preserve"> </w:t>
      </w:r>
    </w:p>
    <w:p w14:paraId="7E756F15" w14:textId="77777777" w:rsidR="00CC25E2" w:rsidRDefault="00CC25E2" w:rsidP="007C3CF7">
      <w:r>
        <w:t>We examined factors associated with ICU admission using multivariable regression. Factors independently associated with ICU admission were determined using a logistic regression model with no variable selection process, as all factors were plausibly related to ICU admission.</w:t>
      </w:r>
    </w:p>
    <w:p w14:paraId="7A336280" w14:textId="77777777" w:rsidR="00CC25E2" w:rsidRDefault="00CC25E2" w:rsidP="007C3CF7">
      <w:r>
        <w:t>The presentation delay was defined as the time from onset of illness to admission to hospital. The treatment delay was defined as the time from onset of illness to prescription of oseltamivir (in patients that received treatment). Patients were categorised into those that (a) did not receive oseltamivir (b) received oseltamivir within 2 days of symptom onset and (c) received oseltamivir more than 2 days of symptom onset. We modelled factors associated with length of hospital stay, including antiviral use, using a negative binomial regression. In this variant of a Poisson model, the coefficient represents the relative increase in hospital length of stay.</w:t>
      </w:r>
    </w:p>
    <w:p w14:paraId="2056BBAB" w14:textId="77777777" w:rsidR="00CC25E2" w:rsidRDefault="00CC25E2" w:rsidP="007C3CF7">
      <w:r>
        <w:t xml:space="preserve">Vaccine coverage was estimated from the proportion of vaccinated individuals in test-negative controls in each age group, stratified by the presence of chronic comorbidities. Vaccine effectiveness was estimated from the odds ratio of vaccination in cases vs controls using the </w:t>
      </w:r>
      <w:r w:rsidR="007C3CF7">
        <w:t>formula,</w:t>
      </w:r>
      <w:r>
        <w:t xml:space="preserve"> with the odds ratio calculated from a conditional logistic regression, stratified by site and month and adjusted for age group, the presence of chronic comorbidities, pregnancy and Aboriginal or Torres Strait Islander ethnicity.</w:t>
      </w:r>
    </w:p>
    <w:p w14:paraId="3A6A49A4" w14:textId="77777777" w:rsidR="00CC25E2" w:rsidRPr="007C3CF7" w:rsidRDefault="00CC25E2" w:rsidP="007C3CF7">
      <w:pPr>
        <w:pStyle w:val="Heading1"/>
      </w:pPr>
      <w:r w:rsidRPr="007C3CF7">
        <w:t>Results</w:t>
      </w:r>
    </w:p>
    <w:p w14:paraId="1A97ED1A" w14:textId="77777777" w:rsidR="00CC25E2" w:rsidRDefault="00CC25E2" w:rsidP="007C3CF7">
      <w:r>
        <w:t>During the period 3 April to 31 October 2017 (the 2017 influenza season), 4,259 patients were admitted with laboratory-confirmed influenza to the 17 FluCAN sentinel hospitals. The peak weekly number of admissions was in mid-August (week 35) (Figure 1). The majority of cases were due to influenza A (n=2,949, 69%). The proportion due to influenza B was similar across all jurisdictions, ranging from 19% in WA to 34% in NSW.</w:t>
      </w:r>
    </w:p>
    <w:p w14:paraId="516FADB9" w14:textId="77777777" w:rsidR="00984D1C" w:rsidRDefault="00984D1C">
      <w:pPr>
        <w:rPr>
          <w:b/>
        </w:rPr>
      </w:pPr>
      <w:r>
        <w:br w:type="page"/>
      </w:r>
    </w:p>
    <w:p w14:paraId="446883A6" w14:textId="77777777" w:rsidR="00CC25E2" w:rsidRDefault="00CC25E2" w:rsidP="007C3CF7">
      <w:pPr>
        <w:pStyle w:val="CDIFigures"/>
      </w:pPr>
      <w:r>
        <w:lastRenderedPageBreak/>
        <w:t xml:space="preserve">Figure 1: Date of </w:t>
      </w:r>
      <w:proofErr w:type="spellStart"/>
      <w:r>
        <w:t>admission</w:t>
      </w:r>
      <w:r w:rsidRPr="007C3CF7">
        <w:rPr>
          <w:vertAlign w:val="superscript"/>
        </w:rPr>
        <w:t>a</w:t>
      </w:r>
      <w:proofErr w:type="spellEnd"/>
      <w:r>
        <w:t xml:space="preserve"> in patients hospitalised with confirmed influenza</w:t>
      </w:r>
    </w:p>
    <w:p w14:paraId="788F514A" w14:textId="77777777" w:rsidR="00CC25E2" w:rsidRDefault="00CC25E2">
      <w:pPr>
        <w:pStyle w:val="NormalWeb"/>
      </w:pPr>
      <w:r>
        <w:rPr>
          <w:noProof/>
        </w:rPr>
        <w:drawing>
          <wp:inline distT="0" distB="0" distL="0" distR="0" wp14:anchorId="348D505F" wp14:editId="7F0862E3">
            <wp:extent cx="6480000" cy="4219703"/>
            <wp:effectExtent l="0" t="0" r="0" b="0"/>
            <wp:docPr id="4" name="Picture 4" descr="Figure 1: This graph shows the number of cases at the sentinel hospitals by epidemiological week. It shows influenza activity rose from week 25 to a peak of more than 400 cases in week 35, before declining until the end of surveillance in week 42. The majority of cases were due to influenza A; of the minority that were subtyped, A/H3 was more common than A/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This graph shows the number of cases at the sentinel hospitals by epidemiological week. It shows influenza activity rose from week 25 to a peak of more than 400 cases in week 35, before declining until the end of surveillance in week 42. The majority of cases were due to influenza A; of the minority that were subtyped, A/H3 was more common than A/H1."/>
                    <pic:cNvPicPr>
                      <a:picLocks noChangeAspect="1" noChangeArrowheads="1"/>
                    </pic:cNvPicPr>
                  </pic:nvPicPr>
                  <pic:blipFill>
                    <a:blip r:embed="rId9" cstate="hqprint">
                      <a:extLst>
                        <a:ext uri="{28A0092B-C50C-407E-A947-70E740481C1C}">
                          <a14:useLocalDpi xmlns:a14="http://schemas.microsoft.com/office/drawing/2010/main" val="0"/>
                        </a:ext>
                      </a:extLst>
                    </a:blip>
                    <a:stretch>
                      <a:fillRect/>
                    </a:stretch>
                  </pic:blipFill>
                  <pic:spPr bwMode="auto">
                    <a:xfrm>
                      <a:off x="0" y="0"/>
                      <a:ext cx="6480000" cy="4219703"/>
                    </a:xfrm>
                    <a:prstGeom prst="rect">
                      <a:avLst/>
                    </a:prstGeom>
                  </pic:spPr>
                </pic:pic>
              </a:graphicData>
            </a:graphic>
          </wp:inline>
        </w:drawing>
      </w:r>
    </w:p>
    <w:p w14:paraId="2D2E89DB" w14:textId="77777777" w:rsidR="00CC25E2" w:rsidRDefault="00CC25E2" w:rsidP="007C3CF7">
      <w:pPr>
        <w:pStyle w:val="CDIfootnotes"/>
      </w:pPr>
      <w:r>
        <w:t>a</w:t>
      </w:r>
      <w:r w:rsidR="007C3CF7">
        <w:tab/>
      </w:r>
      <w:proofErr w:type="spellStart"/>
      <w:proofErr w:type="gramStart"/>
      <w:r>
        <w:t>By</w:t>
      </w:r>
      <w:proofErr w:type="spellEnd"/>
      <w:proofErr w:type="gramEnd"/>
      <w:r>
        <w:t xml:space="preserve"> week beginning on listed date; representing date of admission (or date of influenza diagnosis if acquired &gt;7 days in hospital). </w:t>
      </w:r>
    </w:p>
    <w:p w14:paraId="6D6B67B4" w14:textId="77777777" w:rsidR="00CC25E2" w:rsidRDefault="00CC25E2" w:rsidP="007C3CF7">
      <w:r>
        <w:t>Of these 4,259 patients admitted with confirmed influenza, 2,228 (52%) were &gt;65 years of age, 587 (14%) were children (&lt;16 years), 277 (6.5%) were Aboriginal and Torres Strait Islander peoples, and 3,310 (78%) had chronic comorbidities (Table 1; Table 2). There were 69 pregnant women which represented 16% of the 412 female patients aged 16–49, or 1.6% of the total. Of the 3,082 patients (73%) where influenza vaccination status was ascertained, 1,531 (50%) had been vaccinated.</w:t>
      </w:r>
    </w:p>
    <w:p w14:paraId="4C7659BA" w14:textId="77777777" w:rsidR="00A21F0A" w:rsidRDefault="00A21F0A">
      <w:pPr>
        <w:rPr>
          <w:b/>
          <w:lang w:val="en-US"/>
        </w:rPr>
      </w:pPr>
      <w:r>
        <w:rPr>
          <w:lang w:val="en-US"/>
        </w:rPr>
        <w:br w:type="page"/>
      </w:r>
    </w:p>
    <w:p w14:paraId="735D1FCA" w14:textId="77777777" w:rsidR="00CC25E2" w:rsidRDefault="00CC25E2" w:rsidP="007C3CF7">
      <w:pPr>
        <w:pStyle w:val="CDIFigures"/>
      </w:pPr>
      <w:r>
        <w:rPr>
          <w:lang w:val="en-US"/>
        </w:rPr>
        <w:lastRenderedPageBreak/>
        <w:t xml:space="preserve">Table 1: Demographic characteristics of </w:t>
      </w:r>
      <w:r>
        <w:t>hospitalised patients with confirmed influenza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the characteristics of patients admitted to the sentinel hospitals, including age, sex, pregnancy status, Indigenous status and jurisdiction, with confirmed influenza, by influenza type and subtype&#10;"/>
      </w:tblPr>
      <w:tblGrid>
        <w:gridCol w:w="1740"/>
        <w:gridCol w:w="1740"/>
        <w:gridCol w:w="1740"/>
        <w:gridCol w:w="1740"/>
        <w:gridCol w:w="1740"/>
        <w:gridCol w:w="1740"/>
      </w:tblGrid>
      <w:tr w:rsidR="00737AD6" w:rsidRPr="00DC2FFA" w14:paraId="780952CE" w14:textId="77777777" w:rsidTr="00375116">
        <w:trPr>
          <w:cnfStyle w:val="100000000000" w:firstRow="1" w:lastRow="0" w:firstColumn="0" w:lastColumn="0" w:oddVBand="0" w:evenVBand="0" w:oddHBand="0" w:evenHBand="0" w:firstRowFirstColumn="0" w:firstRowLastColumn="0" w:lastRowFirstColumn="0" w:lastRowLastColumn="0"/>
          <w:trHeight w:val="331"/>
          <w:tblHeader/>
        </w:trPr>
        <w:tc>
          <w:tcPr>
            <w:tcW w:w="3480" w:type="dxa"/>
            <w:gridSpan w:val="2"/>
            <w:hideMark/>
          </w:tcPr>
          <w:p w14:paraId="569985D0" w14:textId="77777777" w:rsidR="00CC25E2" w:rsidRPr="00DC2FFA" w:rsidRDefault="00CC25E2" w:rsidP="00737AD6">
            <w:pPr>
              <w:jc w:val="center"/>
              <w:rPr>
                <w:color w:val="FFFFFF" w:themeColor="background1"/>
                <w:sz w:val="18"/>
                <w:szCs w:val="18"/>
              </w:rPr>
            </w:pPr>
          </w:p>
        </w:tc>
        <w:tc>
          <w:tcPr>
            <w:tcW w:w="3480" w:type="dxa"/>
            <w:gridSpan w:val="2"/>
            <w:hideMark/>
          </w:tcPr>
          <w:p w14:paraId="5AAF5919" w14:textId="77777777" w:rsidR="00CC25E2" w:rsidRPr="00DC2FFA" w:rsidRDefault="00CC25E2" w:rsidP="00737AD6">
            <w:pPr>
              <w:pStyle w:val="NormalWeb"/>
              <w:jc w:val="center"/>
              <w:rPr>
                <w:color w:val="FFFFFF" w:themeColor="background1"/>
                <w:sz w:val="18"/>
                <w:szCs w:val="18"/>
              </w:rPr>
            </w:pPr>
            <w:r w:rsidRPr="00DC2FFA">
              <w:rPr>
                <w:color w:val="FFFFFF" w:themeColor="background1"/>
                <w:sz w:val="18"/>
                <w:szCs w:val="18"/>
              </w:rPr>
              <w:t>Influenza type/subtype</w:t>
            </w:r>
          </w:p>
        </w:tc>
        <w:tc>
          <w:tcPr>
            <w:tcW w:w="3480" w:type="dxa"/>
            <w:gridSpan w:val="2"/>
            <w:hideMark/>
          </w:tcPr>
          <w:p w14:paraId="13F9FA70" w14:textId="77777777" w:rsidR="00CC25E2" w:rsidRPr="00DC2FFA" w:rsidRDefault="00CC25E2" w:rsidP="00737AD6">
            <w:pPr>
              <w:pStyle w:val="NormalWeb"/>
              <w:jc w:val="center"/>
              <w:rPr>
                <w:color w:val="FFFFFF" w:themeColor="background1"/>
                <w:sz w:val="18"/>
                <w:szCs w:val="18"/>
              </w:rPr>
            </w:pPr>
            <w:r w:rsidRPr="00DC2FFA">
              <w:rPr>
                <w:color w:val="FFFFFF" w:themeColor="background1"/>
                <w:sz w:val="18"/>
                <w:szCs w:val="18"/>
              </w:rPr>
              <w:t>Total</w:t>
            </w:r>
          </w:p>
        </w:tc>
      </w:tr>
      <w:tr w:rsidR="00CC25E2" w:rsidRPr="00DC2FFA" w14:paraId="0E9E6E16" w14:textId="77777777" w:rsidTr="00375116">
        <w:trPr>
          <w:trHeight w:val="331"/>
        </w:trPr>
        <w:tc>
          <w:tcPr>
            <w:tcW w:w="1740" w:type="dxa"/>
            <w:hideMark/>
          </w:tcPr>
          <w:p w14:paraId="18BAAAEA" w14:textId="77777777" w:rsidR="00CC25E2" w:rsidRPr="00DC2FFA" w:rsidRDefault="00CC25E2" w:rsidP="00737AD6">
            <w:pPr>
              <w:rPr>
                <w:sz w:val="18"/>
                <w:szCs w:val="18"/>
              </w:rPr>
            </w:pPr>
          </w:p>
        </w:tc>
        <w:tc>
          <w:tcPr>
            <w:tcW w:w="1740" w:type="dxa"/>
            <w:hideMark/>
          </w:tcPr>
          <w:p w14:paraId="4C3B9312" w14:textId="77777777" w:rsidR="00CC25E2" w:rsidRPr="00DC2FFA" w:rsidRDefault="00CC25E2" w:rsidP="00737AD6">
            <w:pPr>
              <w:pStyle w:val="NormalWeb"/>
              <w:jc w:val="center"/>
              <w:rPr>
                <w:sz w:val="18"/>
                <w:szCs w:val="18"/>
              </w:rPr>
            </w:pPr>
            <w:r w:rsidRPr="00DC2FFA">
              <w:rPr>
                <w:sz w:val="18"/>
                <w:szCs w:val="18"/>
              </w:rPr>
              <w:t>A/H1N1</w:t>
            </w:r>
          </w:p>
        </w:tc>
        <w:tc>
          <w:tcPr>
            <w:tcW w:w="1740" w:type="dxa"/>
            <w:hideMark/>
          </w:tcPr>
          <w:p w14:paraId="2485FEFE" w14:textId="77777777" w:rsidR="00CC25E2" w:rsidRPr="00DC2FFA" w:rsidRDefault="00CC25E2" w:rsidP="00737AD6">
            <w:pPr>
              <w:pStyle w:val="NormalWeb"/>
              <w:jc w:val="center"/>
              <w:rPr>
                <w:sz w:val="18"/>
                <w:szCs w:val="18"/>
              </w:rPr>
            </w:pPr>
            <w:r w:rsidRPr="00DC2FFA">
              <w:rPr>
                <w:sz w:val="18"/>
                <w:szCs w:val="18"/>
              </w:rPr>
              <w:t>A/H3N2</w:t>
            </w:r>
          </w:p>
        </w:tc>
        <w:tc>
          <w:tcPr>
            <w:tcW w:w="1740" w:type="dxa"/>
            <w:hideMark/>
          </w:tcPr>
          <w:p w14:paraId="43942DDD" w14:textId="77777777" w:rsidR="00CC25E2" w:rsidRPr="00DC2FFA" w:rsidRDefault="00CC25E2" w:rsidP="00737AD6">
            <w:pPr>
              <w:pStyle w:val="NormalWeb"/>
              <w:jc w:val="center"/>
              <w:rPr>
                <w:sz w:val="18"/>
                <w:szCs w:val="18"/>
              </w:rPr>
            </w:pPr>
            <w:r w:rsidRPr="00DC2FFA">
              <w:rPr>
                <w:sz w:val="18"/>
                <w:szCs w:val="18"/>
              </w:rPr>
              <w:t>A/unknown</w:t>
            </w:r>
          </w:p>
        </w:tc>
        <w:tc>
          <w:tcPr>
            <w:tcW w:w="1740" w:type="dxa"/>
            <w:hideMark/>
          </w:tcPr>
          <w:p w14:paraId="26B05E17" w14:textId="77777777" w:rsidR="00CC25E2" w:rsidRPr="00DC2FFA" w:rsidRDefault="00CC25E2" w:rsidP="00737AD6">
            <w:pPr>
              <w:pStyle w:val="NormalWeb"/>
              <w:jc w:val="center"/>
              <w:rPr>
                <w:sz w:val="18"/>
                <w:szCs w:val="18"/>
              </w:rPr>
            </w:pPr>
            <w:r w:rsidRPr="00DC2FFA">
              <w:rPr>
                <w:sz w:val="18"/>
                <w:szCs w:val="18"/>
              </w:rPr>
              <w:t>B</w:t>
            </w:r>
          </w:p>
        </w:tc>
        <w:tc>
          <w:tcPr>
            <w:tcW w:w="1740" w:type="dxa"/>
            <w:hideMark/>
          </w:tcPr>
          <w:p w14:paraId="571653EC" w14:textId="77777777" w:rsidR="00CC25E2" w:rsidRPr="00DC2FFA" w:rsidRDefault="00CC25E2" w:rsidP="00737AD6">
            <w:pPr>
              <w:jc w:val="center"/>
              <w:rPr>
                <w:sz w:val="18"/>
                <w:szCs w:val="18"/>
              </w:rPr>
            </w:pPr>
          </w:p>
        </w:tc>
      </w:tr>
      <w:tr w:rsidR="00CC25E2" w:rsidRPr="00DC2FFA" w14:paraId="724A1F8B"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6EF2044D" w14:textId="77777777" w:rsidR="00CC25E2" w:rsidRPr="00DC2FFA" w:rsidRDefault="00CC25E2" w:rsidP="00737AD6">
            <w:pPr>
              <w:pStyle w:val="NormalWeb"/>
              <w:rPr>
                <w:sz w:val="18"/>
                <w:szCs w:val="18"/>
              </w:rPr>
            </w:pPr>
            <w:r w:rsidRPr="00DC2FFA">
              <w:rPr>
                <w:sz w:val="18"/>
                <w:szCs w:val="18"/>
              </w:rPr>
              <w:t>Number</w:t>
            </w:r>
            <w:r w:rsidR="00D8256A" w:rsidRPr="00DC2FFA">
              <w:rPr>
                <w:sz w:val="18"/>
                <w:szCs w:val="18"/>
              </w:rPr>
              <w:t xml:space="preserve"> </w:t>
            </w:r>
            <w:r w:rsidR="00AC4ED4" w:rsidRPr="00DC2FFA">
              <w:rPr>
                <w:noProof/>
                <w:sz w:val="18"/>
                <w:szCs w:val="18"/>
              </w:rPr>
              <w:drawing>
                <wp:inline distT="0" distB="0" distL="0" distR="0" wp14:anchorId="2C5125E7">
                  <wp:extent cx="180000" cy="84166"/>
                  <wp:effectExtent l="0" t="0" r="0" b="0"/>
                  <wp:docPr id="6" name="Picture 6" descr="rightward arrow&#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ght.gif"/>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180000" cy="84166"/>
                          </a:xfrm>
                          <a:prstGeom prst="rect">
                            <a:avLst/>
                          </a:prstGeom>
                        </pic:spPr>
                      </pic:pic>
                    </a:graphicData>
                  </a:graphic>
                </wp:inline>
              </w:drawing>
            </w:r>
          </w:p>
        </w:tc>
        <w:tc>
          <w:tcPr>
            <w:tcW w:w="1740" w:type="dxa"/>
            <w:hideMark/>
          </w:tcPr>
          <w:p w14:paraId="559BF4A8" w14:textId="77777777" w:rsidR="00CC25E2" w:rsidRPr="00DC2FFA" w:rsidRDefault="00CC25E2" w:rsidP="00737AD6">
            <w:pPr>
              <w:pStyle w:val="NormalWeb"/>
              <w:jc w:val="center"/>
              <w:rPr>
                <w:sz w:val="18"/>
                <w:szCs w:val="18"/>
              </w:rPr>
            </w:pPr>
            <w:r w:rsidRPr="00DC2FFA">
              <w:rPr>
                <w:sz w:val="18"/>
                <w:szCs w:val="18"/>
              </w:rPr>
              <w:t>183</w:t>
            </w:r>
          </w:p>
        </w:tc>
        <w:tc>
          <w:tcPr>
            <w:tcW w:w="1740" w:type="dxa"/>
            <w:hideMark/>
          </w:tcPr>
          <w:p w14:paraId="5B05C671" w14:textId="77777777" w:rsidR="00CC25E2" w:rsidRPr="00DC2FFA" w:rsidRDefault="00CC25E2" w:rsidP="00737AD6">
            <w:pPr>
              <w:pStyle w:val="NormalWeb"/>
              <w:jc w:val="center"/>
              <w:rPr>
                <w:sz w:val="18"/>
                <w:szCs w:val="18"/>
              </w:rPr>
            </w:pPr>
            <w:r w:rsidRPr="00DC2FFA">
              <w:rPr>
                <w:sz w:val="18"/>
                <w:szCs w:val="18"/>
              </w:rPr>
              <w:t>532</w:t>
            </w:r>
          </w:p>
        </w:tc>
        <w:tc>
          <w:tcPr>
            <w:tcW w:w="1740" w:type="dxa"/>
            <w:hideMark/>
          </w:tcPr>
          <w:p w14:paraId="079ACF18" w14:textId="77777777" w:rsidR="00CC25E2" w:rsidRPr="00DC2FFA" w:rsidRDefault="00CC25E2" w:rsidP="00737AD6">
            <w:pPr>
              <w:pStyle w:val="NormalWeb"/>
              <w:jc w:val="center"/>
              <w:rPr>
                <w:sz w:val="18"/>
                <w:szCs w:val="18"/>
              </w:rPr>
            </w:pPr>
            <w:r w:rsidRPr="00DC2FFA">
              <w:rPr>
                <w:sz w:val="18"/>
                <w:szCs w:val="18"/>
              </w:rPr>
              <w:t>2,234</w:t>
            </w:r>
          </w:p>
        </w:tc>
        <w:tc>
          <w:tcPr>
            <w:tcW w:w="1740" w:type="dxa"/>
            <w:hideMark/>
          </w:tcPr>
          <w:p w14:paraId="590790BA" w14:textId="77777777" w:rsidR="00CC25E2" w:rsidRPr="00DC2FFA" w:rsidRDefault="00CC25E2" w:rsidP="00737AD6">
            <w:pPr>
              <w:pStyle w:val="NormalWeb"/>
              <w:jc w:val="center"/>
              <w:rPr>
                <w:sz w:val="18"/>
                <w:szCs w:val="18"/>
              </w:rPr>
            </w:pPr>
            <w:r w:rsidRPr="00DC2FFA">
              <w:rPr>
                <w:sz w:val="18"/>
                <w:szCs w:val="18"/>
              </w:rPr>
              <w:t>1,310</w:t>
            </w:r>
          </w:p>
        </w:tc>
        <w:tc>
          <w:tcPr>
            <w:tcW w:w="1740" w:type="dxa"/>
            <w:hideMark/>
          </w:tcPr>
          <w:p w14:paraId="12481494" w14:textId="77777777" w:rsidR="00CC25E2" w:rsidRPr="00DC2FFA" w:rsidRDefault="00CC25E2" w:rsidP="00737AD6">
            <w:pPr>
              <w:pStyle w:val="NormalWeb"/>
              <w:jc w:val="center"/>
              <w:rPr>
                <w:sz w:val="18"/>
                <w:szCs w:val="18"/>
              </w:rPr>
            </w:pPr>
            <w:r w:rsidRPr="00DC2FFA">
              <w:rPr>
                <w:sz w:val="18"/>
                <w:szCs w:val="18"/>
              </w:rPr>
              <w:t>4,259</w:t>
            </w:r>
          </w:p>
        </w:tc>
      </w:tr>
      <w:tr w:rsidR="004B3A7F" w:rsidRPr="00DC2FFA" w14:paraId="70A88D25" w14:textId="77777777" w:rsidTr="00375116">
        <w:trPr>
          <w:trHeight w:val="331"/>
        </w:trPr>
        <w:tc>
          <w:tcPr>
            <w:tcW w:w="1740" w:type="dxa"/>
          </w:tcPr>
          <w:p w14:paraId="20A91707" w14:textId="77777777" w:rsidR="004B3A7F" w:rsidRPr="00DC2FFA" w:rsidRDefault="004B3A7F" w:rsidP="00737AD6">
            <w:pPr>
              <w:pStyle w:val="NormalWeb"/>
              <w:rPr>
                <w:sz w:val="18"/>
                <w:szCs w:val="18"/>
              </w:rPr>
            </w:pPr>
            <w:r w:rsidRPr="00DC2FFA">
              <w:rPr>
                <w:sz w:val="18"/>
                <w:szCs w:val="18"/>
              </w:rPr>
              <w:t>Age group</w:t>
            </w:r>
            <w:r w:rsidR="00CC16B0" w:rsidRPr="00DC2FFA">
              <w:rPr>
                <w:sz w:val="18"/>
                <w:szCs w:val="18"/>
              </w:rPr>
              <w:t xml:space="preserve"> </w:t>
            </w:r>
            <w:r w:rsidR="00AC4ED4" w:rsidRPr="00DC2FFA">
              <w:rPr>
                <w:noProof/>
                <w:sz w:val="18"/>
                <w:szCs w:val="18"/>
              </w:rPr>
              <w:drawing>
                <wp:inline distT="0" distB="0" distL="0" distR="0" wp14:anchorId="4027DD25">
                  <wp:extent cx="84166" cy="180000"/>
                  <wp:effectExtent l="0" t="0" r="0" b="0"/>
                  <wp:docPr id="7" name="Picture 7" descr="downward arr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ttom.gif"/>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84166" cy="180000"/>
                          </a:xfrm>
                          <a:prstGeom prst="rect">
                            <a:avLst/>
                          </a:prstGeom>
                        </pic:spPr>
                      </pic:pic>
                    </a:graphicData>
                  </a:graphic>
                </wp:inline>
              </w:drawing>
            </w:r>
          </w:p>
        </w:tc>
        <w:tc>
          <w:tcPr>
            <w:tcW w:w="1740" w:type="dxa"/>
          </w:tcPr>
          <w:p w14:paraId="11E52104" w14:textId="77777777" w:rsidR="004B3A7F" w:rsidRPr="00DC2FFA" w:rsidRDefault="004B3A7F" w:rsidP="00737AD6">
            <w:pPr>
              <w:pStyle w:val="NormalWeb"/>
              <w:jc w:val="center"/>
              <w:rPr>
                <w:sz w:val="18"/>
                <w:szCs w:val="18"/>
              </w:rPr>
            </w:pPr>
          </w:p>
        </w:tc>
        <w:tc>
          <w:tcPr>
            <w:tcW w:w="1740" w:type="dxa"/>
          </w:tcPr>
          <w:p w14:paraId="1E305625" w14:textId="77777777" w:rsidR="004B3A7F" w:rsidRPr="00DC2FFA" w:rsidRDefault="004B3A7F" w:rsidP="00737AD6">
            <w:pPr>
              <w:pStyle w:val="NormalWeb"/>
              <w:jc w:val="center"/>
              <w:rPr>
                <w:sz w:val="18"/>
                <w:szCs w:val="18"/>
              </w:rPr>
            </w:pPr>
          </w:p>
        </w:tc>
        <w:tc>
          <w:tcPr>
            <w:tcW w:w="1740" w:type="dxa"/>
          </w:tcPr>
          <w:p w14:paraId="3F658C0E" w14:textId="77777777" w:rsidR="004B3A7F" w:rsidRPr="00DC2FFA" w:rsidRDefault="004B3A7F" w:rsidP="00737AD6">
            <w:pPr>
              <w:pStyle w:val="NormalWeb"/>
              <w:jc w:val="center"/>
              <w:rPr>
                <w:sz w:val="18"/>
                <w:szCs w:val="18"/>
              </w:rPr>
            </w:pPr>
          </w:p>
        </w:tc>
        <w:tc>
          <w:tcPr>
            <w:tcW w:w="1740" w:type="dxa"/>
          </w:tcPr>
          <w:p w14:paraId="35BABAEC" w14:textId="77777777" w:rsidR="004B3A7F" w:rsidRPr="00DC2FFA" w:rsidRDefault="004B3A7F" w:rsidP="00737AD6">
            <w:pPr>
              <w:pStyle w:val="NormalWeb"/>
              <w:jc w:val="center"/>
              <w:rPr>
                <w:sz w:val="18"/>
                <w:szCs w:val="18"/>
              </w:rPr>
            </w:pPr>
          </w:p>
        </w:tc>
        <w:tc>
          <w:tcPr>
            <w:tcW w:w="1740" w:type="dxa"/>
          </w:tcPr>
          <w:p w14:paraId="57A1AE4C" w14:textId="77777777" w:rsidR="004B3A7F" w:rsidRPr="00DC2FFA" w:rsidRDefault="004B3A7F" w:rsidP="00737AD6">
            <w:pPr>
              <w:pStyle w:val="NormalWeb"/>
              <w:jc w:val="center"/>
              <w:rPr>
                <w:sz w:val="18"/>
                <w:szCs w:val="18"/>
              </w:rPr>
            </w:pPr>
          </w:p>
        </w:tc>
      </w:tr>
      <w:tr w:rsidR="00CC25E2" w:rsidRPr="00DC2FFA" w14:paraId="12491660"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0D3BC818" w14:textId="77777777" w:rsidR="00CC25E2" w:rsidRPr="00DC2FFA" w:rsidRDefault="00CC25E2" w:rsidP="00737AD6">
            <w:pPr>
              <w:pStyle w:val="NormalWeb"/>
              <w:rPr>
                <w:sz w:val="18"/>
                <w:szCs w:val="18"/>
              </w:rPr>
            </w:pPr>
            <w:r w:rsidRPr="00DC2FFA">
              <w:rPr>
                <w:sz w:val="18"/>
                <w:szCs w:val="18"/>
              </w:rPr>
              <w:t>&lt;16 years</w:t>
            </w:r>
          </w:p>
        </w:tc>
        <w:tc>
          <w:tcPr>
            <w:tcW w:w="1740" w:type="dxa"/>
            <w:hideMark/>
          </w:tcPr>
          <w:p w14:paraId="4977F9BD" w14:textId="77777777" w:rsidR="00CC25E2" w:rsidRPr="00DC2FFA" w:rsidRDefault="00CC25E2" w:rsidP="00737AD6">
            <w:pPr>
              <w:pStyle w:val="NormalWeb"/>
              <w:jc w:val="center"/>
              <w:rPr>
                <w:sz w:val="18"/>
                <w:szCs w:val="18"/>
              </w:rPr>
            </w:pPr>
            <w:r w:rsidRPr="00DC2FFA">
              <w:rPr>
                <w:sz w:val="18"/>
                <w:szCs w:val="18"/>
              </w:rPr>
              <w:t>51 (27.9%)</w:t>
            </w:r>
          </w:p>
        </w:tc>
        <w:tc>
          <w:tcPr>
            <w:tcW w:w="1740" w:type="dxa"/>
            <w:hideMark/>
          </w:tcPr>
          <w:p w14:paraId="1AB4AA45" w14:textId="77777777" w:rsidR="00CC25E2" w:rsidRPr="00DC2FFA" w:rsidRDefault="00CC25E2" w:rsidP="00737AD6">
            <w:pPr>
              <w:pStyle w:val="NormalWeb"/>
              <w:jc w:val="center"/>
              <w:rPr>
                <w:sz w:val="18"/>
                <w:szCs w:val="18"/>
              </w:rPr>
            </w:pPr>
            <w:r w:rsidRPr="00DC2FFA">
              <w:rPr>
                <w:sz w:val="18"/>
                <w:szCs w:val="18"/>
              </w:rPr>
              <w:t>1 (0.2%)</w:t>
            </w:r>
          </w:p>
        </w:tc>
        <w:tc>
          <w:tcPr>
            <w:tcW w:w="1740" w:type="dxa"/>
            <w:hideMark/>
          </w:tcPr>
          <w:p w14:paraId="1FF4CE0B" w14:textId="77777777" w:rsidR="00CC25E2" w:rsidRPr="00DC2FFA" w:rsidRDefault="00CC25E2" w:rsidP="00737AD6">
            <w:pPr>
              <w:pStyle w:val="NormalWeb"/>
              <w:jc w:val="center"/>
              <w:rPr>
                <w:sz w:val="18"/>
                <w:szCs w:val="18"/>
              </w:rPr>
            </w:pPr>
            <w:r w:rsidRPr="00DC2FFA">
              <w:rPr>
                <w:sz w:val="18"/>
                <w:szCs w:val="18"/>
              </w:rPr>
              <w:t>296 (13.2%)</w:t>
            </w:r>
          </w:p>
        </w:tc>
        <w:tc>
          <w:tcPr>
            <w:tcW w:w="1740" w:type="dxa"/>
            <w:hideMark/>
          </w:tcPr>
          <w:p w14:paraId="0D913F96" w14:textId="77777777" w:rsidR="00CC25E2" w:rsidRPr="00DC2FFA" w:rsidRDefault="00CC25E2" w:rsidP="00737AD6">
            <w:pPr>
              <w:pStyle w:val="NormalWeb"/>
              <w:jc w:val="center"/>
              <w:rPr>
                <w:sz w:val="18"/>
                <w:szCs w:val="18"/>
              </w:rPr>
            </w:pPr>
            <w:r w:rsidRPr="00DC2FFA">
              <w:rPr>
                <w:sz w:val="18"/>
                <w:szCs w:val="18"/>
              </w:rPr>
              <w:t>239 (18.2%)</w:t>
            </w:r>
          </w:p>
        </w:tc>
        <w:tc>
          <w:tcPr>
            <w:tcW w:w="1740" w:type="dxa"/>
            <w:hideMark/>
          </w:tcPr>
          <w:p w14:paraId="18410AD4" w14:textId="77777777" w:rsidR="00CC25E2" w:rsidRPr="00DC2FFA" w:rsidRDefault="00CC25E2" w:rsidP="00737AD6">
            <w:pPr>
              <w:pStyle w:val="NormalWeb"/>
              <w:jc w:val="center"/>
              <w:rPr>
                <w:sz w:val="18"/>
                <w:szCs w:val="18"/>
              </w:rPr>
            </w:pPr>
            <w:r w:rsidRPr="00DC2FFA">
              <w:rPr>
                <w:sz w:val="18"/>
                <w:szCs w:val="18"/>
              </w:rPr>
              <w:t>587 (13.8%)</w:t>
            </w:r>
          </w:p>
        </w:tc>
      </w:tr>
      <w:tr w:rsidR="00CC25E2" w:rsidRPr="00DC2FFA" w14:paraId="35BE151F" w14:textId="77777777" w:rsidTr="00375116">
        <w:trPr>
          <w:trHeight w:val="331"/>
        </w:trPr>
        <w:tc>
          <w:tcPr>
            <w:tcW w:w="1740" w:type="dxa"/>
            <w:hideMark/>
          </w:tcPr>
          <w:p w14:paraId="18EC0C90" w14:textId="77777777" w:rsidR="00CC25E2" w:rsidRPr="00DC2FFA" w:rsidRDefault="00CC25E2" w:rsidP="00737AD6">
            <w:pPr>
              <w:pStyle w:val="NormalWeb"/>
              <w:rPr>
                <w:sz w:val="18"/>
                <w:szCs w:val="18"/>
              </w:rPr>
            </w:pPr>
            <w:r w:rsidRPr="00DC2FFA">
              <w:rPr>
                <w:sz w:val="18"/>
                <w:szCs w:val="18"/>
              </w:rPr>
              <w:t>16–49 years</w:t>
            </w:r>
          </w:p>
        </w:tc>
        <w:tc>
          <w:tcPr>
            <w:tcW w:w="1740" w:type="dxa"/>
            <w:hideMark/>
          </w:tcPr>
          <w:p w14:paraId="32AA9FD1" w14:textId="77777777" w:rsidR="00CC25E2" w:rsidRPr="00DC2FFA" w:rsidRDefault="00CC25E2" w:rsidP="00737AD6">
            <w:pPr>
              <w:pStyle w:val="NormalWeb"/>
              <w:jc w:val="center"/>
              <w:rPr>
                <w:sz w:val="18"/>
                <w:szCs w:val="18"/>
              </w:rPr>
            </w:pPr>
            <w:r w:rsidRPr="00DC2FFA">
              <w:rPr>
                <w:sz w:val="18"/>
                <w:szCs w:val="18"/>
              </w:rPr>
              <w:t>47 (25.7%)</w:t>
            </w:r>
          </w:p>
        </w:tc>
        <w:tc>
          <w:tcPr>
            <w:tcW w:w="1740" w:type="dxa"/>
            <w:hideMark/>
          </w:tcPr>
          <w:p w14:paraId="56C1F4E8" w14:textId="77777777" w:rsidR="00CC25E2" w:rsidRPr="00DC2FFA" w:rsidRDefault="00CC25E2" w:rsidP="00737AD6">
            <w:pPr>
              <w:pStyle w:val="NormalWeb"/>
              <w:jc w:val="center"/>
              <w:rPr>
                <w:sz w:val="18"/>
                <w:szCs w:val="18"/>
              </w:rPr>
            </w:pPr>
            <w:r w:rsidRPr="00DC2FFA">
              <w:rPr>
                <w:sz w:val="18"/>
                <w:szCs w:val="18"/>
              </w:rPr>
              <w:t>111 (20.9%)</w:t>
            </w:r>
          </w:p>
        </w:tc>
        <w:tc>
          <w:tcPr>
            <w:tcW w:w="1740" w:type="dxa"/>
            <w:hideMark/>
          </w:tcPr>
          <w:p w14:paraId="69DD5C45" w14:textId="77777777" w:rsidR="00CC25E2" w:rsidRPr="00DC2FFA" w:rsidRDefault="00CC25E2" w:rsidP="00737AD6">
            <w:pPr>
              <w:pStyle w:val="NormalWeb"/>
              <w:jc w:val="center"/>
              <w:rPr>
                <w:sz w:val="18"/>
                <w:szCs w:val="18"/>
              </w:rPr>
            </w:pPr>
            <w:r w:rsidRPr="00DC2FFA">
              <w:rPr>
                <w:sz w:val="18"/>
                <w:szCs w:val="18"/>
              </w:rPr>
              <w:t>342 (15.3%)</w:t>
            </w:r>
          </w:p>
        </w:tc>
        <w:tc>
          <w:tcPr>
            <w:tcW w:w="1740" w:type="dxa"/>
            <w:hideMark/>
          </w:tcPr>
          <w:p w14:paraId="6C29A3CC" w14:textId="77777777" w:rsidR="00CC25E2" w:rsidRPr="00DC2FFA" w:rsidRDefault="00CC25E2" w:rsidP="00737AD6">
            <w:pPr>
              <w:pStyle w:val="NormalWeb"/>
              <w:jc w:val="center"/>
              <w:rPr>
                <w:sz w:val="18"/>
                <w:szCs w:val="18"/>
              </w:rPr>
            </w:pPr>
            <w:r w:rsidRPr="00DC2FFA">
              <w:rPr>
                <w:sz w:val="18"/>
                <w:szCs w:val="18"/>
              </w:rPr>
              <w:t>273 (20.8%)</w:t>
            </w:r>
          </w:p>
        </w:tc>
        <w:tc>
          <w:tcPr>
            <w:tcW w:w="1740" w:type="dxa"/>
            <w:hideMark/>
          </w:tcPr>
          <w:p w14:paraId="147DB60F" w14:textId="77777777" w:rsidR="00CC25E2" w:rsidRPr="00DC2FFA" w:rsidRDefault="00CC25E2" w:rsidP="00737AD6">
            <w:pPr>
              <w:pStyle w:val="NormalWeb"/>
              <w:jc w:val="center"/>
              <w:rPr>
                <w:sz w:val="18"/>
                <w:szCs w:val="18"/>
              </w:rPr>
            </w:pPr>
            <w:r w:rsidRPr="00DC2FFA">
              <w:rPr>
                <w:sz w:val="18"/>
                <w:szCs w:val="18"/>
              </w:rPr>
              <w:t>773 (18.1%)</w:t>
            </w:r>
          </w:p>
        </w:tc>
      </w:tr>
      <w:tr w:rsidR="00CC25E2" w:rsidRPr="00DC2FFA" w14:paraId="40AE878B"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583D1E87" w14:textId="77777777" w:rsidR="00CC25E2" w:rsidRPr="00DC2FFA" w:rsidRDefault="00CC25E2" w:rsidP="00737AD6">
            <w:pPr>
              <w:pStyle w:val="NormalWeb"/>
              <w:rPr>
                <w:sz w:val="18"/>
                <w:szCs w:val="18"/>
              </w:rPr>
            </w:pPr>
            <w:r w:rsidRPr="00DC2FFA">
              <w:rPr>
                <w:sz w:val="18"/>
                <w:szCs w:val="18"/>
              </w:rPr>
              <w:t>50–64 years</w:t>
            </w:r>
          </w:p>
        </w:tc>
        <w:tc>
          <w:tcPr>
            <w:tcW w:w="1740" w:type="dxa"/>
            <w:hideMark/>
          </w:tcPr>
          <w:p w14:paraId="3BC8F9D5" w14:textId="77777777" w:rsidR="00CC25E2" w:rsidRPr="00DC2FFA" w:rsidRDefault="00CC25E2" w:rsidP="00737AD6">
            <w:pPr>
              <w:pStyle w:val="NormalWeb"/>
              <w:jc w:val="center"/>
              <w:rPr>
                <w:sz w:val="18"/>
                <w:szCs w:val="18"/>
              </w:rPr>
            </w:pPr>
            <w:r w:rsidRPr="00DC2FFA">
              <w:rPr>
                <w:sz w:val="18"/>
                <w:szCs w:val="18"/>
              </w:rPr>
              <w:t>30 (16.4%)</w:t>
            </w:r>
          </w:p>
        </w:tc>
        <w:tc>
          <w:tcPr>
            <w:tcW w:w="1740" w:type="dxa"/>
            <w:hideMark/>
          </w:tcPr>
          <w:p w14:paraId="28254396" w14:textId="77777777" w:rsidR="00CC25E2" w:rsidRPr="00DC2FFA" w:rsidRDefault="00CC25E2" w:rsidP="00737AD6">
            <w:pPr>
              <w:pStyle w:val="NormalWeb"/>
              <w:jc w:val="center"/>
              <w:rPr>
                <w:sz w:val="18"/>
                <w:szCs w:val="18"/>
              </w:rPr>
            </w:pPr>
            <w:r w:rsidRPr="00DC2FFA">
              <w:rPr>
                <w:sz w:val="18"/>
                <w:szCs w:val="18"/>
              </w:rPr>
              <w:t>100 (18.8%)</w:t>
            </w:r>
          </w:p>
        </w:tc>
        <w:tc>
          <w:tcPr>
            <w:tcW w:w="1740" w:type="dxa"/>
            <w:hideMark/>
          </w:tcPr>
          <w:p w14:paraId="389E97DA" w14:textId="77777777" w:rsidR="00CC25E2" w:rsidRPr="00DC2FFA" w:rsidRDefault="00CC25E2" w:rsidP="00737AD6">
            <w:pPr>
              <w:pStyle w:val="NormalWeb"/>
              <w:jc w:val="center"/>
              <w:rPr>
                <w:sz w:val="18"/>
                <w:szCs w:val="18"/>
              </w:rPr>
            </w:pPr>
            <w:r w:rsidRPr="00DC2FFA">
              <w:rPr>
                <w:sz w:val="18"/>
                <w:szCs w:val="18"/>
              </w:rPr>
              <w:t>336 (15.0%)</w:t>
            </w:r>
          </w:p>
        </w:tc>
        <w:tc>
          <w:tcPr>
            <w:tcW w:w="1740" w:type="dxa"/>
            <w:hideMark/>
          </w:tcPr>
          <w:p w14:paraId="37344F2D" w14:textId="77777777" w:rsidR="00CC25E2" w:rsidRPr="00DC2FFA" w:rsidRDefault="00CC25E2" w:rsidP="00737AD6">
            <w:pPr>
              <w:pStyle w:val="NormalWeb"/>
              <w:jc w:val="center"/>
              <w:rPr>
                <w:sz w:val="18"/>
                <w:szCs w:val="18"/>
              </w:rPr>
            </w:pPr>
            <w:r w:rsidRPr="00DC2FFA">
              <w:rPr>
                <w:sz w:val="18"/>
                <w:szCs w:val="18"/>
              </w:rPr>
              <w:t>205 (15.6%)</w:t>
            </w:r>
          </w:p>
        </w:tc>
        <w:tc>
          <w:tcPr>
            <w:tcW w:w="1740" w:type="dxa"/>
            <w:hideMark/>
          </w:tcPr>
          <w:p w14:paraId="6CCE480A" w14:textId="77777777" w:rsidR="00CC25E2" w:rsidRPr="00DC2FFA" w:rsidRDefault="00CC25E2" w:rsidP="00737AD6">
            <w:pPr>
              <w:pStyle w:val="NormalWeb"/>
              <w:jc w:val="center"/>
              <w:rPr>
                <w:sz w:val="18"/>
                <w:szCs w:val="18"/>
              </w:rPr>
            </w:pPr>
            <w:r w:rsidRPr="00DC2FFA">
              <w:rPr>
                <w:sz w:val="18"/>
                <w:szCs w:val="18"/>
              </w:rPr>
              <w:t>671 (15.8%)</w:t>
            </w:r>
          </w:p>
        </w:tc>
      </w:tr>
      <w:tr w:rsidR="00CC25E2" w:rsidRPr="00DC2FFA" w14:paraId="542F13DA" w14:textId="77777777" w:rsidTr="00375116">
        <w:trPr>
          <w:trHeight w:val="331"/>
        </w:trPr>
        <w:tc>
          <w:tcPr>
            <w:tcW w:w="1740" w:type="dxa"/>
            <w:hideMark/>
          </w:tcPr>
          <w:p w14:paraId="0292A628" w14:textId="77777777" w:rsidR="00CC25E2" w:rsidRPr="00DC2FFA" w:rsidRDefault="00CC25E2" w:rsidP="00737AD6">
            <w:pPr>
              <w:pStyle w:val="NormalWeb"/>
              <w:rPr>
                <w:sz w:val="18"/>
                <w:szCs w:val="18"/>
              </w:rPr>
            </w:pPr>
            <w:r w:rsidRPr="00DC2FFA">
              <w:rPr>
                <w:sz w:val="18"/>
                <w:szCs w:val="18"/>
              </w:rPr>
              <w:t>65–79 years</w:t>
            </w:r>
          </w:p>
        </w:tc>
        <w:tc>
          <w:tcPr>
            <w:tcW w:w="1740" w:type="dxa"/>
            <w:hideMark/>
          </w:tcPr>
          <w:p w14:paraId="4EFD0B05" w14:textId="77777777" w:rsidR="00CC25E2" w:rsidRPr="00DC2FFA" w:rsidRDefault="00CC25E2" w:rsidP="00737AD6">
            <w:pPr>
              <w:pStyle w:val="NormalWeb"/>
              <w:jc w:val="center"/>
              <w:rPr>
                <w:sz w:val="18"/>
                <w:szCs w:val="18"/>
              </w:rPr>
            </w:pPr>
            <w:r w:rsidRPr="00DC2FFA">
              <w:rPr>
                <w:sz w:val="18"/>
                <w:szCs w:val="18"/>
              </w:rPr>
              <w:t>38 (20.8%)</w:t>
            </w:r>
          </w:p>
        </w:tc>
        <w:tc>
          <w:tcPr>
            <w:tcW w:w="1740" w:type="dxa"/>
            <w:hideMark/>
          </w:tcPr>
          <w:p w14:paraId="5C9CAB63" w14:textId="77777777" w:rsidR="00CC25E2" w:rsidRPr="00DC2FFA" w:rsidRDefault="00CC25E2" w:rsidP="00737AD6">
            <w:pPr>
              <w:pStyle w:val="NormalWeb"/>
              <w:jc w:val="center"/>
              <w:rPr>
                <w:sz w:val="18"/>
                <w:szCs w:val="18"/>
              </w:rPr>
            </w:pPr>
            <w:r w:rsidRPr="00DC2FFA">
              <w:rPr>
                <w:sz w:val="18"/>
                <w:szCs w:val="18"/>
              </w:rPr>
              <w:t>173 (32.5%)</w:t>
            </w:r>
          </w:p>
        </w:tc>
        <w:tc>
          <w:tcPr>
            <w:tcW w:w="1740" w:type="dxa"/>
            <w:hideMark/>
          </w:tcPr>
          <w:p w14:paraId="0167ED61" w14:textId="77777777" w:rsidR="00CC25E2" w:rsidRPr="00DC2FFA" w:rsidRDefault="00CC25E2" w:rsidP="00737AD6">
            <w:pPr>
              <w:pStyle w:val="NormalWeb"/>
              <w:jc w:val="center"/>
              <w:rPr>
                <w:sz w:val="18"/>
                <w:szCs w:val="18"/>
              </w:rPr>
            </w:pPr>
            <w:r w:rsidRPr="00DC2FFA">
              <w:rPr>
                <w:sz w:val="18"/>
                <w:szCs w:val="18"/>
              </w:rPr>
              <w:t>642 (28.7%)</w:t>
            </w:r>
          </w:p>
        </w:tc>
        <w:tc>
          <w:tcPr>
            <w:tcW w:w="1740" w:type="dxa"/>
            <w:hideMark/>
          </w:tcPr>
          <w:p w14:paraId="0B0A51BF" w14:textId="77777777" w:rsidR="00CC25E2" w:rsidRPr="00DC2FFA" w:rsidRDefault="00CC25E2" w:rsidP="00737AD6">
            <w:pPr>
              <w:pStyle w:val="NormalWeb"/>
              <w:jc w:val="center"/>
              <w:rPr>
                <w:sz w:val="18"/>
                <w:szCs w:val="18"/>
              </w:rPr>
            </w:pPr>
            <w:r w:rsidRPr="00DC2FFA">
              <w:rPr>
                <w:sz w:val="18"/>
                <w:szCs w:val="18"/>
              </w:rPr>
              <w:t>309 (23.6%)</w:t>
            </w:r>
          </w:p>
        </w:tc>
        <w:tc>
          <w:tcPr>
            <w:tcW w:w="1740" w:type="dxa"/>
            <w:hideMark/>
          </w:tcPr>
          <w:p w14:paraId="25EEC602" w14:textId="77777777" w:rsidR="00CC25E2" w:rsidRPr="00DC2FFA" w:rsidRDefault="00CC25E2" w:rsidP="00737AD6">
            <w:pPr>
              <w:pStyle w:val="NormalWeb"/>
              <w:jc w:val="center"/>
              <w:rPr>
                <w:sz w:val="18"/>
                <w:szCs w:val="18"/>
              </w:rPr>
            </w:pPr>
            <w:r w:rsidRPr="00DC2FFA">
              <w:rPr>
                <w:sz w:val="18"/>
                <w:szCs w:val="18"/>
              </w:rPr>
              <w:t>1,162 (27.3%)</w:t>
            </w:r>
          </w:p>
        </w:tc>
      </w:tr>
      <w:tr w:rsidR="00CC25E2" w:rsidRPr="00DC2FFA" w14:paraId="65C3D2FB"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2D198194" w14:textId="77777777" w:rsidR="00CC25E2" w:rsidRPr="00DC2FFA" w:rsidRDefault="00CC25E2" w:rsidP="00737AD6">
            <w:pPr>
              <w:pStyle w:val="NormalWeb"/>
              <w:rPr>
                <w:sz w:val="18"/>
                <w:szCs w:val="18"/>
              </w:rPr>
            </w:pPr>
            <w:r w:rsidRPr="00DC2FFA">
              <w:rPr>
                <w:sz w:val="18"/>
                <w:szCs w:val="18"/>
              </w:rPr>
              <w:t>80+ years</w:t>
            </w:r>
          </w:p>
        </w:tc>
        <w:tc>
          <w:tcPr>
            <w:tcW w:w="1740" w:type="dxa"/>
            <w:hideMark/>
          </w:tcPr>
          <w:p w14:paraId="468CD1CC" w14:textId="77777777" w:rsidR="00CC25E2" w:rsidRPr="00DC2FFA" w:rsidRDefault="00CC25E2" w:rsidP="00737AD6">
            <w:pPr>
              <w:pStyle w:val="NormalWeb"/>
              <w:jc w:val="center"/>
              <w:rPr>
                <w:sz w:val="18"/>
                <w:szCs w:val="18"/>
              </w:rPr>
            </w:pPr>
            <w:r w:rsidRPr="00DC2FFA">
              <w:rPr>
                <w:sz w:val="18"/>
                <w:szCs w:val="18"/>
              </w:rPr>
              <w:t>17 (9.3%)</w:t>
            </w:r>
          </w:p>
        </w:tc>
        <w:tc>
          <w:tcPr>
            <w:tcW w:w="1740" w:type="dxa"/>
            <w:hideMark/>
          </w:tcPr>
          <w:p w14:paraId="23596071" w14:textId="77777777" w:rsidR="00CC25E2" w:rsidRPr="00DC2FFA" w:rsidRDefault="00CC25E2" w:rsidP="00737AD6">
            <w:pPr>
              <w:pStyle w:val="NormalWeb"/>
              <w:jc w:val="center"/>
              <w:rPr>
                <w:sz w:val="18"/>
                <w:szCs w:val="18"/>
              </w:rPr>
            </w:pPr>
            <w:r w:rsidRPr="00DC2FFA">
              <w:rPr>
                <w:sz w:val="18"/>
                <w:szCs w:val="18"/>
              </w:rPr>
              <w:t>147 (27.6%)</w:t>
            </w:r>
          </w:p>
        </w:tc>
        <w:tc>
          <w:tcPr>
            <w:tcW w:w="1740" w:type="dxa"/>
            <w:hideMark/>
          </w:tcPr>
          <w:p w14:paraId="36D5A704" w14:textId="77777777" w:rsidR="00CC25E2" w:rsidRPr="00DC2FFA" w:rsidRDefault="00CC25E2" w:rsidP="00737AD6">
            <w:pPr>
              <w:pStyle w:val="NormalWeb"/>
              <w:jc w:val="center"/>
              <w:rPr>
                <w:sz w:val="18"/>
                <w:szCs w:val="18"/>
              </w:rPr>
            </w:pPr>
            <w:r w:rsidRPr="00DC2FFA">
              <w:rPr>
                <w:sz w:val="18"/>
                <w:szCs w:val="18"/>
              </w:rPr>
              <w:t>618 (27.7%)</w:t>
            </w:r>
          </w:p>
        </w:tc>
        <w:tc>
          <w:tcPr>
            <w:tcW w:w="1740" w:type="dxa"/>
            <w:hideMark/>
          </w:tcPr>
          <w:p w14:paraId="3D7527BC" w14:textId="77777777" w:rsidR="00CC25E2" w:rsidRPr="00DC2FFA" w:rsidRDefault="00CC25E2" w:rsidP="00737AD6">
            <w:pPr>
              <w:pStyle w:val="NormalWeb"/>
              <w:jc w:val="center"/>
              <w:rPr>
                <w:sz w:val="18"/>
                <w:szCs w:val="18"/>
              </w:rPr>
            </w:pPr>
            <w:r w:rsidRPr="00DC2FFA">
              <w:rPr>
                <w:sz w:val="18"/>
                <w:szCs w:val="18"/>
              </w:rPr>
              <w:t>284 (21.7%)</w:t>
            </w:r>
          </w:p>
        </w:tc>
        <w:tc>
          <w:tcPr>
            <w:tcW w:w="1740" w:type="dxa"/>
            <w:hideMark/>
          </w:tcPr>
          <w:p w14:paraId="5282249F" w14:textId="77777777" w:rsidR="00CC25E2" w:rsidRPr="00DC2FFA" w:rsidRDefault="00CC25E2" w:rsidP="00737AD6">
            <w:pPr>
              <w:pStyle w:val="NormalWeb"/>
              <w:jc w:val="center"/>
              <w:rPr>
                <w:sz w:val="18"/>
                <w:szCs w:val="18"/>
              </w:rPr>
            </w:pPr>
            <w:r w:rsidRPr="00DC2FFA">
              <w:rPr>
                <w:sz w:val="18"/>
                <w:szCs w:val="18"/>
              </w:rPr>
              <w:t>1,066 (25.0%)</w:t>
            </w:r>
          </w:p>
        </w:tc>
      </w:tr>
      <w:tr w:rsidR="00CC25E2" w:rsidRPr="00DC2FFA" w14:paraId="18F24B34" w14:textId="77777777" w:rsidTr="00375116">
        <w:trPr>
          <w:trHeight w:val="331"/>
        </w:trPr>
        <w:tc>
          <w:tcPr>
            <w:tcW w:w="1740" w:type="dxa"/>
            <w:hideMark/>
          </w:tcPr>
          <w:p w14:paraId="2481E49E" w14:textId="77777777" w:rsidR="00CC25E2" w:rsidRPr="00DC2FFA" w:rsidRDefault="00F600DD" w:rsidP="00737AD6">
            <w:pPr>
              <w:pStyle w:val="NormalWeb"/>
              <w:rPr>
                <w:sz w:val="18"/>
                <w:szCs w:val="18"/>
              </w:rPr>
            </w:pPr>
            <w:r w:rsidRPr="00DC2FFA">
              <w:rPr>
                <w:sz w:val="18"/>
                <w:szCs w:val="18"/>
              </w:rPr>
              <w:t>Male</w:t>
            </w:r>
            <w:r w:rsidR="00CC25E2" w:rsidRPr="00DC2FFA">
              <w:rPr>
                <w:sz w:val="18"/>
                <w:szCs w:val="18"/>
                <w:vertAlign w:val="superscript"/>
              </w:rPr>
              <w:t>a</w:t>
            </w:r>
          </w:p>
        </w:tc>
        <w:tc>
          <w:tcPr>
            <w:tcW w:w="1740" w:type="dxa"/>
            <w:hideMark/>
          </w:tcPr>
          <w:p w14:paraId="262C376C" w14:textId="77777777" w:rsidR="00CC25E2" w:rsidRPr="00DC2FFA" w:rsidRDefault="00CC25E2" w:rsidP="00737AD6">
            <w:pPr>
              <w:pStyle w:val="NormalWeb"/>
              <w:jc w:val="center"/>
              <w:rPr>
                <w:sz w:val="18"/>
                <w:szCs w:val="18"/>
              </w:rPr>
            </w:pPr>
            <w:r w:rsidRPr="00DC2FFA">
              <w:rPr>
                <w:sz w:val="18"/>
                <w:szCs w:val="18"/>
              </w:rPr>
              <w:t>101 (55.2%)</w:t>
            </w:r>
          </w:p>
        </w:tc>
        <w:tc>
          <w:tcPr>
            <w:tcW w:w="1740" w:type="dxa"/>
            <w:hideMark/>
          </w:tcPr>
          <w:p w14:paraId="095702A7" w14:textId="77777777" w:rsidR="00CC25E2" w:rsidRPr="00DC2FFA" w:rsidRDefault="00CC25E2" w:rsidP="00737AD6">
            <w:pPr>
              <w:pStyle w:val="NormalWeb"/>
              <w:jc w:val="center"/>
              <w:rPr>
                <w:sz w:val="18"/>
                <w:szCs w:val="18"/>
              </w:rPr>
            </w:pPr>
            <w:r w:rsidRPr="00DC2FFA">
              <w:rPr>
                <w:sz w:val="18"/>
                <w:szCs w:val="18"/>
              </w:rPr>
              <w:t>262 (49.2%)</w:t>
            </w:r>
          </w:p>
        </w:tc>
        <w:tc>
          <w:tcPr>
            <w:tcW w:w="1740" w:type="dxa"/>
            <w:hideMark/>
          </w:tcPr>
          <w:p w14:paraId="6A0D8107" w14:textId="77777777" w:rsidR="00CC25E2" w:rsidRPr="00DC2FFA" w:rsidRDefault="00CC25E2" w:rsidP="00737AD6">
            <w:pPr>
              <w:pStyle w:val="NormalWeb"/>
              <w:jc w:val="center"/>
              <w:rPr>
                <w:sz w:val="18"/>
                <w:szCs w:val="18"/>
              </w:rPr>
            </w:pPr>
            <w:r w:rsidRPr="00DC2FFA">
              <w:rPr>
                <w:sz w:val="18"/>
                <w:szCs w:val="18"/>
              </w:rPr>
              <w:t>1,135 (50.8%)</w:t>
            </w:r>
          </w:p>
        </w:tc>
        <w:tc>
          <w:tcPr>
            <w:tcW w:w="1740" w:type="dxa"/>
            <w:hideMark/>
          </w:tcPr>
          <w:p w14:paraId="231BEADF" w14:textId="77777777" w:rsidR="00CC25E2" w:rsidRPr="00DC2FFA" w:rsidRDefault="00CC25E2" w:rsidP="00737AD6">
            <w:pPr>
              <w:pStyle w:val="NormalWeb"/>
              <w:jc w:val="center"/>
              <w:rPr>
                <w:sz w:val="18"/>
                <w:szCs w:val="18"/>
              </w:rPr>
            </w:pPr>
            <w:r w:rsidRPr="00DC2FFA">
              <w:rPr>
                <w:sz w:val="18"/>
                <w:szCs w:val="18"/>
              </w:rPr>
              <w:t>658 (50.3%)</w:t>
            </w:r>
          </w:p>
        </w:tc>
        <w:tc>
          <w:tcPr>
            <w:tcW w:w="1740" w:type="dxa"/>
            <w:hideMark/>
          </w:tcPr>
          <w:p w14:paraId="010E341F" w14:textId="77777777" w:rsidR="00CC25E2" w:rsidRPr="00DC2FFA" w:rsidRDefault="00CC25E2" w:rsidP="00737AD6">
            <w:pPr>
              <w:pStyle w:val="NormalWeb"/>
              <w:jc w:val="center"/>
              <w:rPr>
                <w:sz w:val="18"/>
                <w:szCs w:val="18"/>
              </w:rPr>
            </w:pPr>
            <w:r w:rsidRPr="00DC2FFA">
              <w:rPr>
                <w:sz w:val="18"/>
                <w:szCs w:val="18"/>
              </w:rPr>
              <w:t>2,156 (50.6%)</w:t>
            </w:r>
          </w:p>
        </w:tc>
      </w:tr>
      <w:tr w:rsidR="00CC25E2" w:rsidRPr="00DC2FFA" w14:paraId="6862F43D"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223BB760" w14:textId="77777777" w:rsidR="00CC25E2" w:rsidRPr="00DC2FFA" w:rsidRDefault="00CC25E2" w:rsidP="00737AD6">
            <w:pPr>
              <w:pStyle w:val="NormalWeb"/>
              <w:rPr>
                <w:sz w:val="18"/>
                <w:szCs w:val="18"/>
              </w:rPr>
            </w:pPr>
            <w:r w:rsidRPr="00DC2FFA">
              <w:rPr>
                <w:sz w:val="18"/>
                <w:szCs w:val="18"/>
              </w:rPr>
              <w:t>Pregnant</w:t>
            </w:r>
          </w:p>
        </w:tc>
        <w:tc>
          <w:tcPr>
            <w:tcW w:w="1740" w:type="dxa"/>
            <w:hideMark/>
          </w:tcPr>
          <w:p w14:paraId="67F6A6AA" w14:textId="77777777" w:rsidR="00CC25E2" w:rsidRPr="00DC2FFA" w:rsidRDefault="00CC25E2" w:rsidP="00737AD6">
            <w:pPr>
              <w:pStyle w:val="NormalWeb"/>
              <w:jc w:val="center"/>
              <w:rPr>
                <w:sz w:val="18"/>
                <w:szCs w:val="18"/>
              </w:rPr>
            </w:pPr>
            <w:r w:rsidRPr="00DC2FFA">
              <w:rPr>
                <w:sz w:val="18"/>
                <w:szCs w:val="18"/>
              </w:rPr>
              <w:t>3 (1.6%)</w:t>
            </w:r>
          </w:p>
        </w:tc>
        <w:tc>
          <w:tcPr>
            <w:tcW w:w="1740" w:type="dxa"/>
            <w:hideMark/>
          </w:tcPr>
          <w:p w14:paraId="7C64C692" w14:textId="77777777" w:rsidR="00CC25E2" w:rsidRPr="00DC2FFA" w:rsidRDefault="00CC25E2" w:rsidP="00737AD6">
            <w:pPr>
              <w:pStyle w:val="NormalWeb"/>
              <w:jc w:val="center"/>
              <w:rPr>
                <w:sz w:val="18"/>
                <w:szCs w:val="18"/>
              </w:rPr>
            </w:pPr>
            <w:r w:rsidRPr="00DC2FFA">
              <w:rPr>
                <w:sz w:val="18"/>
                <w:szCs w:val="18"/>
              </w:rPr>
              <w:t>13 (2.4%)</w:t>
            </w:r>
          </w:p>
        </w:tc>
        <w:tc>
          <w:tcPr>
            <w:tcW w:w="1740" w:type="dxa"/>
            <w:hideMark/>
          </w:tcPr>
          <w:p w14:paraId="4122CC78" w14:textId="77777777" w:rsidR="00CC25E2" w:rsidRPr="00DC2FFA" w:rsidRDefault="00CC25E2" w:rsidP="00737AD6">
            <w:pPr>
              <w:pStyle w:val="NormalWeb"/>
              <w:jc w:val="center"/>
              <w:rPr>
                <w:sz w:val="18"/>
                <w:szCs w:val="18"/>
              </w:rPr>
            </w:pPr>
            <w:r w:rsidRPr="00DC2FFA">
              <w:rPr>
                <w:sz w:val="18"/>
                <w:szCs w:val="18"/>
              </w:rPr>
              <w:t>34 (1.5%)</w:t>
            </w:r>
          </w:p>
        </w:tc>
        <w:tc>
          <w:tcPr>
            <w:tcW w:w="1740" w:type="dxa"/>
            <w:hideMark/>
          </w:tcPr>
          <w:p w14:paraId="6F0AF421" w14:textId="77777777" w:rsidR="00CC25E2" w:rsidRPr="00DC2FFA" w:rsidRDefault="00CC25E2" w:rsidP="00737AD6">
            <w:pPr>
              <w:pStyle w:val="NormalWeb"/>
              <w:jc w:val="center"/>
              <w:rPr>
                <w:sz w:val="18"/>
                <w:szCs w:val="18"/>
              </w:rPr>
            </w:pPr>
            <w:r w:rsidRPr="00DC2FFA">
              <w:rPr>
                <w:sz w:val="18"/>
                <w:szCs w:val="18"/>
              </w:rPr>
              <w:t>19 (1.5%)</w:t>
            </w:r>
          </w:p>
        </w:tc>
        <w:tc>
          <w:tcPr>
            <w:tcW w:w="1740" w:type="dxa"/>
            <w:hideMark/>
          </w:tcPr>
          <w:p w14:paraId="12447C58" w14:textId="77777777" w:rsidR="00CC25E2" w:rsidRPr="00DC2FFA" w:rsidRDefault="00CC25E2" w:rsidP="00737AD6">
            <w:pPr>
              <w:pStyle w:val="NormalWeb"/>
              <w:jc w:val="center"/>
              <w:rPr>
                <w:sz w:val="18"/>
                <w:szCs w:val="18"/>
              </w:rPr>
            </w:pPr>
            <w:r w:rsidRPr="00DC2FFA">
              <w:rPr>
                <w:sz w:val="18"/>
                <w:szCs w:val="18"/>
              </w:rPr>
              <w:t>69 (1.6%)</w:t>
            </w:r>
          </w:p>
        </w:tc>
      </w:tr>
      <w:tr w:rsidR="00CC25E2" w:rsidRPr="00DC2FFA" w14:paraId="30DD3AEA" w14:textId="77777777" w:rsidTr="00375116">
        <w:trPr>
          <w:trHeight w:val="331"/>
        </w:trPr>
        <w:tc>
          <w:tcPr>
            <w:tcW w:w="1740" w:type="dxa"/>
            <w:hideMark/>
          </w:tcPr>
          <w:p w14:paraId="3740B1CF" w14:textId="77777777" w:rsidR="00CC25E2" w:rsidRPr="00DC2FFA" w:rsidRDefault="00CC25E2" w:rsidP="00737AD6">
            <w:pPr>
              <w:pStyle w:val="NormalWeb"/>
              <w:rPr>
                <w:sz w:val="18"/>
                <w:szCs w:val="18"/>
              </w:rPr>
            </w:pPr>
            <w:r w:rsidRPr="00DC2FFA">
              <w:rPr>
                <w:sz w:val="18"/>
                <w:szCs w:val="18"/>
              </w:rPr>
              <w:t>Indigenous</w:t>
            </w:r>
          </w:p>
        </w:tc>
        <w:tc>
          <w:tcPr>
            <w:tcW w:w="1740" w:type="dxa"/>
            <w:hideMark/>
          </w:tcPr>
          <w:p w14:paraId="47F23062" w14:textId="77777777" w:rsidR="00CC25E2" w:rsidRPr="00DC2FFA" w:rsidRDefault="00CC25E2" w:rsidP="00737AD6">
            <w:pPr>
              <w:pStyle w:val="NormalWeb"/>
              <w:jc w:val="center"/>
              <w:rPr>
                <w:sz w:val="18"/>
                <w:szCs w:val="18"/>
              </w:rPr>
            </w:pPr>
            <w:r w:rsidRPr="00DC2FFA">
              <w:rPr>
                <w:sz w:val="18"/>
                <w:szCs w:val="18"/>
              </w:rPr>
              <w:t>13 (7.1%)</w:t>
            </w:r>
          </w:p>
        </w:tc>
        <w:tc>
          <w:tcPr>
            <w:tcW w:w="1740" w:type="dxa"/>
            <w:hideMark/>
          </w:tcPr>
          <w:p w14:paraId="313705CE" w14:textId="77777777" w:rsidR="00CC25E2" w:rsidRPr="00DC2FFA" w:rsidRDefault="00CC25E2" w:rsidP="00737AD6">
            <w:pPr>
              <w:pStyle w:val="NormalWeb"/>
              <w:jc w:val="center"/>
              <w:rPr>
                <w:sz w:val="18"/>
                <w:szCs w:val="18"/>
              </w:rPr>
            </w:pPr>
            <w:r w:rsidRPr="00DC2FFA">
              <w:rPr>
                <w:sz w:val="18"/>
                <w:szCs w:val="18"/>
              </w:rPr>
              <w:t>59 (11.1%)</w:t>
            </w:r>
          </w:p>
        </w:tc>
        <w:tc>
          <w:tcPr>
            <w:tcW w:w="1740" w:type="dxa"/>
            <w:hideMark/>
          </w:tcPr>
          <w:p w14:paraId="26E68063" w14:textId="77777777" w:rsidR="00CC25E2" w:rsidRPr="00DC2FFA" w:rsidRDefault="00CC25E2" w:rsidP="00737AD6">
            <w:pPr>
              <w:pStyle w:val="NormalWeb"/>
              <w:jc w:val="center"/>
              <w:rPr>
                <w:sz w:val="18"/>
                <w:szCs w:val="18"/>
              </w:rPr>
            </w:pPr>
            <w:r w:rsidRPr="00DC2FFA">
              <w:rPr>
                <w:sz w:val="18"/>
                <w:szCs w:val="18"/>
              </w:rPr>
              <w:t>136 (6.1%)</w:t>
            </w:r>
          </w:p>
        </w:tc>
        <w:tc>
          <w:tcPr>
            <w:tcW w:w="1740" w:type="dxa"/>
            <w:hideMark/>
          </w:tcPr>
          <w:p w14:paraId="73D8138E" w14:textId="77777777" w:rsidR="00CC25E2" w:rsidRPr="00DC2FFA" w:rsidRDefault="00CC25E2" w:rsidP="00737AD6">
            <w:pPr>
              <w:pStyle w:val="NormalWeb"/>
              <w:jc w:val="center"/>
              <w:rPr>
                <w:sz w:val="18"/>
                <w:szCs w:val="18"/>
              </w:rPr>
            </w:pPr>
            <w:r w:rsidRPr="00DC2FFA">
              <w:rPr>
                <w:sz w:val="18"/>
                <w:szCs w:val="18"/>
              </w:rPr>
              <w:t>69 (5.3%)</w:t>
            </w:r>
          </w:p>
        </w:tc>
        <w:tc>
          <w:tcPr>
            <w:tcW w:w="1740" w:type="dxa"/>
            <w:hideMark/>
          </w:tcPr>
          <w:p w14:paraId="43731444" w14:textId="77777777" w:rsidR="00CC25E2" w:rsidRPr="00DC2FFA" w:rsidRDefault="00CC25E2" w:rsidP="00737AD6">
            <w:pPr>
              <w:pStyle w:val="NormalWeb"/>
              <w:jc w:val="center"/>
              <w:rPr>
                <w:sz w:val="18"/>
                <w:szCs w:val="18"/>
              </w:rPr>
            </w:pPr>
            <w:r w:rsidRPr="00DC2FFA">
              <w:rPr>
                <w:sz w:val="18"/>
                <w:szCs w:val="18"/>
              </w:rPr>
              <w:t>277 (6.5%)</w:t>
            </w:r>
          </w:p>
        </w:tc>
      </w:tr>
      <w:tr w:rsidR="006A43D4" w:rsidRPr="00DC2FFA" w14:paraId="5DC989F4"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shd w:val="clear" w:color="auto" w:fill="808080" w:themeFill="background1" w:themeFillShade="80"/>
            <w:hideMark/>
          </w:tcPr>
          <w:p w14:paraId="3229DE0D" w14:textId="77777777" w:rsidR="00CC25E2" w:rsidRPr="00DC2FFA" w:rsidRDefault="00CC25E2" w:rsidP="00737AD6">
            <w:pPr>
              <w:pStyle w:val="NormalWeb"/>
              <w:rPr>
                <w:b/>
                <w:color w:val="FFFFFF" w:themeColor="background1"/>
                <w:sz w:val="18"/>
                <w:szCs w:val="18"/>
              </w:rPr>
            </w:pPr>
            <w:r w:rsidRPr="00DC2FFA">
              <w:rPr>
                <w:b/>
                <w:color w:val="FFFFFF" w:themeColor="background1"/>
                <w:sz w:val="18"/>
                <w:szCs w:val="18"/>
              </w:rPr>
              <w:t>Jurisdiction</w:t>
            </w:r>
          </w:p>
        </w:tc>
        <w:tc>
          <w:tcPr>
            <w:tcW w:w="1740" w:type="dxa"/>
            <w:shd w:val="clear" w:color="auto" w:fill="808080" w:themeFill="background1" w:themeFillShade="80"/>
            <w:hideMark/>
          </w:tcPr>
          <w:p w14:paraId="0B3877A9" w14:textId="77777777" w:rsidR="00CC25E2" w:rsidRPr="00DC2FFA" w:rsidRDefault="00CC25E2" w:rsidP="00737AD6">
            <w:pPr>
              <w:jc w:val="center"/>
              <w:rPr>
                <w:b/>
                <w:color w:val="FFFFFF" w:themeColor="background1"/>
                <w:sz w:val="18"/>
                <w:szCs w:val="18"/>
              </w:rPr>
            </w:pPr>
          </w:p>
        </w:tc>
        <w:tc>
          <w:tcPr>
            <w:tcW w:w="1740" w:type="dxa"/>
            <w:shd w:val="clear" w:color="auto" w:fill="808080" w:themeFill="background1" w:themeFillShade="80"/>
            <w:hideMark/>
          </w:tcPr>
          <w:p w14:paraId="10534732" w14:textId="77777777" w:rsidR="00CC25E2" w:rsidRPr="00DC2FFA" w:rsidRDefault="00CC25E2" w:rsidP="00737AD6">
            <w:pPr>
              <w:jc w:val="center"/>
              <w:rPr>
                <w:rFonts w:eastAsia="Times New Roman"/>
                <w:b/>
                <w:color w:val="FFFFFF" w:themeColor="background1"/>
                <w:sz w:val="18"/>
                <w:szCs w:val="18"/>
              </w:rPr>
            </w:pPr>
          </w:p>
        </w:tc>
        <w:tc>
          <w:tcPr>
            <w:tcW w:w="1740" w:type="dxa"/>
            <w:shd w:val="clear" w:color="auto" w:fill="808080" w:themeFill="background1" w:themeFillShade="80"/>
            <w:hideMark/>
          </w:tcPr>
          <w:p w14:paraId="65DEF080" w14:textId="77777777" w:rsidR="00CC25E2" w:rsidRPr="00DC2FFA" w:rsidRDefault="00CC25E2" w:rsidP="00737AD6">
            <w:pPr>
              <w:jc w:val="center"/>
              <w:rPr>
                <w:rFonts w:eastAsia="Times New Roman"/>
                <w:b/>
                <w:color w:val="FFFFFF" w:themeColor="background1"/>
                <w:sz w:val="18"/>
                <w:szCs w:val="18"/>
              </w:rPr>
            </w:pPr>
          </w:p>
        </w:tc>
        <w:tc>
          <w:tcPr>
            <w:tcW w:w="1740" w:type="dxa"/>
            <w:shd w:val="clear" w:color="auto" w:fill="808080" w:themeFill="background1" w:themeFillShade="80"/>
            <w:hideMark/>
          </w:tcPr>
          <w:p w14:paraId="34BD4634" w14:textId="77777777" w:rsidR="00CC25E2" w:rsidRPr="00DC2FFA" w:rsidRDefault="00CC25E2" w:rsidP="00737AD6">
            <w:pPr>
              <w:jc w:val="center"/>
              <w:rPr>
                <w:rFonts w:eastAsia="Times New Roman"/>
                <w:b/>
                <w:color w:val="FFFFFF" w:themeColor="background1"/>
                <w:sz w:val="18"/>
                <w:szCs w:val="18"/>
              </w:rPr>
            </w:pPr>
          </w:p>
        </w:tc>
        <w:tc>
          <w:tcPr>
            <w:tcW w:w="1740" w:type="dxa"/>
            <w:shd w:val="clear" w:color="auto" w:fill="808080" w:themeFill="background1" w:themeFillShade="80"/>
            <w:hideMark/>
          </w:tcPr>
          <w:p w14:paraId="5C3AFB5A" w14:textId="77777777" w:rsidR="00CC25E2" w:rsidRPr="00DC2FFA" w:rsidRDefault="00CC25E2" w:rsidP="00737AD6">
            <w:pPr>
              <w:jc w:val="center"/>
              <w:rPr>
                <w:rFonts w:eastAsia="Times New Roman"/>
                <w:b/>
                <w:color w:val="FFFFFF" w:themeColor="background1"/>
                <w:sz w:val="18"/>
                <w:szCs w:val="18"/>
              </w:rPr>
            </w:pPr>
          </w:p>
        </w:tc>
      </w:tr>
      <w:tr w:rsidR="00CC25E2" w:rsidRPr="00DC2FFA" w14:paraId="4116934F" w14:textId="77777777" w:rsidTr="00375116">
        <w:trPr>
          <w:trHeight w:val="331"/>
        </w:trPr>
        <w:tc>
          <w:tcPr>
            <w:tcW w:w="1740" w:type="dxa"/>
            <w:hideMark/>
          </w:tcPr>
          <w:p w14:paraId="17BE42D0" w14:textId="77777777" w:rsidR="00CC25E2" w:rsidRPr="00DC2FFA" w:rsidRDefault="00CC25E2" w:rsidP="00737AD6">
            <w:pPr>
              <w:pStyle w:val="NormalWeb"/>
              <w:rPr>
                <w:sz w:val="18"/>
                <w:szCs w:val="18"/>
              </w:rPr>
            </w:pPr>
            <w:r w:rsidRPr="00DC2FFA">
              <w:rPr>
                <w:sz w:val="18"/>
                <w:szCs w:val="18"/>
              </w:rPr>
              <w:t>ACT</w:t>
            </w:r>
          </w:p>
        </w:tc>
        <w:tc>
          <w:tcPr>
            <w:tcW w:w="1740" w:type="dxa"/>
            <w:hideMark/>
          </w:tcPr>
          <w:p w14:paraId="7915F1FC" w14:textId="77777777" w:rsidR="00CC25E2" w:rsidRPr="00DC2FFA" w:rsidRDefault="00CC25E2" w:rsidP="00737AD6">
            <w:pPr>
              <w:pStyle w:val="NormalWeb"/>
              <w:jc w:val="center"/>
              <w:rPr>
                <w:sz w:val="18"/>
                <w:szCs w:val="18"/>
              </w:rPr>
            </w:pPr>
            <w:r w:rsidRPr="00DC2FFA">
              <w:rPr>
                <w:sz w:val="18"/>
                <w:szCs w:val="18"/>
              </w:rPr>
              <w:t>4 (2.2%)</w:t>
            </w:r>
          </w:p>
        </w:tc>
        <w:tc>
          <w:tcPr>
            <w:tcW w:w="1740" w:type="dxa"/>
            <w:hideMark/>
          </w:tcPr>
          <w:p w14:paraId="59F15B3D" w14:textId="77777777" w:rsidR="00CC25E2" w:rsidRPr="00DC2FFA" w:rsidRDefault="00CC25E2" w:rsidP="00737AD6">
            <w:pPr>
              <w:pStyle w:val="NormalWeb"/>
              <w:jc w:val="center"/>
              <w:rPr>
                <w:sz w:val="18"/>
                <w:szCs w:val="18"/>
              </w:rPr>
            </w:pPr>
            <w:r w:rsidRPr="00DC2FFA">
              <w:rPr>
                <w:sz w:val="18"/>
                <w:szCs w:val="18"/>
              </w:rPr>
              <w:t>36 (6.8%)</w:t>
            </w:r>
          </w:p>
        </w:tc>
        <w:tc>
          <w:tcPr>
            <w:tcW w:w="1740" w:type="dxa"/>
            <w:hideMark/>
          </w:tcPr>
          <w:p w14:paraId="1B461565" w14:textId="77777777" w:rsidR="00CC25E2" w:rsidRPr="00DC2FFA" w:rsidRDefault="00CC25E2" w:rsidP="00737AD6">
            <w:pPr>
              <w:pStyle w:val="NormalWeb"/>
              <w:jc w:val="center"/>
              <w:rPr>
                <w:sz w:val="18"/>
                <w:szCs w:val="18"/>
              </w:rPr>
            </w:pPr>
            <w:r w:rsidRPr="00DC2FFA">
              <w:rPr>
                <w:sz w:val="18"/>
                <w:szCs w:val="18"/>
              </w:rPr>
              <w:t>339 (15.2%)</w:t>
            </w:r>
          </w:p>
        </w:tc>
        <w:tc>
          <w:tcPr>
            <w:tcW w:w="1740" w:type="dxa"/>
            <w:hideMark/>
          </w:tcPr>
          <w:p w14:paraId="6AAF7C2F" w14:textId="77777777" w:rsidR="00CC25E2" w:rsidRPr="00DC2FFA" w:rsidRDefault="00CC25E2" w:rsidP="00737AD6">
            <w:pPr>
              <w:pStyle w:val="NormalWeb"/>
              <w:jc w:val="center"/>
              <w:rPr>
                <w:sz w:val="18"/>
                <w:szCs w:val="18"/>
              </w:rPr>
            </w:pPr>
            <w:r w:rsidRPr="00DC2FFA">
              <w:rPr>
                <w:sz w:val="18"/>
                <w:szCs w:val="18"/>
              </w:rPr>
              <w:t>172 (13.1%)</w:t>
            </w:r>
          </w:p>
        </w:tc>
        <w:tc>
          <w:tcPr>
            <w:tcW w:w="1740" w:type="dxa"/>
            <w:hideMark/>
          </w:tcPr>
          <w:p w14:paraId="693C15A0" w14:textId="77777777" w:rsidR="00CC25E2" w:rsidRPr="00DC2FFA" w:rsidRDefault="00CC25E2" w:rsidP="00737AD6">
            <w:pPr>
              <w:pStyle w:val="NormalWeb"/>
              <w:jc w:val="center"/>
              <w:rPr>
                <w:sz w:val="18"/>
                <w:szCs w:val="18"/>
              </w:rPr>
            </w:pPr>
            <w:r w:rsidRPr="00DC2FFA">
              <w:rPr>
                <w:sz w:val="18"/>
                <w:szCs w:val="18"/>
              </w:rPr>
              <w:t>551 (12.9%)</w:t>
            </w:r>
          </w:p>
        </w:tc>
      </w:tr>
      <w:tr w:rsidR="00CC25E2" w:rsidRPr="00DC2FFA" w14:paraId="692C9086"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1A1E2507" w14:textId="77777777" w:rsidR="00CC25E2" w:rsidRPr="00DC2FFA" w:rsidRDefault="00CC25E2" w:rsidP="00737AD6">
            <w:pPr>
              <w:pStyle w:val="NormalWeb"/>
              <w:rPr>
                <w:sz w:val="18"/>
                <w:szCs w:val="18"/>
              </w:rPr>
            </w:pPr>
            <w:r w:rsidRPr="00DC2FFA">
              <w:rPr>
                <w:sz w:val="18"/>
                <w:szCs w:val="18"/>
              </w:rPr>
              <w:t>NSW</w:t>
            </w:r>
          </w:p>
        </w:tc>
        <w:tc>
          <w:tcPr>
            <w:tcW w:w="1740" w:type="dxa"/>
            <w:hideMark/>
          </w:tcPr>
          <w:p w14:paraId="117F4387" w14:textId="77777777" w:rsidR="00CC25E2" w:rsidRPr="00DC2FFA" w:rsidRDefault="00CC25E2" w:rsidP="00737AD6">
            <w:pPr>
              <w:pStyle w:val="NormalWeb"/>
              <w:jc w:val="center"/>
              <w:rPr>
                <w:sz w:val="18"/>
                <w:szCs w:val="18"/>
              </w:rPr>
            </w:pPr>
            <w:r w:rsidRPr="00DC2FFA">
              <w:rPr>
                <w:sz w:val="18"/>
                <w:szCs w:val="18"/>
              </w:rPr>
              <w:t>25 (13.7%)</w:t>
            </w:r>
          </w:p>
        </w:tc>
        <w:tc>
          <w:tcPr>
            <w:tcW w:w="1740" w:type="dxa"/>
            <w:hideMark/>
          </w:tcPr>
          <w:p w14:paraId="5A4E5E8B" w14:textId="77777777" w:rsidR="00CC25E2" w:rsidRPr="00DC2FFA" w:rsidRDefault="00CC25E2" w:rsidP="00737AD6">
            <w:pPr>
              <w:pStyle w:val="NormalWeb"/>
              <w:jc w:val="center"/>
              <w:rPr>
                <w:sz w:val="18"/>
                <w:szCs w:val="18"/>
              </w:rPr>
            </w:pPr>
            <w:r w:rsidRPr="00DC2FFA">
              <w:rPr>
                <w:sz w:val="18"/>
                <w:szCs w:val="18"/>
              </w:rPr>
              <w:t>3 (0.6%)</w:t>
            </w:r>
          </w:p>
        </w:tc>
        <w:tc>
          <w:tcPr>
            <w:tcW w:w="1740" w:type="dxa"/>
            <w:hideMark/>
          </w:tcPr>
          <w:p w14:paraId="0B8DE5CC" w14:textId="77777777" w:rsidR="00CC25E2" w:rsidRPr="00DC2FFA" w:rsidRDefault="00CC25E2" w:rsidP="00737AD6">
            <w:pPr>
              <w:pStyle w:val="NormalWeb"/>
              <w:jc w:val="center"/>
              <w:rPr>
                <w:sz w:val="18"/>
                <w:szCs w:val="18"/>
              </w:rPr>
            </w:pPr>
            <w:r w:rsidRPr="00DC2FFA">
              <w:rPr>
                <w:sz w:val="18"/>
                <w:szCs w:val="18"/>
              </w:rPr>
              <w:t>597 (26.7%)</w:t>
            </w:r>
          </w:p>
        </w:tc>
        <w:tc>
          <w:tcPr>
            <w:tcW w:w="1740" w:type="dxa"/>
            <w:hideMark/>
          </w:tcPr>
          <w:p w14:paraId="5DB57AC8" w14:textId="77777777" w:rsidR="00CC25E2" w:rsidRPr="00DC2FFA" w:rsidRDefault="00CC25E2" w:rsidP="00737AD6">
            <w:pPr>
              <w:pStyle w:val="NormalWeb"/>
              <w:jc w:val="center"/>
              <w:rPr>
                <w:sz w:val="18"/>
                <w:szCs w:val="18"/>
              </w:rPr>
            </w:pPr>
            <w:r w:rsidRPr="00DC2FFA">
              <w:rPr>
                <w:sz w:val="18"/>
                <w:szCs w:val="18"/>
              </w:rPr>
              <w:t>328 (25.0%)</w:t>
            </w:r>
          </w:p>
        </w:tc>
        <w:tc>
          <w:tcPr>
            <w:tcW w:w="1740" w:type="dxa"/>
            <w:hideMark/>
          </w:tcPr>
          <w:p w14:paraId="163422ED" w14:textId="77777777" w:rsidR="00CC25E2" w:rsidRPr="00DC2FFA" w:rsidRDefault="00CC25E2" w:rsidP="00737AD6">
            <w:pPr>
              <w:pStyle w:val="NormalWeb"/>
              <w:jc w:val="center"/>
              <w:rPr>
                <w:sz w:val="18"/>
                <w:szCs w:val="18"/>
              </w:rPr>
            </w:pPr>
            <w:r w:rsidRPr="00DC2FFA">
              <w:rPr>
                <w:sz w:val="18"/>
                <w:szCs w:val="18"/>
              </w:rPr>
              <w:t>953 (22.4%)</w:t>
            </w:r>
          </w:p>
        </w:tc>
      </w:tr>
      <w:tr w:rsidR="00CC25E2" w:rsidRPr="00DC2FFA" w14:paraId="7BC9DDE8" w14:textId="77777777" w:rsidTr="00375116">
        <w:trPr>
          <w:trHeight w:val="331"/>
        </w:trPr>
        <w:tc>
          <w:tcPr>
            <w:tcW w:w="1740" w:type="dxa"/>
            <w:hideMark/>
          </w:tcPr>
          <w:p w14:paraId="6DB147E2" w14:textId="77777777" w:rsidR="00CC25E2" w:rsidRPr="00DC2FFA" w:rsidRDefault="00CC25E2" w:rsidP="00737AD6">
            <w:pPr>
              <w:pStyle w:val="NormalWeb"/>
              <w:rPr>
                <w:sz w:val="18"/>
                <w:szCs w:val="18"/>
              </w:rPr>
            </w:pPr>
            <w:r w:rsidRPr="00DC2FFA">
              <w:rPr>
                <w:sz w:val="18"/>
                <w:szCs w:val="18"/>
              </w:rPr>
              <w:t>NT</w:t>
            </w:r>
          </w:p>
        </w:tc>
        <w:tc>
          <w:tcPr>
            <w:tcW w:w="1740" w:type="dxa"/>
            <w:hideMark/>
          </w:tcPr>
          <w:p w14:paraId="451F95D3" w14:textId="77777777" w:rsidR="00CC25E2" w:rsidRPr="00DC2FFA" w:rsidRDefault="00CC25E2" w:rsidP="00737AD6">
            <w:pPr>
              <w:pStyle w:val="NormalWeb"/>
              <w:jc w:val="center"/>
              <w:rPr>
                <w:sz w:val="18"/>
                <w:szCs w:val="18"/>
              </w:rPr>
            </w:pPr>
            <w:r w:rsidRPr="00DC2FFA">
              <w:rPr>
                <w:sz w:val="18"/>
                <w:szCs w:val="18"/>
              </w:rPr>
              <w:t>10 (5.5%)</w:t>
            </w:r>
          </w:p>
        </w:tc>
        <w:tc>
          <w:tcPr>
            <w:tcW w:w="1740" w:type="dxa"/>
            <w:hideMark/>
          </w:tcPr>
          <w:p w14:paraId="67C388B5" w14:textId="77777777" w:rsidR="00CC25E2" w:rsidRPr="00DC2FFA" w:rsidRDefault="00CC25E2" w:rsidP="00737AD6">
            <w:pPr>
              <w:pStyle w:val="NormalWeb"/>
              <w:jc w:val="center"/>
              <w:rPr>
                <w:sz w:val="18"/>
                <w:szCs w:val="18"/>
              </w:rPr>
            </w:pPr>
            <w:r w:rsidRPr="00DC2FFA">
              <w:rPr>
                <w:sz w:val="18"/>
                <w:szCs w:val="18"/>
              </w:rPr>
              <w:t>59 (11.1%)</w:t>
            </w:r>
          </w:p>
        </w:tc>
        <w:tc>
          <w:tcPr>
            <w:tcW w:w="1740" w:type="dxa"/>
            <w:hideMark/>
          </w:tcPr>
          <w:p w14:paraId="5360656A" w14:textId="77777777" w:rsidR="00CC25E2" w:rsidRPr="00DC2FFA" w:rsidRDefault="00CC25E2" w:rsidP="00737AD6">
            <w:pPr>
              <w:pStyle w:val="NormalWeb"/>
              <w:jc w:val="center"/>
              <w:rPr>
                <w:sz w:val="18"/>
                <w:szCs w:val="18"/>
              </w:rPr>
            </w:pPr>
            <w:r w:rsidRPr="00DC2FFA">
              <w:rPr>
                <w:sz w:val="18"/>
                <w:szCs w:val="18"/>
              </w:rPr>
              <w:t>57 (2.6%)</w:t>
            </w:r>
          </w:p>
        </w:tc>
        <w:tc>
          <w:tcPr>
            <w:tcW w:w="1740" w:type="dxa"/>
            <w:hideMark/>
          </w:tcPr>
          <w:p w14:paraId="341F6F4C" w14:textId="77777777" w:rsidR="00CC25E2" w:rsidRPr="00DC2FFA" w:rsidRDefault="00CC25E2" w:rsidP="00737AD6">
            <w:pPr>
              <w:pStyle w:val="NormalWeb"/>
              <w:jc w:val="center"/>
              <w:rPr>
                <w:sz w:val="18"/>
                <w:szCs w:val="18"/>
              </w:rPr>
            </w:pPr>
            <w:r w:rsidRPr="00DC2FFA">
              <w:rPr>
                <w:sz w:val="18"/>
                <w:szCs w:val="18"/>
              </w:rPr>
              <w:t>57 (4.4%)</w:t>
            </w:r>
          </w:p>
        </w:tc>
        <w:tc>
          <w:tcPr>
            <w:tcW w:w="1740" w:type="dxa"/>
            <w:hideMark/>
          </w:tcPr>
          <w:p w14:paraId="34FD7DA4" w14:textId="77777777" w:rsidR="00CC25E2" w:rsidRPr="00DC2FFA" w:rsidRDefault="00CC25E2" w:rsidP="00737AD6">
            <w:pPr>
              <w:pStyle w:val="NormalWeb"/>
              <w:jc w:val="center"/>
              <w:rPr>
                <w:sz w:val="18"/>
                <w:szCs w:val="18"/>
              </w:rPr>
            </w:pPr>
            <w:r w:rsidRPr="00DC2FFA">
              <w:rPr>
                <w:sz w:val="18"/>
                <w:szCs w:val="18"/>
              </w:rPr>
              <w:t>183 (4.3%)</w:t>
            </w:r>
          </w:p>
        </w:tc>
      </w:tr>
      <w:tr w:rsidR="00CC25E2" w:rsidRPr="00DC2FFA" w14:paraId="745C4532"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0A530B9D" w14:textId="77777777" w:rsidR="00CC25E2" w:rsidRPr="00DC2FFA" w:rsidRDefault="00CC25E2" w:rsidP="00737AD6">
            <w:pPr>
              <w:pStyle w:val="NormalWeb"/>
              <w:rPr>
                <w:sz w:val="18"/>
                <w:szCs w:val="18"/>
              </w:rPr>
            </w:pPr>
            <w:r w:rsidRPr="00DC2FFA">
              <w:rPr>
                <w:sz w:val="18"/>
                <w:szCs w:val="18"/>
              </w:rPr>
              <w:t>Qld</w:t>
            </w:r>
          </w:p>
        </w:tc>
        <w:tc>
          <w:tcPr>
            <w:tcW w:w="1740" w:type="dxa"/>
            <w:hideMark/>
          </w:tcPr>
          <w:p w14:paraId="2EF1431A" w14:textId="77777777" w:rsidR="00CC25E2" w:rsidRPr="00DC2FFA" w:rsidRDefault="00CC25E2" w:rsidP="00737AD6">
            <w:pPr>
              <w:pStyle w:val="NormalWeb"/>
              <w:jc w:val="center"/>
              <w:rPr>
                <w:sz w:val="18"/>
                <w:szCs w:val="18"/>
              </w:rPr>
            </w:pPr>
            <w:r w:rsidRPr="00DC2FFA">
              <w:rPr>
                <w:sz w:val="18"/>
                <w:szCs w:val="18"/>
              </w:rPr>
              <w:t>30 (16.4%)</w:t>
            </w:r>
          </w:p>
        </w:tc>
        <w:tc>
          <w:tcPr>
            <w:tcW w:w="1740" w:type="dxa"/>
            <w:hideMark/>
          </w:tcPr>
          <w:p w14:paraId="78A817B4" w14:textId="77777777" w:rsidR="00CC25E2" w:rsidRPr="00DC2FFA" w:rsidRDefault="00CC25E2" w:rsidP="00737AD6">
            <w:pPr>
              <w:pStyle w:val="NormalWeb"/>
              <w:jc w:val="center"/>
              <w:rPr>
                <w:sz w:val="18"/>
                <w:szCs w:val="18"/>
              </w:rPr>
            </w:pPr>
            <w:r w:rsidRPr="00DC2FFA">
              <w:rPr>
                <w:sz w:val="18"/>
                <w:szCs w:val="18"/>
              </w:rPr>
              <w:t>61 (11.5%)</w:t>
            </w:r>
          </w:p>
        </w:tc>
        <w:tc>
          <w:tcPr>
            <w:tcW w:w="1740" w:type="dxa"/>
            <w:hideMark/>
          </w:tcPr>
          <w:p w14:paraId="63A25DBB" w14:textId="77777777" w:rsidR="00CC25E2" w:rsidRPr="00DC2FFA" w:rsidRDefault="00CC25E2" w:rsidP="00737AD6">
            <w:pPr>
              <w:pStyle w:val="NormalWeb"/>
              <w:jc w:val="center"/>
              <w:rPr>
                <w:sz w:val="18"/>
                <w:szCs w:val="18"/>
              </w:rPr>
            </w:pPr>
            <w:r w:rsidRPr="00DC2FFA">
              <w:rPr>
                <w:sz w:val="18"/>
                <w:szCs w:val="18"/>
              </w:rPr>
              <w:t>282 (12.6%)</w:t>
            </w:r>
          </w:p>
        </w:tc>
        <w:tc>
          <w:tcPr>
            <w:tcW w:w="1740" w:type="dxa"/>
            <w:hideMark/>
          </w:tcPr>
          <w:p w14:paraId="66F2CD30" w14:textId="77777777" w:rsidR="00CC25E2" w:rsidRPr="00DC2FFA" w:rsidRDefault="00CC25E2" w:rsidP="00737AD6">
            <w:pPr>
              <w:pStyle w:val="NormalWeb"/>
              <w:jc w:val="center"/>
              <w:rPr>
                <w:sz w:val="18"/>
                <w:szCs w:val="18"/>
              </w:rPr>
            </w:pPr>
            <w:r w:rsidRPr="00DC2FFA">
              <w:rPr>
                <w:sz w:val="18"/>
                <w:szCs w:val="18"/>
              </w:rPr>
              <w:t>120 (9.2%)</w:t>
            </w:r>
          </w:p>
        </w:tc>
        <w:tc>
          <w:tcPr>
            <w:tcW w:w="1740" w:type="dxa"/>
            <w:hideMark/>
          </w:tcPr>
          <w:p w14:paraId="0BB686C1" w14:textId="77777777" w:rsidR="00CC25E2" w:rsidRPr="00DC2FFA" w:rsidRDefault="00CC25E2" w:rsidP="00737AD6">
            <w:pPr>
              <w:pStyle w:val="NormalWeb"/>
              <w:jc w:val="center"/>
              <w:rPr>
                <w:sz w:val="18"/>
                <w:szCs w:val="18"/>
              </w:rPr>
            </w:pPr>
            <w:r w:rsidRPr="00DC2FFA">
              <w:rPr>
                <w:sz w:val="18"/>
                <w:szCs w:val="18"/>
              </w:rPr>
              <w:t>493 (11.6%)</w:t>
            </w:r>
          </w:p>
        </w:tc>
      </w:tr>
      <w:tr w:rsidR="00CC25E2" w:rsidRPr="00DC2FFA" w14:paraId="1C7DA2A0" w14:textId="77777777" w:rsidTr="00375116">
        <w:trPr>
          <w:trHeight w:val="331"/>
        </w:trPr>
        <w:tc>
          <w:tcPr>
            <w:tcW w:w="1740" w:type="dxa"/>
            <w:hideMark/>
          </w:tcPr>
          <w:p w14:paraId="12D77A04" w14:textId="77777777" w:rsidR="00CC25E2" w:rsidRPr="00DC2FFA" w:rsidRDefault="00CC25E2" w:rsidP="00737AD6">
            <w:pPr>
              <w:pStyle w:val="NormalWeb"/>
              <w:rPr>
                <w:sz w:val="18"/>
                <w:szCs w:val="18"/>
              </w:rPr>
            </w:pPr>
            <w:r w:rsidRPr="00DC2FFA">
              <w:rPr>
                <w:sz w:val="18"/>
                <w:szCs w:val="18"/>
              </w:rPr>
              <w:t>SA</w:t>
            </w:r>
          </w:p>
        </w:tc>
        <w:tc>
          <w:tcPr>
            <w:tcW w:w="1740" w:type="dxa"/>
            <w:hideMark/>
          </w:tcPr>
          <w:p w14:paraId="6F709FD3" w14:textId="77777777" w:rsidR="00CC25E2" w:rsidRPr="00DC2FFA" w:rsidRDefault="00CC25E2" w:rsidP="00737AD6">
            <w:pPr>
              <w:pStyle w:val="NormalWeb"/>
              <w:jc w:val="center"/>
              <w:rPr>
                <w:sz w:val="18"/>
                <w:szCs w:val="18"/>
              </w:rPr>
            </w:pPr>
            <w:r w:rsidRPr="00DC2FFA">
              <w:rPr>
                <w:sz w:val="18"/>
                <w:szCs w:val="18"/>
              </w:rPr>
              <w:t>1 (0.5%)</w:t>
            </w:r>
          </w:p>
        </w:tc>
        <w:tc>
          <w:tcPr>
            <w:tcW w:w="1740" w:type="dxa"/>
            <w:hideMark/>
          </w:tcPr>
          <w:p w14:paraId="4EB06095" w14:textId="77777777" w:rsidR="00CC25E2" w:rsidRPr="00DC2FFA" w:rsidRDefault="00CC25E2" w:rsidP="00737AD6">
            <w:pPr>
              <w:pStyle w:val="NormalWeb"/>
              <w:jc w:val="center"/>
              <w:rPr>
                <w:sz w:val="18"/>
                <w:szCs w:val="18"/>
              </w:rPr>
            </w:pPr>
            <w:r w:rsidRPr="00DC2FFA">
              <w:rPr>
                <w:sz w:val="18"/>
                <w:szCs w:val="18"/>
              </w:rPr>
              <w:t>10 (1.9%)</w:t>
            </w:r>
          </w:p>
        </w:tc>
        <w:tc>
          <w:tcPr>
            <w:tcW w:w="1740" w:type="dxa"/>
            <w:hideMark/>
          </w:tcPr>
          <w:p w14:paraId="5F760294" w14:textId="77777777" w:rsidR="00CC25E2" w:rsidRPr="00DC2FFA" w:rsidRDefault="00CC25E2" w:rsidP="00737AD6">
            <w:pPr>
              <w:pStyle w:val="NormalWeb"/>
              <w:jc w:val="center"/>
              <w:rPr>
                <w:sz w:val="18"/>
                <w:szCs w:val="18"/>
              </w:rPr>
            </w:pPr>
            <w:r w:rsidRPr="00DC2FFA">
              <w:rPr>
                <w:sz w:val="18"/>
                <w:szCs w:val="18"/>
              </w:rPr>
              <w:t>350 (15.7%)</w:t>
            </w:r>
          </w:p>
        </w:tc>
        <w:tc>
          <w:tcPr>
            <w:tcW w:w="1740" w:type="dxa"/>
            <w:hideMark/>
          </w:tcPr>
          <w:p w14:paraId="4D4DC86C" w14:textId="77777777" w:rsidR="00CC25E2" w:rsidRPr="00DC2FFA" w:rsidRDefault="00CC25E2" w:rsidP="00737AD6">
            <w:pPr>
              <w:pStyle w:val="NormalWeb"/>
              <w:jc w:val="center"/>
              <w:rPr>
                <w:sz w:val="18"/>
                <w:szCs w:val="18"/>
              </w:rPr>
            </w:pPr>
            <w:r w:rsidRPr="00DC2FFA">
              <w:rPr>
                <w:sz w:val="18"/>
                <w:szCs w:val="18"/>
              </w:rPr>
              <w:t>151 (11.5%)</w:t>
            </w:r>
          </w:p>
        </w:tc>
        <w:tc>
          <w:tcPr>
            <w:tcW w:w="1740" w:type="dxa"/>
            <w:hideMark/>
          </w:tcPr>
          <w:p w14:paraId="3C0EBD36" w14:textId="77777777" w:rsidR="00CC25E2" w:rsidRPr="00DC2FFA" w:rsidRDefault="00CC25E2" w:rsidP="00737AD6">
            <w:pPr>
              <w:pStyle w:val="NormalWeb"/>
              <w:jc w:val="center"/>
              <w:rPr>
                <w:sz w:val="18"/>
                <w:szCs w:val="18"/>
              </w:rPr>
            </w:pPr>
            <w:r w:rsidRPr="00DC2FFA">
              <w:rPr>
                <w:sz w:val="18"/>
                <w:szCs w:val="18"/>
              </w:rPr>
              <w:t>512 (12.0%)</w:t>
            </w:r>
          </w:p>
        </w:tc>
      </w:tr>
      <w:tr w:rsidR="00CC25E2" w:rsidRPr="00DC2FFA" w14:paraId="601494C5"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1AD49E15" w14:textId="77777777" w:rsidR="00CC25E2" w:rsidRPr="00DC2FFA" w:rsidRDefault="00CC25E2" w:rsidP="00737AD6">
            <w:pPr>
              <w:pStyle w:val="NormalWeb"/>
              <w:rPr>
                <w:sz w:val="18"/>
                <w:szCs w:val="18"/>
              </w:rPr>
            </w:pPr>
            <w:r w:rsidRPr="00DC2FFA">
              <w:rPr>
                <w:sz w:val="18"/>
                <w:szCs w:val="18"/>
              </w:rPr>
              <w:t>Tas</w:t>
            </w:r>
          </w:p>
        </w:tc>
        <w:tc>
          <w:tcPr>
            <w:tcW w:w="1740" w:type="dxa"/>
            <w:hideMark/>
          </w:tcPr>
          <w:p w14:paraId="69C149D1" w14:textId="77777777" w:rsidR="00CC25E2" w:rsidRPr="00DC2FFA" w:rsidRDefault="00CC25E2" w:rsidP="00737AD6">
            <w:pPr>
              <w:pStyle w:val="NormalWeb"/>
              <w:jc w:val="center"/>
              <w:rPr>
                <w:sz w:val="18"/>
                <w:szCs w:val="18"/>
              </w:rPr>
            </w:pPr>
            <w:r w:rsidRPr="00DC2FFA">
              <w:rPr>
                <w:sz w:val="18"/>
                <w:szCs w:val="18"/>
              </w:rPr>
              <w:t>32 (17.5%)</w:t>
            </w:r>
          </w:p>
        </w:tc>
        <w:tc>
          <w:tcPr>
            <w:tcW w:w="1740" w:type="dxa"/>
            <w:hideMark/>
          </w:tcPr>
          <w:p w14:paraId="3739CDFD" w14:textId="77777777" w:rsidR="00CC25E2" w:rsidRPr="00DC2FFA" w:rsidRDefault="00CC25E2" w:rsidP="00737AD6">
            <w:pPr>
              <w:pStyle w:val="NormalWeb"/>
              <w:jc w:val="center"/>
              <w:rPr>
                <w:sz w:val="18"/>
                <w:szCs w:val="18"/>
              </w:rPr>
            </w:pPr>
            <w:r w:rsidRPr="00DC2FFA">
              <w:rPr>
                <w:sz w:val="18"/>
                <w:szCs w:val="18"/>
              </w:rPr>
              <w:t>148 (27.8%)</w:t>
            </w:r>
          </w:p>
        </w:tc>
        <w:tc>
          <w:tcPr>
            <w:tcW w:w="1740" w:type="dxa"/>
            <w:hideMark/>
          </w:tcPr>
          <w:p w14:paraId="3FA02E70" w14:textId="77777777" w:rsidR="00CC25E2" w:rsidRPr="00DC2FFA" w:rsidRDefault="00CC25E2" w:rsidP="00737AD6">
            <w:pPr>
              <w:pStyle w:val="NormalWeb"/>
              <w:jc w:val="center"/>
              <w:rPr>
                <w:sz w:val="18"/>
                <w:szCs w:val="18"/>
              </w:rPr>
            </w:pPr>
            <w:r w:rsidRPr="00DC2FFA">
              <w:rPr>
                <w:sz w:val="18"/>
                <w:szCs w:val="18"/>
              </w:rPr>
              <w:t>47 (2.1%)</w:t>
            </w:r>
          </w:p>
        </w:tc>
        <w:tc>
          <w:tcPr>
            <w:tcW w:w="1740" w:type="dxa"/>
            <w:hideMark/>
          </w:tcPr>
          <w:p w14:paraId="7F225C1F" w14:textId="77777777" w:rsidR="00CC25E2" w:rsidRPr="00DC2FFA" w:rsidRDefault="00CC25E2" w:rsidP="00737AD6">
            <w:pPr>
              <w:pStyle w:val="NormalWeb"/>
              <w:jc w:val="center"/>
              <w:rPr>
                <w:sz w:val="18"/>
                <w:szCs w:val="18"/>
              </w:rPr>
            </w:pPr>
            <w:r w:rsidRPr="00DC2FFA">
              <w:rPr>
                <w:sz w:val="18"/>
                <w:szCs w:val="18"/>
              </w:rPr>
              <w:t>105 (8.0%)</w:t>
            </w:r>
          </w:p>
        </w:tc>
        <w:tc>
          <w:tcPr>
            <w:tcW w:w="1740" w:type="dxa"/>
            <w:hideMark/>
          </w:tcPr>
          <w:p w14:paraId="6434FE81" w14:textId="77777777" w:rsidR="00CC25E2" w:rsidRPr="00DC2FFA" w:rsidRDefault="00CC25E2" w:rsidP="00737AD6">
            <w:pPr>
              <w:pStyle w:val="NormalWeb"/>
              <w:jc w:val="center"/>
              <w:rPr>
                <w:sz w:val="18"/>
                <w:szCs w:val="18"/>
              </w:rPr>
            </w:pPr>
            <w:r w:rsidRPr="00DC2FFA">
              <w:rPr>
                <w:sz w:val="18"/>
                <w:szCs w:val="18"/>
              </w:rPr>
              <w:t>332 (7.8%)</w:t>
            </w:r>
          </w:p>
        </w:tc>
      </w:tr>
      <w:tr w:rsidR="00CC25E2" w:rsidRPr="00DC2FFA" w14:paraId="37D66743" w14:textId="77777777" w:rsidTr="00375116">
        <w:trPr>
          <w:trHeight w:val="331"/>
        </w:trPr>
        <w:tc>
          <w:tcPr>
            <w:tcW w:w="1740" w:type="dxa"/>
            <w:hideMark/>
          </w:tcPr>
          <w:p w14:paraId="109C37B7" w14:textId="77777777" w:rsidR="00CC25E2" w:rsidRPr="00DC2FFA" w:rsidRDefault="00CC25E2" w:rsidP="00737AD6">
            <w:pPr>
              <w:pStyle w:val="NormalWeb"/>
              <w:rPr>
                <w:sz w:val="18"/>
                <w:szCs w:val="18"/>
              </w:rPr>
            </w:pPr>
            <w:r w:rsidRPr="00DC2FFA">
              <w:rPr>
                <w:sz w:val="18"/>
                <w:szCs w:val="18"/>
              </w:rPr>
              <w:t>Vic</w:t>
            </w:r>
          </w:p>
        </w:tc>
        <w:tc>
          <w:tcPr>
            <w:tcW w:w="1740" w:type="dxa"/>
            <w:hideMark/>
          </w:tcPr>
          <w:p w14:paraId="54121B68" w14:textId="77777777" w:rsidR="00CC25E2" w:rsidRPr="00DC2FFA" w:rsidRDefault="00CC25E2" w:rsidP="00737AD6">
            <w:pPr>
              <w:pStyle w:val="NormalWeb"/>
              <w:jc w:val="center"/>
              <w:rPr>
                <w:sz w:val="18"/>
                <w:szCs w:val="18"/>
              </w:rPr>
            </w:pPr>
            <w:r w:rsidRPr="00DC2FFA">
              <w:rPr>
                <w:sz w:val="18"/>
                <w:szCs w:val="18"/>
              </w:rPr>
              <w:t>50 (27.3%)</w:t>
            </w:r>
          </w:p>
        </w:tc>
        <w:tc>
          <w:tcPr>
            <w:tcW w:w="1740" w:type="dxa"/>
            <w:hideMark/>
          </w:tcPr>
          <w:p w14:paraId="55B239E6" w14:textId="77777777" w:rsidR="00CC25E2" w:rsidRPr="00DC2FFA" w:rsidRDefault="00CC25E2" w:rsidP="00737AD6">
            <w:pPr>
              <w:pStyle w:val="NormalWeb"/>
              <w:jc w:val="center"/>
              <w:rPr>
                <w:sz w:val="18"/>
                <w:szCs w:val="18"/>
              </w:rPr>
            </w:pPr>
            <w:r w:rsidRPr="00DC2FFA">
              <w:rPr>
                <w:sz w:val="18"/>
                <w:szCs w:val="18"/>
              </w:rPr>
              <w:t>164 (30.8%)</w:t>
            </w:r>
          </w:p>
        </w:tc>
        <w:tc>
          <w:tcPr>
            <w:tcW w:w="1740" w:type="dxa"/>
            <w:hideMark/>
          </w:tcPr>
          <w:p w14:paraId="31641395" w14:textId="77777777" w:rsidR="00CC25E2" w:rsidRPr="00DC2FFA" w:rsidRDefault="00CC25E2" w:rsidP="00737AD6">
            <w:pPr>
              <w:pStyle w:val="NormalWeb"/>
              <w:jc w:val="center"/>
              <w:rPr>
                <w:sz w:val="18"/>
                <w:szCs w:val="18"/>
              </w:rPr>
            </w:pPr>
            <w:r w:rsidRPr="00DC2FFA">
              <w:rPr>
                <w:sz w:val="18"/>
                <w:szCs w:val="18"/>
              </w:rPr>
              <w:t>526 (23.5%)</w:t>
            </w:r>
          </w:p>
        </w:tc>
        <w:tc>
          <w:tcPr>
            <w:tcW w:w="1740" w:type="dxa"/>
            <w:hideMark/>
          </w:tcPr>
          <w:p w14:paraId="67500B9A" w14:textId="77777777" w:rsidR="00CC25E2" w:rsidRPr="00DC2FFA" w:rsidRDefault="00CC25E2" w:rsidP="00737AD6">
            <w:pPr>
              <w:pStyle w:val="NormalWeb"/>
              <w:jc w:val="center"/>
              <w:rPr>
                <w:sz w:val="18"/>
                <w:szCs w:val="18"/>
              </w:rPr>
            </w:pPr>
            <w:r w:rsidRPr="00DC2FFA">
              <w:rPr>
                <w:sz w:val="18"/>
                <w:szCs w:val="18"/>
              </w:rPr>
              <w:t>348 (26.6%)</w:t>
            </w:r>
          </w:p>
        </w:tc>
        <w:tc>
          <w:tcPr>
            <w:tcW w:w="1740" w:type="dxa"/>
            <w:hideMark/>
          </w:tcPr>
          <w:p w14:paraId="04D9EFEF" w14:textId="77777777" w:rsidR="00CC25E2" w:rsidRPr="00DC2FFA" w:rsidRDefault="00CC25E2" w:rsidP="00737AD6">
            <w:pPr>
              <w:pStyle w:val="NormalWeb"/>
              <w:jc w:val="center"/>
              <w:rPr>
                <w:sz w:val="18"/>
                <w:szCs w:val="18"/>
              </w:rPr>
            </w:pPr>
            <w:r w:rsidRPr="00DC2FFA">
              <w:rPr>
                <w:sz w:val="18"/>
                <w:szCs w:val="18"/>
              </w:rPr>
              <w:t>1,088 (25.5%)</w:t>
            </w:r>
          </w:p>
        </w:tc>
      </w:tr>
      <w:tr w:rsidR="00CC25E2" w:rsidRPr="00DC2FFA" w14:paraId="0300FA59" w14:textId="77777777" w:rsidTr="00375116">
        <w:trPr>
          <w:cnfStyle w:val="000000010000" w:firstRow="0" w:lastRow="0" w:firstColumn="0" w:lastColumn="0" w:oddVBand="0" w:evenVBand="0" w:oddHBand="0" w:evenHBand="1" w:firstRowFirstColumn="0" w:firstRowLastColumn="0" w:lastRowFirstColumn="0" w:lastRowLastColumn="0"/>
          <w:trHeight w:val="331"/>
        </w:trPr>
        <w:tc>
          <w:tcPr>
            <w:tcW w:w="1740" w:type="dxa"/>
            <w:hideMark/>
          </w:tcPr>
          <w:p w14:paraId="37443B19" w14:textId="77777777" w:rsidR="00CC25E2" w:rsidRPr="00DC2FFA" w:rsidRDefault="00CC25E2" w:rsidP="00737AD6">
            <w:pPr>
              <w:pStyle w:val="NormalWeb"/>
              <w:rPr>
                <w:sz w:val="18"/>
                <w:szCs w:val="18"/>
              </w:rPr>
            </w:pPr>
            <w:r w:rsidRPr="00DC2FFA">
              <w:rPr>
                <w:sz w:val="18"/>
                <w:szCs w:val="18"/>
              </w:rPr>
              <w:t>WA</w:t>
            </w:r>
          </w:p>
        </w:tc>
        <w:tc>
          <w:tcPr>
            <w:tcW w:w="1740" w:type="dxa"/>
            <w:hideMark/>
          </w:tcPr>
          <w:p w14:paraId="4F9C0C0B" w14:textId="77777777" w:rsidR="00CC25E2" w:rsidRPr="00DC2FFA" w:rsidRDefault="00CC25E2" w:rsidP="00737AD6">
            <w:pPr>
              <w:pStyle w:val="NormalWeb"/>
              <w:jc w:val="center"/>
              <w:rPr>
                <w:sz w:val="18"/>
                <w:szCs w:val="18"/>
              </w:rPr>
            </w:pPr>
            <w:r w:rsidRPr="00DC2FFA">
              <w:rPr>
                <w:sz w:val="18"/>
                <w:szCs w:val="18"/>
              </w:rPr>
              <w:t>31 (16.9%)</w:t>
            </w:r>
          </w:p>
        </w:tc>
        <w:tc>
          <w:tcPr>
            <w:tcW w:w="1740" w:type="dxa"/>
            <w:hideMark/>
          </w:tcPr>
          <w:p w14:paraId="3086D34B" w14:textId="77777777" w:rsidR="00CC25E2" w:rsidRPr="00DC2FFA" w:rsidRDefault="00CC25E2" w:rsidP="00737AD6">
            <w:pPr>
              <w:pStyle w:val="NormalWeb"/>
              <w:jc w:val="center"/>
              <w:rPr>
                <w:sz w:val="18"/>
                <w:szCs w:val="18"/>
              </w:rPr>
            </w:pPr>
            <w:r w:rsidRPr="00DC2FFA">
              <w:rPr>
                <w:sz w:val="18"/>
                <w:szCs w:val="18"/>
              </w:rPr>
              <w:t>51 (9.6%)</w:t>
            </w:r>
          </w:p>
        </w:tc>
        <w:tc>
          <w:tcPr>
            <w:tcW w:w="1740" w:type="dxa"/>
            <w:hideMark/>
          </w:tcPr>
          <w:p w14:paraId="3F64C128" w14:textId="77777777" w:rsidR="00CC25E2" w:rsidRPr="00DC2FFA" w:rsidRDefault="00CC25E2" w:rsidP="00737AD6">
            <w:pPr>
              <w:pStyle w:val="NormalWeb"/>
              <w:jc w:val="center"/>
              <w:rPr>
                <w:sz w:val="18"/>
                <w:szCs w:val="18"/>
              </w:rPr>
            </w:pPr>
            <w:r w:rsidRPr="00DC2FFA">
              <w:rPr>
                <w:sz w:val="18"/>
                <w:szCs w:val="18"/>
              </w:rPr>
              <w:t>36 (1.6%)</w:t>
            </w:r>
          </w:p>
        </w:tc>
        <w:tc>
          <w:tcPr>
            <w:tcW w:w="1740" w:type="dxa"/>
            <w:hideMark/>
          </w:tcPr>
          <w:p w14:paraId="1752FE5D" w14:textId="77777777" w:rsidR="00CC25E2" w:rsidRPr="00DC2FFA" w:rsidRDefault="00CC25E2" w:rsidP="00737AD6">
            <w:pPr>
              <w:pStyle w:val="NormalWeb"/>
              <w:jc w:val="center"/>
              <w:rPr>
                <w:sz w:val="18"/>
                <w:szCs w:val="18"/>
              </w:rPr>
            </w:pPr>
            <w:r w:rsidRPr="00DC2FFA">
              <w:rPr>
                <w:sz w:val="18"/>
                <w:szCs w:val="18"/>
              </w:rPr>
              <w:t>29 (2.2%)</w:t>
            </w:r>
          </w:p>
        </w:tc>
        <w:tc>
          <w:tcPr>
            <w:tcW w:w="1740" w:type="dxa"/>
            <w:hideMark/>
          </w:tcPr>
          <w:p w14:paraId="65F4FFAA" w14:textId="77777777" w:rsidR="00CC25E2" w:rsidRPr="00DC2FFA" w:rsidRDefault="00CC25E2" w:rsidP="00737AD6">
            <w:pPr>
              <w:pStyle w:val="NormalWeb"/>
              <w:jc w:val="center"/>
              <w:rPr>
                <w:sz w:val="18"/>
                <w:szCs w:val="18"/>
              </w:rPr>
            </w:pPr>
            <w:r w:rsidRPr="00DC2FFA">
              <w:rPr>
                <w:sz w:val="18"/>
                <w:szCs w:val="18"/>
              </w:rPr>
              <w:t>147 (3.5%)</w:t>
            </w:r>
          </w:p>
        </w:tc>
      </w:tr>
    </w:tbl>
    <w:p w14:paraId="5790D6C9" w14:textId="77777777" w:rsidR="00CC25E2" w:rsidRDefault="00CC25E2" w:rsidP="007C3CF7">
      <w:pPr>
        <w:pStyle w:val="CDIfootnotes"/>
      </w:pPr>
      <w:r>
        <w:t>a</w:t>
      </w:r>
      <w:r w:rsidR="007C3CF7">
        <w:tab/>
      </w:r>
      <w:r>
        <w:t>Sex missing in two patients</w:t>
      </w:r>
    </w:p>
    <w:p w14:paraId="6A8CCE89" w14:textId="77777777" w:rsidR="006712B2" w:rsidRDefault="006712B2">
      <w:pPr>
        <w:rPr>
          <w:b/>
        </w:rPr>
      </w:pPr>
      <w:r>
        <w:br w:type="page"/>
      </w:r>
    </w:p>
    <w:p w14:paraId="36DC55BB" w14:textId="77777777" w:rsidR="00CC25E2" w:rsidRDefault="00CC25E2" w:rsidP="007C3CF7">
      <w:pPr>
        <w:pStyle w:val="CDIFigures"/>
      </w:pPr>
      <w:r>
        <w:lastRenderedPageBreak/>
        <w:t>Table 2: Risk factors, severity and outcomes in hospitalised adult patients with confirmed influenza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risk factors, including pregnancy, medical co-morbidities, residence in nursing home and influenza vaccine status, in patients admitted to ICU.&#10;"/>
      </w:tblPr>
      <w:tblGrid>
        <w:gridCol w:w="2107"/>
        <w:gridCol w:w="2777"/>
        <w:gridCol w:w="2778"/>
        <w:gridCol w:w="2778"/>
      </w:tblGrid>
      <w:tr w:rsidR="00887FE3" w:rsidRPr="00DC2FFA" w14:paraId="78AF10D0" w14:textId="77777777" w:rsidTr="00622B38">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DD1B95B" w14:textId="77777777" w:rsidR="00CC25E2" w:rsidRPr="00DC2FFA" w:rsidRDefault="00CC25E2">
            <w:pPr>
              <w:rPr>
                <w:color w:val="FFFFFF" w:themeColor="background1"/>
                <w:sz w:val="18"/>
                <w:szCs w:val="18"/>
              </w:rPr>
            </w:pPr>
          </w:p>
        </w:tc>
        <w:tc>
          <w:tcPr>
            <w:tcW w:w="2777" w:type="dxa"/>
            <w:hideMark/>
          </w:tcPr>
          <w:p w14:paraId="31C0AA68" w14:textId="77777777" w:rsidR="00CC25E2" w:rsidRPr="00DC2FFA" w:rsidRDefault="00CC25E2" w:rsidP="00453BCC">
            <w:pPr>
              <w:pStyle w:val="NormalWeb"/>
              <w:jc w:val="center"/>
              <w:rPr>
                <w:color w:val="FFFFFF" w:themeColor="background1"/>
                <w:sz w:val="18"/>
                <w:szCs w:val="18"/>
              </w:rPr>
            </w:pPr>
            <w:r w:rsidRPr="00DC2FFA">
              <w:rPr>
                <w:color w:val="FFFFFF" w:themeColor="background1"/>
                <w:sz w:val="18"/>
                <w:szCs w:val="18"/>
              </w:rPr>
              <w:t>Not admitted to ICU</w:t>
            </w:r>
          </w:p>
        </w:tc>
        <w:tc>
          <w:tcPr>
            <w:tcW w:w="2778" w:type="dxa"/>
            <w:hideMark/>
          </w:tcPr>
          <w:p w14:paraId="47562329" w14:textId="77777777" w:rsidR="00CC25E2" w:rsidRPr="00DC2FFA" w:rsidRDefault="00CC25E2" w:rsidP="00453BCC">
            <w:pPr>
              <w:pStyle w:val="NormalWeb"/>
              <w:jc w:val="center"/>
              <w:rPr>
                <w:color w:val="FFFFFF" w:themeColor="background1"/>
                <w:sz w:val="18"/>
                <w:szCs w:val="18"/>
              </w:rPr>
            </w:pPr>
            <w:r w:rsidRPr="00DC2FFA">
              <w:rPr>
                <w:color w:val="FFFFFF" w:themeColor="background1"/>
                <w:sz w:val="18"/>
                <w:szCs w:val="18"/>
              </w:rPr>
              <w:t>Admitted to ICU</w:t>
            </w:r>
          </w:p>
        </w:tc>
        <w:tc>
          <w:tcPr>
            <w:tcW w:w="2778" w:type="dxa"/>
            <w:hideMark/>
          </w:tcPr>
          <w:p w14:paraId="4E8FAB65" w14:textId="77777777" w:rsidR="00CC25E2" w:rsidRPr="00DC2FFA" w:rsidRDefault="00CC25E2" w:rsidP="00453BCC">
            <w:pPr>
              <w:pStyle w:val="NormalWeb"/>
              <w:jc w:val="center"/>
              <w:rPr>
                <w:color w:val="FFFFFF" w:themeColor="background1"/>
                <w:sz w:val="18"/>
                <w:szCs w:val="18"/>
              </w:rPr>
            </w:pPr>
            <w:r w:rsidRPr="00DC2FFA">
              <w:rPr>
                <w:color w:val="FFFFFF" w:themeColor="background1"/>
                <w:sz w:val="18"/>
                <w:szCs w:val="18"/>
              </w:rPr>
              <w:t>Total</w:t>
            </w:r>
          </w:p>
        </w:tc>
      </w:tr>
      <w:tr w:rsidR="00CC25E2" w:rsidRPr="00DC2FFA" w14:paraId="6E968C40" w14:textId="77777777" w:rsidTr="00622B38">
        <w:tc>
          <w:tcPr>
            <w:tcW w:w="0" w:type="auto"/>
            <w:hideMark/>
          </w:tcPr>
          <w:p w14:paraId="6F24F492" w14:textId="77777777" w:rsidR="00CC25E2" w:rsidRPr="00DC2FFA" w:rsidRDefault="00CC25E2">
            <w:pPr>
              <w:pStyle w:val="NormalWeb"/>
              <w:rPr>
                <w:sz w:val="18"/>
                <w:szCs w:val="18"/>
              </w:rPr>
            </w:pPr>
            <w:r w:rsidRPr="00DC2FFA">
              <w:rPr>
                <w:sz w:val="18"/>
                <w:szCs w:val="18"/>
              </w:rPr>
              <w:t>Pregnant</w:t>
            </w:r>
          </w:p>
        </w:tc>
        <w:tc>
          <w:tcPr>
            <w:tcW w:w="2777" w:type="dxa"/>
            <w:hideMark/>
          </w:tcPr>
          <w:p w14:paraId="77C76C5D" w14:textId="77777777" w:rsidR="00CC25E2" w:rsidRPr="00DC2FFA" w:rsidRDefault="00CC25E2" w:rsidP="00453BCC">
            <w:pPr>
              <w:pStyle w:val="NormalWeb"/>
              <w:jc w:val="center"/>
              <w:rPr>
                <w:sz w:val="18"/>
                <w:szCs w:val="18"/>
              </w:rPr>
            </w:pPr>
            <w:r w:rsidRPr="00DC2FFA">
              <w:rPr>
                <w:sz w:val="18"/>
                <w:szCs w:val="18"/>
              </w:rPr>
              <w:t>64 (1.7%)</w:t>
            </w:r>
          </w:p>
        </w:tc>
        <w:tc>
          <w:tcPr>
            <w:tcW w:w="2778" w:type="dxa"/>
            <w:hideMark/>
          </w:tcPr>
          <w:p w14:paraId="38951835" w14:textId="77777777" w:rsidR="00CC25E2" w:rsidRPr="00DC2FFA" w:rsidRDefault="00CC25E2" w:rsidP="00453BCC">
            <w:pPr>
              <w:pStyle w:val="NormalWeb"/>
              <w:jc w:val="center"/>
              <w:rPr>
                <w:sz w:val="18"/>
                <w:szCs w:val="18"/>
              </w:rPr>
            </w:pPr>
            <w:r w:rsidRPr="00DC2FFA">
              <w:rPr>
                <w:sz w:val="18"/>
                <w:szCs w:val="18"/>
              </w:rPr>
              <w:t>5 (1.0%)</w:t>
            </w:r>
          </w:p>
        </w:tc>
        <w:tc>
          <w:tcPr>
            <w:tcW w:w="2778" w:type="dxa"/>
            <w:hideMark/>
          </w:tcPr>
          <w:p w14:paraId="4ACE7CCC" w14:textId="77777777" w:rsidR="00CC25E2" w:rsidRPr="00DC2FFA" w:rsidRDefault="00CC25E2" w:rsidP="00453BCC">
            <w:pPr>
              <w:pStyle w:val="NormalWeb"/>
              <w:jc w:val="center"/>
              <w:rPr>
                <w:sz w:val="18"/>
                <w:szCs w:val="18"/>
              </w:rPr>
            </w:pPr>
            <w:r w:rsidRPr="00DC2FFA">
              <w:rPr>
                <w:sz w:val="18"/>
                <w:szCs w:val="18"/>
              </w:rPr>
              <w:t>69 (1.6%)</w:t>
            </w:r>
          </w:p>
        </w:tc>
      </w:tr>
      <w:tr w:rsidR="006D04C6" w:rsidRPr="006D04C6" w14:paraId="207698D2" w14:textId="77777777" w:rsidTr="006D04C6">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208F73E7" w14:textId="77777777" w:rsidR="00CC25E2" w:rsidRPr="006D04C6" w:rsidRDefault="00CC25E2">
            <w:pPr>
              <w:pStyle w:val="NormalWeb"/>
              <w:rPr>
                <w:b/>
                <w:color w:val="FFFFFF" w:themeColor="background1"/>
                <w:sz w:val="18"/>
                <w:szCs w:val="18"/>
              </w:rPr>
            </w:pPr>
            <w:r w:rsidRPr="006D04C6">
              <w:rPr>
                <w:b/>
                <w:color w:val="FFFFFF" w:themeColor="background1"/>
                <w:sz w:val="18"/>
                <w:szCs w:val="18"/>
              </w:rPr>
              <w:t>Chronic comorbidities</w:t>
            </w:r>
          </w:p>
        </w:tc>
        <w:tc>
          <w:tcPr>
            <w:tcW w:w="2777" w:type="dxa"/>
            <w:shd w:val="clear" w:color="auto" w:fill="808080" w:themeFill="background1" w:themeFillShade="80"/>
            <w:hideMark/>
          </w:tcPr>
          <w:p w14:paraId="3A5E3A1D" w14:textId="77777777" w:rsidR="00CC25E2" w:rsidRPr="006D04C6" w:rsidRDefault="00CC25E2" w:rsidP="00453BCC">
            <w:pPr>
              <w:pStyle w:val="NormalWeb"/>
              <w:jc w:val="center"/>
              <w:rPr>
                <w:b/>
                <w:color w:val="FFFFFF" w:themeColor="background1"/>
                <w:sz w:val="18"/>
                <w:szCs w:val="18"/>
              </w:rPr>
            </w:pPr>
            <w:r w:rsidRPr="006D04C6">
              <w:rPr>
                <w:b/>
                <w:color w:val="FFFFFF" w:themeColor="background1"/>
                <w:sz w:val="18"/>
                <w:szCs w:val="18"/>
              </w:rPr>
              <w:t>2,903 (77.1%)</w:t>
            </w:r>
          </w:p>
        </w:tc>
        <w:tc>
          <w:tcPr>
            <w:tcW w:w="2778" w:type="dxa"/>
            <w:shd w:val="clear" w:color="auto" w:fill="808080" w:themeFill="background1" w:themeFillShade="80"/>
            <w:hideMark/>
          </w:tcPr>
          <w:p w14:paraId="4BE8322B" w14:textId="77777777" w:rsidR="00CC25E2" w:rsidRPr="006D04C6" w:rsidRDefault="00CC25E2" w:rsidP="00453BCC">
            <w:pPr>
              <w:pStyle w:val="NormalWeb"/>
              <w:jc w:val="center"/>
              <w:rPr>
                <w:b/>
                <w:color w:val="FFFFFF" w:themeColor="background1"/>
                <w:sz w:val="18"/>
                <w:szCs w:val="18"/>
              </w:rPr>
            </w:pPr>
            <w:r w:rsidRPr="006D04C6">
              <w:rPr>
                <w:b/>
                <w:color w:val="FFFFFF" w:themeColor="background1"/>
                <w:sz w:val="18"/>
                <w:szCs w:val="18"/>
              </w:rPr>
              <w:t>407 (82.6%)</w:t>
            </w:r>
          </w:p>
        </w:tc>
        <w:tc>
          <w:tcPr>
            <w:tcW w:w="2778" w:type="dxa"/>
            <w:shd w:val="clear" w:color="auto" w:fill="808080" w:themeFill="background1" w:themeFillShade="80"/>
            <w:hideMark/>
          </w:tcPr>
          <w:p w14:paraId="25D967FA" w14:textId="77777777" w:rsidR="00CC25E2" w:rsidRPr="006D04C6" w:rsidRDefault="00CC25E2" w:rsidP="00453BCC">
            <w:pPr>
              <w:pStyle w:val="NormalWeb"/>
              <w:jc w:val="center"/>
              <w:rPr>
                <w:b/>
                <w:color w:val="FFFFFF" w:themeColor="background1"/>
                <w:sz w:val="18"/>
                <w:szCs w:val="18"/>
              </w:rPr>
            </w:pPr>
            <w:r w:rsidRPr="006D04C6">
              <w:rPr>
                <w:b/>
                <w:color w:val="FFFFFF" w:themeColor="background1"/>
                <w:sz w:val="18"/>
                <w:szCs w:val="18"/>
              </w:rPr>
              <w:t>3,310 (77.7%)</w:t>
            </w:r>
          </w:p>
        </w:tc>
      </w:tr>
      <w:tr w:rsidR="006D04C6" w:rsidRPr="006D04C6" w14:paraId="12F3D0ED" w14:textId="77777777" w:rsidTr="006D04C6">
        <w:tc>
          <w:tcPr>
            <w:tcW w:w="0" w:type="auto"/>
            <w:shd w:val="clear" w:color="auto" w:fill="FFFFFF" w:themeFill="background1"/>
            <w:hideMark/>
          </w:tcPr>
          <w:p w14:paraId="00D17035" w14:textId="77777777" w:rsidR="00CC25E2" w:rsidRPr="006D04C6" w:rsidRDefault="00CC25E2">
            <w:pPr>
              <w:pStyle w:val="NormalWeb"/>
              <w:rPr>
                <w:sz w:val="18"/>
                <w:szCs w:val="18"/>
              </w:rPr>
            </w:pPr>
            <w:r w:rsidRPr="006D04C6">
              <w:rPr>
                <w:sz w:val="18"/>
                <w:szCs w:val="18"/>
              </w:rPr>
              <w:t>Chronic respiratory illness</w:t>
            </w:r>
          </w:p>
        </w:tc>
        <w:tc>
          <w:tcPr>
            <w:tcW w:w="2777" w:type="dxa"/>
            <w:shd w:val="clear" w:color="auto" w:fill="FFFFFF" w:themeFill="background1"/>
            <w:hideMark/>
          </w:tcPr>
          <w:p w14:paraId="7DCA5267" w14:textId="77777777" w:rsidR="00CC25E2" w:rsidRPr="006D04C6" w:rsidRDefault="00CC25E2" w:rsidP="00453BCC">
            <w:pPr>
              <w:pStyle w:val="NormalWeb"/>
              <w:jc w:val="center"/>
              <w:rPr>
                <w:sz w:val="18"/>
                <w:szCs w:val="18"/>
              </w:rPr>
            </w:pPr>
            <w:r w:rsidRPr="006D04C6">
              <w:rPr>
                <w:sz w:val="18"/>
                <w:szCs w:val="18"/>
              </w:rPr>
              <w:t>1,199 (31.8%)</w:t>
            </w:r>
          </w:p>
        </w:tc>
        <w:tc>
          <w:tcPr>
            <w:tcW w:w="2778" w:type="dxa"/>
            <w:shd w:val="clear" w:color="auto" w:fill="FFFFFF" w:themeFill="background1"/>
            <w:hideMark/>
          </w:tcPr>
          <w:p w14:paraId="55C83F9D" w14:textId="77777777" w:rsidR="00CC25E2" w:rsidRPr="006D04C6" w:rsidRDefault="00CC25E2" w:rsidP="00453BCC">
            <w:pPr>
              <w:pStyle w:val="NormalWeb"/>
              <w:jc w:val="center"/>
              <w:rPr>
                <w:sz w:val="18"/>
                <w:szCs w:val="18"/>
              </w:rPr>
            </w:pPr>
            <w:r w:rsidRPr="006D04C6">
              <w:rPr>
                <w:sz w:val="18"/>
                <w:szCs w:val="18"/>
              </w:rPr>
              <w:t>188 (38.1%)</w:t>
            </w:r>
          </w:p>
        </w:tc>
        <w:tc>
          <w:tcPr>
            <w:tcW w:w="2778" w:type="dxa"/>
            <w:shd w:val="clear" w:color="auto" w:fill="FFFFFF" w:themeFill="background1"/>
            <w:hideMark/>
          </w:tcPr>
          <w:p w14:paraId="7E3D5BB3" w14:textId="77777777" w:rsidR="00CC25E2" w:rsidRPr="006D04C6" w:rsidRDefault="00CC25E2" w:rsidP="00453BCC">
            <w:pPr>
              <w:pStyle w:val="NormalWeb"/>
              <w:jc w:val="center"/>
              <w:rPr>
                <w:sz w:val="18"/>
                <w:szCs w:val="18"/>
              </w:rPr>
            </w:pPr>
            <w:r w:rsidRPr="006D04C6">
              <w:rPr>
                <w:sz w:val="18"/>
                <w:szCs w:val="18"/>
              </w:rPr>
              <w:t>1,387 (32.6%)</w:t>
            </w:r>
          </w:p>
        </w:tc>
      </w:tr>
      <w:tr w:rsidR="00CC25E2" w:rsidRPr="00DC2FFA" w14:paraId="6E1B5A3C" w14:textId="77777777" w:rsidTr="00622B38">
        <w:trPr>
          <w:cnfStyle w:val="000000010000" w:firstRow="0" w:lastRow="0" w:firstColumn="0" w:lastColumn="0" w:oddVBand="0" w:evenVBand="0" w:oddHBand="0" w:evenHBand="1" w:firstRowFirstColumn="0" w:firstRowLastColumn="0" w:lastRowFirstColumn="0" w:lastRowLastColumn="0"/>
        </w:trPr>
        <w:tc>
          <w:tcPr>
            <w:tcW w:w="0" w:type="auto"/>
            <w:hideMark/>
          </w:tcPr>
          <w:p w14:paraId="2EA2C0FB" w14:textId="77777777" w:rsidR="00CC25E2" w:rsidRPr="00DC2FFA" w:rsidRDefault="00CC25E2">
            <w:pPr>
              <w:pStyle w:val="NormalWeb"/>
              <w:rPr>
                <w:sz w:val="18"/>
                <w:szCs w:val="18"/>
              </w:rPr>
            </w:pPr>
            <w:r w:rsidRPr="00DC2FFA">
              <w:rPr>
                <w:sz w:val="18"/>
                <w:szCs w:val="18"/>
              </w:rPr>
              <w:t>Diabetes</w:t>
            </w:r>
          </w:p>
        </w:tc>
        <w:tc>
          <w:tcPr>
            <w:tcW w:w="2777" w:type="dxa"/>
            <w:hideMark/>
          </w:tcPr>
          <w:p w14:paraId="34D22F75" w14:textId="77777777" w:rsidR="00CC25E2" w:rsidRPr="00DC2FFA" w:rsidRDefault="00CC25E2" w:rsidP="00453BCC">
            <w:pPr>
              <w:pStyle w:val="NormalWeb"/>
              <w:jc w:val="center"/>
              <w:rPr>
                <w:sz w:val="18"/>
                <w:szCs w:val="18"/>
              </w:rPr>
            </w:pPr>
            <w:r w:rsidRPr="00DC2FFA">
              <w:rPr>
                <w:sz w:val="18"/>
                <w:szCs w:val="18"/>
              </w:rPr>
              <w:t>881 (23.4%)</w:t>
            </w:r>
          </w:p>
        </w:tc>
        <w:tc>
          <w:tcPr>
            <w:tcW w:w="2778" w:type="dxa"/>
            <w:hideMark/>
          </w:tcPr>
          <w:p w14:paraId="7E735FE9" w14:textId="77777777" w:rsidR="00CC25E2" w:rsidRPr="00DC2FFA" w:rsidRDefault="00CC25E2" w:rsidP="00453BCC">
            <w:pPr>
              <w:pStyle w:val="NormalWeb"/>
              <w:jc w:val="center"/>
              <w:rPr>
                <w:sz w:val="18"/>
                <w:szCs w:val="18"/>
              </w:rPr>
            </w:pPr>
            <w:r w:rsidRPr="00DC2FFA">
              <w:rPr>
                <w:sz w:val="18"/>
                <w:szCs w:val="18"/>
              </w:rPr>
              <w:t>121 (24.5%)</w:t>
            </w:r>
          </w:p>
        </w:tc>
        <w:tc>
          <w:tcPr>
            <w:tcW w:w="2778" w:type="dxa"/>
            <w:hideMark/>
          </w:tcPr>
          <w:p w14:paraId="2B3367A1" w14:textId="77777777" w:rsidR="00CC25E2" w:rsidRPr="00DC2FFA" w:rsidRDefault="00CC25E2" w:rsidP="00453BCC">
            <w:pPr>
              <w:pStyle w:val="NormalWeb"/>
              <w:jc w:val="center"/>
              <w:rPr>
                <w:sz w:val="18"/>
                <w:szCs w:val="18"/>
              </w:rPr>
            </w:pPr>
            <w:r w:rsidRPr="00DC2FFA">
              <w:rPr>
                <w:sz w:val="18"/>
                <w:szCs w:val="18"/>
              </w:rPr>
              <w:t>1,002 (23.5%)</w:t>
            </w:r>
          </w:p>
        </w:tc>
      </w:tr>
      <w:tr w:rsidR="00CC25E2" w:rsidRPr="00DC2FFA" w14:paraId="49B4747C" w14:textId="77777777" w:rsidTr="00622B38">
        <w:tc>
          <w:tcPr>
            <w:tcW w:w="0" w:type="auto"/>
            <w:hideMark/>
          </w:tcPr>
          <w:p w14:paraId="2A61AC54" w14:textId="77777777" w:rsidR="00CC25E2" w:rsidRPr="00DC2FFA" w:rsidRDefault="00CC25E2">
            <w:pPr>
              <w:pStyle w:val="NormalWeb"/>
              <w:rPr>
                <w:sz w:val="18"/>
                <w:szCs w:val="18"/>
              </w:rPr>
            </w:pPr>
            <w:r w:rsidRPr="00DC2FFA">
              <w:rPr>
                <w:sz w:val="18"/>
                <w:szCs w:val="18"/>
              </w:rPr>
              <w:t>Chronic liver disease</w:t>
            </w:r>
          </w:p>
        </w:tc>
        <w:tc>
          <w:tcPr>
            <w:tcW w:w="2777" w:type="dxa"/>
            <w:hideMark/>
          </w:tcPr>
          <w:p w14:paraId="001CE82A" w14:textId="77777777" w:rsidR="00CC25E2" w:rsidRPr="00DC2FFA" w:rsidRDefault="00CC25E2" w:rsidP="00453BCC">
            <w:pPr>
              <w:pStyle w:val="NormalWeb"/>
              <w:jc w:val="center"/>
              <w:rPr>
                <w:sz w:val="18"/>
                <w:szCs w:val="18"/>
              </w:rPr>
            </w:pPr>
            <w:r w:rsidRPr="00DC2FFA">
              <w:rPr>
                <w:sz w:val="18"/>
                <w:szCs w:val="18"/>
              </w:rPr>
              <w:t>156 (4.1%)</w:t>
            </w:r>
          </w:p>
        </w:tc>
        <w:tc>
          <w:tcPr>
            <w:tcW w:w="2778" w:type="dxa"/>
            <w:hideMark/>
          </w:tcPr>
          <w:p w14:paraId="700337F8" w14:textId="77777777" w:rsidR="00CC25E2" w:rsidRPr="00DC2FFA" w:rsidRDefault="00CC25E2" w:rsidP="00453BCC">
            <w:pPr>
              <w:pStyle w:val="NormalWeb"/>
              <w:jc w:val="center"/>
              <w:rPr>
                <w:sz w:val="18"/>
                <w:szCs w:val="18"/>
              </w:rPr>
            </w:pPr>
            <w:r w:rsidRPr="00DC2FFA">
              <w:rPr>
                <w:sz w:val="18"/>
                <w:szCs w:val="18"/>
              </w:rPr>
              <w:t>22 (4.5%)</w:t>
            </w:r>
          </w:p>
        </w:tc>
        <w:tc>
          <w:tcPr>
            <w:tcW w:w="2778" w:type="dxa"/>
            <w:hideMark/>
          </w:tcPr>
          <w:p w14:paraId="46872573" w14:textId="77777777" w:rsidR="00CC25E2" w:rsidRPr="00DC2FFA" w:rsidRDefault="00CC25E2" w:rsidP="00453BCC">
            <w:pPr>
              <w:pStyle w:val="NormalWeb"/>
              <w:jc w:val="center"/>
              <w:rPr>
                <w:sz w:val="18"/>
                <w:szCs w:val="18"/>
              </w:rPr>
            </w:pPr>
            <w:r w:rsidRPr="00DC2FFA">
              <w:rPr>
                <w:sz w:val="18"/>
                <w:szCs w:val="18"/>
              </w:rPr>
              <w:t>178 (4.2%)</w:t>
            </w:r>
          </w:p>
        </w:tc>
      </w:tr>
      <w:tr w:rsidR="00CC25E2" w:rsidRPr="00DC2FFA" w14:paraId="59115DEB" w14:textId="77777777" w:rsidTr="00622B38">
        <w:trPr>
          <w:cnfStyle w:val="000000010000" w:firstRow="0" w:lastRow="0" w:firstColumn="0" w:lastColumn="0" w:oddVBand="0" w:evenVBand="0" w:oddHBand="0" w:evenHBand="1" w:firstRowFirstColumn="0" w:firstRowLastColumn="0" w:lastRowFirstColumn="0" w:lastRowLastColumn="0"/>
        </w:trPr>
        <w:tc>
          <w:tcPr>
            <w:tcW w:w="0" w:type="auto"/>
            <w:hideMark/>
          </w:tcPr>
          <w:p w14:paraId="2AE58C5E" w14:textId="77777777" w:rsidR="00CC25E2" w:rsidRPr="00DC2FFA" w:rsidRDefault="00CC25E2">
            <w:pPr>
              <w:pStyle w:val="NormalWeb"/>
              <w:rPr>
                <w:sz w:val="18"/>
                <w:szCs w:val="18"/>
              </w:rPr>
            </w:pPr>
            <w:r w:rsidRPr="00DC2FFA">
              <w:rPr>
                <w:sz w:val="18"/>
                <w:szCs w:val="18"/>
              </w:rPr>
              <w:t>Immunosuppressed</w:t>
            </w:r>
          </w:p>
        </w:tc>
        <w:tc>
          <w:tcPr>
            <w:tcW w:w="2777" w:type="dxa"/>
            <w:hideMark/>
          </w:tcPr>
          <w:p w14:paraId="4346CB63" w14:textId="77777777" w:rsidR="00CC25E2" w:rsidRPr="00DC2FFA" w:rsidRDefault="00CC25E2" w:rsidP="00453BCC">
            <w:pPr>
              <w:pStyle w:val="NormalWeb"/>
              <w:jc w:val="center"/>
              <w:rPr>
                <w:sz w:val="18"/>
                <w:szCs w:val="18"/>
              </w:rPr>
            </w:pPr>
            <w:r w:rsidRPr="00DC2FFA">
              <w:rPr>
                <w:sz w:val="18"/>
                <w:szCs w:val="18"/>
              </w:rPr>
              <w:t>531 (14.1%)</w:t>
            </w:r>
          </w:p>
        </w:tc>
        <w:tc>
          <w:tcPr>
            <w:tcW w:w="2778" w:type="dxa"/>
            <w:hideMark/>
          </w:tcPr>
          <w:p w14:paraId="0DF57B9F" w14:textId="77777777" w:rsidR="00CC25E2" w:rsidRPr="00DC2FFA" w:rsidRDefault="00CC25E2" w:rsidP="00453BCC">
            <w:pPr>
              <w:pStyle w:val="NormalWeb"/>
              <w:jc w:val="center"/>
              <w:rPr>
                <w:sz w:val="18"/>
                <w:szCs w:val="18"/>
              </w:rPr>
            </w:pPr>
            <w:r w:rsidRPr="00DC2FFA">
              <w:rPr>
                <w:sz w:val="18"/>
                <w:szCs w:val="18"/>
              </w:rPr>
              <w:t>64 (13.0%)</w:t>
            </w:r>
          </w:p>
        </w:tc>
        <w:tc>
          <w:tcPr>
            <w:tcW w:w="2778" w:type="dxa"/>
            <w:hideMark/>
          </w:tcPr>
          <w:p w14:paraId="1D943065" w14:textId="77777777" w:rsidR="00CC25E2" w:rsidRPr="00DC2FFA" w:rsidRDefault="00CC25E2" w:rsidP="00453BCC">
            <w:pPr>
              <w:pStyle w:val="NormalWeb"/>
              <w:jc w:val="center"/>
              <w:rPr>
                <w:sz w:val="18"/>
                <w:szCs w:val="18"/>
              </w:rPr>
            </w:pPr>
            <w:r w:rsidRPr="00DC2FFA">
              <w:rPr>
                <w:sz w:val="18"/>
                <w:szCs w:val="18"/>
              </w:rPr>
              <w:t>595 (14.0%)</w:t>
            </w:r>
          </w:p>
        </w:tc>
      </w:tr>
      <w:tr w:rsidR="00CC25E2" w:rsidRPr="00DC2FFA" w14:paraId="44BC5828" w14:textId="77777777" w:rsidTr="00622B38">
        <w:tc>
          <w:tcPr>
            <w:tcW w:w="0" w:type="auto"/>
            <w:hideMark/>
          </w:tcPr>
          <w:p w14:paraId="0A4CE84D" w14:textId="77777777" w:rsidR="00CC25E2" w:rsidRPr="00DC2FFA" w:rsidRDefault="00CC25E2">
            <w:pPr>
              <w:pStyle w:val="NormalWeb"/>
              <w:rPr>
                <w:sz w:val="18"/>
                <w:szCs w:val="18"/>
              </w:rPr>
            </w:pPr>
            <w:r w:rsidRPr="00DC2FFA">
              <w:rPr>
                <w:sz w:val="18"/>
                <w:szCs w:val="18"/>
              </w:rPr>
              <w:t>Malignancy</w:t>
            </w:r>
          </w:p>
        </w:tc>
        <w:tc>
          <w:tcPr>
            <w:tcW w:w="2777" w:type="dxa"/>
            <w:hideMark/>
          </w:tcPr>
          <w:p w14:paraId="437882FA" w14:textId="77777777" w:rsidR="00CC25E2" w:rsidRPr="00DC2FFA" w:rsidRDefault="00CC25E2" w:rsidP="00453BCC">
            <w:pPr>
              <w:pStyle w:val="NormalWeb"/>
              <w:jc w:val="center"/>
              <w:rPr>
                <w:sz w:val="18"/>
                <w:szCs w:val="18"/>
              </w:rPr>
            </w:pPr>
            <w:r w:rsidRPr="00DC2FFA">
              <w:rPr>
                <w:sz w:val="18"/>
                <w:szCs w:val="18"/>
              </w:rPr>
              <w:t>450 (11.9%)</w:t>
            </w:r>
          </w:p>
        </w:tc>
        <w:tc>
          <w:tcPr>
            <w:tcW w:w="2778" w:type="dxa"/>
            <w:hideMark/>
          </w:tcPr>
          <w:p w14:paraId="014582B9" w14:textId="77777777" w:rsidR="00CC25E2" w:rsidRPr="00DC2FFA" w:rsidRDefault="00CC25E2" w:rsidP="00453BCC">
            <w:pPr>
              <w:pStyle w:val="NormalWeb"/>
              <w:jc w:val="center"/>
              <w:rPr>
                <w:sz w:val="18"/>
                <w:szCs w:val="18"/>
              </w:rPr>
            </w:pPr>
            <w:r w:rsidRPr="00DC2FFA">
              <w:rPr>
                <w:sz w:val="18"/>
                <w:szCs w:val="18"/>
              </w:rPr>
              <w:t>46 (9.3%)</w:t>
            </w:r>
          </w:p>
        </w:tc>
        <w:tc>
          <w:tcPr>
            <w:tcW w:w="2778" w:type="dxa"/>
            <w:hideMark/>
          </w:tcPr>
          <w:p w14:paraId="62B494C6" w14:textId="77777777" w:rsidR="00CC25E2" w:rsidRPr="00DC2FFA" w:rsidRDefault="00CC25E2" w:rsidP="00453BCC">
            <w:pPr>
              <w:pStyle w:val="NormalWeb"/>
              <w:jc w:val="center"/>
              <w:rPr>
                <w:sz w:val="18"/>
                <w:szCs w:val="18"/>
              </w:rPr>
            </w:pPr>
            <w:r w:rsidRPr="00DC2FFA">
              <w:rPr>
                <w:sz w:val="18"/>
                <w:szCs w:val="18"/>
              </w:rPr>
              <w:t>496 (11.6%)</w:t>
            </w:r>
          </w:p>
        </w:tc>
      </w:tr>
      <w:tr w:rsidR="00CC25E2" w:rsidRPr="00DC2FFA" w14:paraId="3191D1E1" w14:textId="77777777" w:rsidTr="00622B38">
        <w:trPr>
          <w:cnfStyle w:val="000000010000" w:firstRow="0" w:lastRow="0" w:firstColumn="0" w:lastColumn="0" w:oddVBand="0" w:evenVBand="0" w:oddHBand="0" w:evenHBand="1" w:firstRowFirstColumn="0" w:firstRowLastColumn="0" w:lastRowFirstColumn="0" w:lastRowLastColumn="0"/>
        </w:trPr>
        <w:tc>
          <w:tcPr>
            <w:tcW w:w="0" w:type="auto"/>
            <w:hideMark/>
          </w:tcPr>
          <w:p w14:paraId="088ECEE0" w14:textId="77777777" w:rsidR="00CC25E2" w:rsidRPr="00DC2FFA" w:rsidRDefault="00CC25E2">
            <w:pPr>
              <w:pStyle w:val="NormalWeb"/>
              <w:rPr>
                <w:sz w:val="18"/>
                <w:szCs w:val="18"/>
              </w:rPr>
            </w:pPr>
            <w:r w:rsidRPr="00DC2FFA">
              <w:rPr>
                <w:sz w:val="18"/>
                <w:szCs w:val="18"/>
              </w:rPr>
              <w:t>Chronic cardiac disease</w:t>
            </w:r>
          </w:p>
        </w:tc>
        <w:tc>
          <w:tcPr>
            <w:tcW w:w="2777" w:type="dxa"/>
            <w:hideMark/>
          </w:tcPr>
          <w:p w14:paraId="69A320C5" w14:textId="77777777" w:rsidR="00CC25E2" w:rsidRPr="00DC2FFA" w:rsidRDefault="00CC25E2" w:rsidP="00453BCC">
            <w:pPr>
              <w:pStyle w:val="NormalWeb"/>
              <w:jc w:val="center"/>
              <w:rPr>
                <w:sz w:val="18"/>
                <w:szCs w:val="18"/>
              </w:rPr>
            </w:pPr>
            <w:r w:rsidRPr="00DC2FFA">
              <w:rPr>
                <w:sz w:val="18"/>
                <w:szCs w:val="18"/>
              </w:rPr>
              <w:t>1,408 (37.4%)</w:t>
            </w:r>
          </w:p>
        </w:tc>
        <w:tc>
          <w:tcPr>
            <w:tcW w:w="2778" w:type="dxa"/>
            <w:hideMark/>
          </w:tcPr>
          <w:p w14:paraId="322D04A7" w14:textId="77777777" w:rsidR="00CC25E2" w:rsidRPr="00DC2FFA" w:rsidRDefault="00CC25E2" w:rsidP="00453BCC">
            <w:pPr>
              <w:pStyle w:val="NormalWeb"/>
              <w:jc w:val="center"/>
              <w:rPr>
                <w:sz w:val="18"/>
                <w:szCs w:val="18"/>
              </w:rPr>
            </w:pPr>
            <w:r w:rsidRPr="00DC2FFA">
              <w:rPr>
                <w:sz w:val="18"/>
                <w:szCs w:val="18"/>
              </w:rPr>
              <w:t>170 (34.5%)</w:t>
            </w:r>
          </w:p>
        </w:tc>
        <w:tc>
          <w:tcPr>
            <w:tcW w:w="2778" w:type="dxa"/>
            <w:hideMark/>
          </w:tcPr>
          <w:p w14:paraId="04184167" w14:textId="77777777" w:rsidR="00CC25E2" w:rsidRPr="00DC2FFA" w:rsidRDefault="00CC25E2" w:rsidP="00453BCC">
            <w:pPr>
              <w:pStyle w:val="NormalWeb"/>
              <w:jc w:val="center"/>
              <w:rPr>
                <w:sz w:val="18"/>
                <w:szCs w:val="18"/>
              </w:rPr>
            </w:pPr>
            <w:r w:rsidRPr="00DC2FFA">
              <w:rPr>
                <w:sz w:val="18"/>
                <w:szCs w:val="18"/>
              </w:rPr>
              <w:t>1,578 (37.1%)</w:t>
            </w:r>
          </w:p>
        </w:tc>
      </w:tr>
      <w:tr w:rsidR="00CC25E2" w:rsidRPr="00DC2FFA" w14:paraId="3CBB818E" w14:textId="77777777" w:rsidTr="00622B38">
        <w:tc>
          <w:tcPr>
            <w:tcW w:w="0" w:type="auto"/>
            <w:hideMark/>
          </w:tcPr>
          <w:p w14:paraId="422D66D3" w14:textId="77777777" w:rsidR="00CC25E2" w:rsidRPr="00DC2FFA" w:rsidRDefault="00CC25E2">
            <w:pPr>
              <w:pStyle w:val="NormalWeb"/>
              <w:rPr>
                <w:sz w:val="18"/>
                <w:szCs w:val="18"/>
              </w:rPr>
            </w:pPr>
            <w:r w:rsidRPr="00DC2FFA">
              <w:rPr>
                <w:sz w:val="18"/>
                <w:szCs w:val="18"/>
              </w:rPr>
              <w:t>Obesity</w:t>
            </w:r>
          </w:p>
        </w:tc>
        <w:tc>
          <w:tcPr>
            <w:tcW w:w="2777" w:type="dxa"/>
            <w:hideMark/>
          </w:tcPr>
          <w:p w14:paraId="62CE8E6F" w14:textId="77777777" w:rsidR="00CC25E2" w:rsidRPr="00DC2FFA" w:rsidRDefault="00CC25E2" w:rsidP="00453BCC">
            <w:pPr>
              <w:pStyle w:val="NormalWeb"/>
              <w:jc w:val="center"/>
              <w:rPr>
                <w:sz w:val="18"/>
                <w:szCs w:val="18"/>
              </w:rPr>
            </w:pPr>
            <w:r w:rsidRPr="00DC2FFA">
              <w:rPr>
                <w:sz w:val="18"/>
                <w:szCs w:val="18"/>
              </w:rPr>
              <w:t>356 (9.5%)</w:t>
            </w:r>
          </w:p>
        </w:tc>
        <w:tc>
          <w:tcPr>
            <w:tcW w:w="2778" w:type="dxa"/>
            <w:hideMark/>
          </w:tcPr>
          <w:p w14:paraId="293B13BD" w14:textId="77777777" w:rsidR="00CC25E2" w:rsidRPr="00DC2FFA" w:rsidRDefault="00CC25E2" w:rsidP="00453BCC">
            <w:pPr>
              <w:pStyle w:val="NormalWeb"/>
              <w:jc w:val="center"/>
              <w:rPr>
                <w:sz w:val="18"/>
                <w:szCs w:val="18"/>
              </w:rPr>
            </w:pPr>
            <w:r w:rsidRPr="00DC2FFA">
              <w:rPr>
                <w:sz w:val="18"/>
                <w:szCs w:val="18"/>
              </w:rPr>
              <w:t>77 (15.6%)</w:t>
            </w:r>
          </w:p>
        </w:tc>
        <w:tc>
          <w:tcPr>
            <w:tcW w:w="2778" w:type="dxa"/>
            <w:hideMark/>
          </w:tcPr>
          <w:p w14:paraId="5A710436" w14:textId="77777777" w:rsidR="00CC25E2" w:rsidRPr="00DC2FFA" w:rsidRDefault="00CC25E2" w:rsidP="00453BCC">
            <w:pPr>
              <w:pStyle w:val="NormalWeb"/>
              <w:jc w:val="center"/>
              <w:rPr>
                <w:sz w:val="18"/>
                <w:szCs w:val="18"/>
              </w:rPr>
            </w:pPr>
            <w:r w:rsidRPr="00DC2FFA">
              <w:rPr>
                <w:sz w:val="18"/>
                <w:szCs w:val="18"/>
              </w:rPr>
              <w:t>433 (10.2%)</w:t>
            </w:r>
          </w:p>
        </w:tc>
      </w:tr>
      <w:tr w:rsidR="00CC25E2" w:rsidRPr="00DC2FFA" w14:paraId="6FD4B767" w14:textId="77777777" w:rsidTr="00622B38">
        <w:trPr>
          <w:cnfStyle w:val="000000010000" w:firstRow="0" w:lastRow="0" w:firstColumn="0" w:lastColumn="0" w:oddVBand="0" w:evenVBand="0" w:oddHBand="0" w:evenHBand="1" w:firstRowFirstColumn="0" w:firstRowLastColumn="0" w:lastRowFirstColumn="0" w:lastRowLastColumn="0"/>
        </w:trPr>
        <w:tc>
          <w:tcPr>
            <w:tcW w:w="0" w:type="auto"/>
            <w:hideMark/>
          </w:tcPr>
          <w:p w14:paraId="0065FAAF" w14:textId="77777777" w:rsidR="00CC25E2" w:rsidRPr="00DC2FFA" w:rsidRDefault="00CC25E2">
            <w:pPr>
              <w:pStyle w:val="NormalWeb"/>
              <w:rPr>
                <w:sz w:val="18"/>
                <w:szCs w:val="18"/>
              </w:rPr>
            </w:pPr>
            <w:r w:rsidRPr="00DC2FFA">
              <w:rPr>
                <w:sz w:val="18"/>
                <w:szCs w:val="18"/>
              </w:rPr>
              <w:t>Chronic neurological illness</w:t>
            </w:r>
          </w:p>
        </w:tc>
        <w:tc>
          <w:tcPr>
            <w:tcW w:w="2777" w:type="dxa"/>
            <w:hideMark/>
          </w:tcPr>
          <w:p w14:paraId="634EB3BC" w14:textId="77777777" w:rsidR="00CC25E2" w:rsidRPr="00DC2FFA" w:rsidRDefault="00CC25E2" w:rsidP="00453BCC">
            <w:pPr>
              <w:pStyle w:val="NormalWeb"/>
              <w:jc w:val="center"/>
              <w:rPr>
                <w:sz w:val="18"/>
                <w:szCs w:val="18"/>
              </w:rPr>
            </w:pPr>
            <w:r w:rsidRPr="00DC2FFA">
              <w:rPr>
                <w:sz w:val="18"/>
                <w:szCs w:val="18"/>
              </w:rPr>
              <w:t>717 (19.0%)</w:t>
            </w:r>
          </w:p>
        </w:tc>
        <w:tc>
          <w:tcPr>
            <w:tcW w:w="2778" w:type="dxa"/>
            <w:hideMark/>
          </w:tcPr>
          <w:p w14:paraId="5D521AEC" w14:textId="77777777" w:rsidR="00CC25E2" w:rsidRPr="00DC2FFA" w:rsidRDefault="00CC25E2" w:rsidP="00453BCC">
            <w:pPr>
              <w:pStyle w:val="NormalWeb"/>
              <w:jc w:val="center"/>
              <w:rPr>
                <w:sz w:val="18"/>
                <w:szCs w:val="18"/>
              </w:rPr>
            </w:pPr>
            <w:r w:rsidRPr="00DC2FFA">
              <w:rPr>
                <w:sz w:val="18"/>
                <w:szCs w:val="18"/>
              </w:rPr>
              <w:t>56 (11.4%)</w:t>
            </w:r>
          </w:p>
        </w:tc>
        <w:tc>
          <w:tcPr>
            <w:tcW w:w="2778" w:type="dxa"/>
            <w:hideMark/>
          </w:tcPr>
          <w:p w14:paraId="31DFBFFA" w14:textId="77777777" w:rsidR="00CC25E2" w:rsidRPr="00DC2FFA" w:rsidRDefault="00CC25E2" w:rsidP="00453BCC">
            <w:pPr>
              <w:pStyle w:val="NormalWeb"/>
              <w:jc w:val="center"/>
              <w:rPr>
                <w:sz w:val="18"/>
                <w:szCs w:val="18"/>
              </w:rPr>
            </w:pPr>
            <w:r w:rsidRPr="00DC2FFA">
              <w:rPr>
                <w:sz w:val="18"/>
                <w:szCs w:val="18"/>
              </w:rPr>
              <w:t>773 (18.1%)</w:t>
            </w:r>
          </w:p>
        </w:tc>
      </w:tr>
      <w:tr w:rsidR="00CC25E2" w:rsidRPr="00DC2FFA" w14:paraId="430D75C9" w14:textId="77777777" w:rsidTr="00622B38">
        <w:tc>
          <w:tcPr>
            <w:tcW w:w="0" w:type="auto"/>
            <w:hideMark/>
          </w:tcPr>
          <w:p w14:paraId="4E8CE599" w14:textId="77777777" w:rsidR="00CC25E2" w:rsidRPr="00DC2FFA" w:rsidRDefault="00CC25E2">
            <w:pPr>
              <w:pStyle w:val="NormalWeb"/>
              <w:rPr>
                <w:sz w:val="18"/>
                <w:szCs w:val="18"/>
              </w:rPr>
            </w:pPr>
            <w:r w:rsidRPr="00DC2FFA">
              <w:rPr>
                <w:sz w:val="18"/>
                <w:szCs w:val="18"/>
              </w:rPr>
              <w:t>Chronic renal disease</w:t>
            </w:r>
          </w:p>
        </w:tc>
        <w:tc>
          <w:tcPr>
            <w:tcW w:w="2777" w:type="dxa"/>
            <w:hideMark/>
          </w:tcPr>
          <w:p w14:paraId="0E51101A" w14:textId="77777777" w:rsidR="00CC25E2" w:rsidRPr="00DC2FFA" w:rsidRDefault="00CC25E2" w:rsidP="00453BCC">
            <w:pPr>
              <w:pStyle w:val="NormalWeb"/>
              <w:jc w:val="center"/>
              <w:rPr>
                <w:sz w:val="18"/>
                <w:szCs w:val="18"/>
              </w:rPr>
            </w:pPr>
            <w:r w:rsidRPr="00DC2FFA">
              <w:rPr>
                <w:sz w:val="18"/>
                <w:szCs w:val="18"/>
              </w:rPr>
              <w:t>453 (12.0%)</w:t>
            </w:r>
          </w:p>
        </w:tc>
        <w:tc>
          <w:tcPr>
            <w:tcW w:w="2778" w:type="dxa"/>
            <w:hideMark/>
          </w:tcPr>
          <w:p w14:paraId="56E3700A" w14:textId="77777777" w:rsidR="00CC25E2" w:rsidRPr="00DC2FFA" w:rsidRDefault="00CC25E2" w:rsidP="00453BCC">
            <w:pPr>
              <w:pStyle w:val="NormalWeb"/>
              <w:jc w:val="center"/>
              <w:rPr>
                <w:sz w:val="18"/>
                <w:szCs w:val="18"/>
              </w:rPr>
            </w:pPr>
            <w:r w:rsidRPr="00DC2FFA">
              <w:rPr>
                <w:sz w:val="18"/>
                <w:szCs w:val="18"/>
              </w:rPr>
              <w:t>67 (13.6%)</w:t>
            </w:r>
          </w:p>
        </w:tc>
        <w:tc>
          <w:tcPr>
            <w:tcW w:w="2778" w:type="dxa"/>
            <w:hideMark/>
          </w:tcPr>
          <w:p w14:paraId="6E4E0B1E" w14:textId="77777777" w:rsidR="00CC25E2" w:rsidRPr="00DC2FFA" w:rsidRDefault="00CC25E2" w:rsidP="00453BCC">
            <w:pPr>
              <w:pStyle w:val="NormalWeb"/>
              <w:jc w:val="center"/>
              <w:rPr>
                <w:sz w:val="18"/>
                <w:szCs w:val="18"/>
              </w:rPr>
            </w:pPr>
            <w:r w:rsidRPr="00DC2FFA">
              <w:rPr>
                <w:sz w:val="18"/>
                <w:szCs w:val="18"/>
              </w:rPr>
              <w:t>520 (12.2%)</w:t>
            </w:r>
          </w:p>
        </w:tc>
      </w:tr>
      <w:tr w:rsidR="00CC25E2" w:rsidRPr="00DC2FFA" w14:paraId="21569C3E" w14:textId="77777777" w:rsidTr="00622B38">
        <w:trPr>
          <w:cnfStyle w:val="000000010000" w:firstRow="0" w:lastRow="0" w:firstColumn="0" w:lastColumn="0" w:oddVBand="0" w:evenVBand="0" w:oddHBand="0" w:evenHBand="1" w:firstRowFirstColumn="0" w:firstRowLastColumn="0" w:lastRowFirstColumn="0" w:lastRowLastColumn="0"/>
        </w:trPr>
        <w:tc>
          <w:tcPr>
            <w:tcW w:w="0" w:type="auto"/>
            <w:hideMark/>
          </w:tcPr>
          <w:p w14:paraId="766C6B78" w14:textId="77777777" w:rsidR="00CC25E2" w:rsidRPr="00DC2FFA" w:rsidRDefault="00CC25E2">
            <w:pPr>
              <w:pStyle w:val="NormalWeb"/>
              <w:rPr>
                <w:sz w:val="18"/>
                <w:szCs w:val="18"/>
              </w:rPr>
            </w:pPr>
            <w:r w:rsidRPr="00DC2FFA">
              <w:rPr>
                <w:sz w:val="18"/>
                <w:szCs w:val="18"/>
              </w:rPr>
              <w:t>Nursing home resident</w:t>
            </w:r>
          </w:p>
        </w:tc>
        <w:tc>
          <w:tcPr>
            <w:tcW w:w="2777" w:type="dxa"/>
            <w:hideMark/>
          </w:tcPr>
          <w:p w14:paraId="3863D76D" w14:textId="77777777" w:rsidR="00CC25E2" w:rsidRPr="00DC2FFA" w:rsidRDefault="00CC25E2" w:rsidP="00453BCC">
            <w:pPr>
              <w:pStyle w:val="NormalWeb"/>
              <w:jc w:val="center"/>
              <w:rPr>
                <w:sz w:val="18"/>
                <w:szCs w:val="18"/>
              </w:rPr>
            </w:pPr>
            <w:r w:rsidRPr="00DC2FFA">
              <w:rPr>
                <w:sz w:val="18"/>
                <w:szCs w:val="18"/>
              </w:rPr>
              <w:t>270 (7.2%)</w:t>
            </w:r>
          </w:p>
        </w:tc>
        <w:tc>
          <w:tcPr>
            <w:tcW w:w="2778" w:type="dxa"/>
            <w:hideMark/>
          </w:tcPr>
          <w:p w14:paraId="694C3BC0" w14:textId="77777777" w:rsidR="00CC25E2" w:rsidRPr="00DC2FFA" w:rsidRDefault="00CC25E2" w:rsidP="00453BCC">
            <w:pPr>
              <w:pStyle w:val="NormalWeb"/>
              <w:jc w:val="center"/>
              <w:rPr>
                <w:sz w:val="18"/>
                <w:szCs w:val="18"/>
              </w:rPr>
            </w:pPr>
            <w:r w:rsidRPr="00DC2FFA">
              <w:rPr>
                <w:sz w:val="18"/>
                <w:szCs w:val="18"/>
              </w:rPr>
              <w:t>15 (3.0%)</w:t>
            </w:r>
          </w:p>
        </w:tc>
        <w:tc>
          <w:tcPr>
            <w:tcW w:w="2778" w:type="dxa"/>
            <w:hideMark/>
          </w:tcPr>
          <w:p w14:paraId="2C9D15B5" w14:textId="77777777" w:rsidR="00CC25E2" w:rsidRPr="00DC2FFA" w:rsidRDefault="00CC25E2" w:rsidP="00453BCC">
            <w:pPr>
              <w:pStyle w:val="NormalWeb"/>
              <w:jc w:val="center"/>
              <w:rPr>
                <w:sz w:val="18"/>
                <w:szCs w:val="18"/>
              </w:rPr>
            </w:pPr>
            <w:r w:rsidRPr="00DC2FFA">
              <w:rPr>
                <w:sz w:val="18"/>
                <w:szCs w:val="18"/>
              </w:rPr>
              <w:t>285 (6.7%)</w:t>
            </w:r>
          </w:p>
        </w:tc>
      </w:tr>
      <w:tr w:rsidR="00CC25E2" w:rsidRPr="00DC2FFA" w14:paraId="382A73BE" w14:textId="77777777" w:rsidTr="00622B38">
        <w:tc>
          <w:tcPr>
            <w:tcW w:w="0" w:type="auto"/>
            <w:hideMark/>
          </w:tcPr>
          <w:p w14:paraId="12B4C80C" w14:textId="77777777" w:rsidR="00CC25E2" w:rsidRPr="00DC2FFA" w:rsidRDefault="00CC25E2">
            <w:pPr>
              <w:pStyle w:val="NormalWeb"/>
              <w:rPr>
                <w:sz w:val="18"/>
                <w:szCs w:val="18"/>
              </w:rPr>
            </w:pPr>
            <w:r w:rsidRPr="00DC2FFA">
              <w:rPr>
                <w:sz w:val="18"/>
                <w:szCs w:val="18"/>
              </w:rPr>
              <w:t>Received influenza vaccine</w:t>
            </w:r>
          </w:p>
        </w:tc>
        <w:tc>
          <w:tcPr>
            <w:tcW w:w="2777" w:type="dxa"/>
            <w:hideMark/>
          </w:tcPr>
          <w:p w14:paraId="3C6B3FD0" w14:textId="77777777" w:rsidR="00CC25E2" w:rsidRPr="00DC2FFA" w:rsidRDefault="00CC25E2" w:rsidP="00453BCC">
            <w:pPr>
              <w:pStyle w:val="NormalWeb"/>
              <w:jc w:val="center"/>
              <w:rPr>
                <w:sz w:val="18"/>
                <w:szCs w:val="18"/>
              </w:rPr>
            </w:pPr>
            <w:r w:rsidRPr="00DC2FFA">
              <w:rPr>
                <w:sz w:val="18"/>
                <w:szCs w:val="18"/>
              </w:rPr>
              <w:t>1,395/2,752 (50.7%)</w:t>
            </w:r>
          </w:p>
        </w:tc>
        <w:tc>
          <w:tcPr>
            <w:tcW w:w="2778" w:type="dxa"/>
            <w:hideMark/>
          </w:tcPr>
          <w:p w14:paraId="797BE507" w14:textId="77777777" w:rsidR="00CC25E2" w:rsidRPr="00DC2FFA" w:rsidRDefault="00CC25E2" w:rsidP="00453BCC">
            <w:pPr>
              <w:pStyle w:val="NormalWeb"/>
              <w:jc w:val="center"/>
              <w:rPr>
                <w:sz w:val="18"/>
                <w:szCs w:val="18"/>
              </w:rPr>
            </w:pPr>
            <w:r w:rsidRPr="00DC2FFA">
              <w:rPr>
                <w:sz w:val="18"/>
                <w:szCs w:val="18"/>
              </w:rPr>
              <w:t>136/330 (41.2%)</w:t>
            </w:r>
          </w:p>
        </w:tc>
        <w:tc>
          <w:tcPr>
            <w:tcW w:w="2778" w:type="dxa"/>
            <w:hideMark/>
          </w:tcPr>
          <w:p w14:paraId="210E2EE9" w14:textId="77777777" w:rsidR="00CC25E2" w:rsidRPr="00DC2FFA" w:rsidRDefault="00CC25E2" w:rsidP="00453BCC">
            <w:pPr>
              <w:pStyle w:val="NormalWeb"/>
              <w:jc w:val="center"/>
              <w:rPr>
                <w:sz w:val="18"/>
                <w:szCs w:val="18"/>
              </w:rPr>
            </w:pPr>
            <w:r w:rsidRPr="00DC2FFA">
              <w:rPr>
                <w:sz w:val="18"/>
                <w:szCs w:val="18"/>
              </w:rPr>
              <w:t>1,531/3,082 (49.7%)</w:t>
            </w:r>
          </w:p>
        </w:tc>
      </w:tr>
      <w:tr w:rsidR="00CC25E2" w:rsidRPr="00DC2FFA" w14:paraId="56F6E439" w14:textId="77777777" w:rsidTr="00D04993">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4FA7045B" w14:textId="77777777" w:rsidR="00CC25E2" w:rsidRPr="00DC2FFA" w:rsidRDefault="00CC25E2">
            <w:pPr>
              <w:pStyle w:val="NormalWeb"/>
              <w:rPr>
                <w:b/>
                <w:color w:val="FFFFFF" w:themeColor="background1"/>
                <w:sz w:val="18"/>
                <w:szCs w:val="18"/>
              </w:rPr>
            </w:pPr>
            <w:r w:rsidRPr="00DC2FFA">
              <w:rPr>
                <w:b/>
                <w:color w:val="FFFFFF" w:themeColor="background1"/>
                <w:sz w:val="18"/>
                <w:szCs w:val="18"/>
              </w:rPr>
              <w:t>Influenza subtype</w:t>
            </w:r>
          </w:p>
        </w:tc>
        <w:tc>
          <w:tcPr>
            <w:tcW w:w="2777" w:type="dxa"/>
            <w:shd w:val="clear" w:color="auto" w:fill="808080" w:themeFill="background1" w:themeFillShade="80"/>
            <w:hideMark/>
          </w:tcPr>
          <w:p w14:paraId="555F0A13" w14:textId="77777777" w:rsidR="00CC25E2" w:rsidRPr="00DC2FFA" w:rsidRDefault="00CC25E2" w:rsidP="00453BCC">
            <w:pPr>
              <w:jc w:val="center"/>
              <w:rPr>
                <w:b/>
                <w:sz w:val="18"/>
                <w:szCs w:val="18"/>
              </w:rPr>
            </w:pPr>
          </w:p>
        </w:tc>
        <w:tc>
          <w:tcPr>
            <w:tcW w:w="2778" w:type="dxa"/>
            <w:shd w:val="clear" w:color="auto" w:fill="808080" w:themeFill="background1" w:themeFillShade="80"/>
            <w:hideMark/>
          </w:tcPr>
          <w:p w14:paraId="3A124DC6" w14:textId="77777777" w:rsidR="00CC25E2" w:rsidRPr="00DC2FFA" w:rsidRDefault="00CC25E2" w:rsidP="00453BCC">
            <w:pPr>
              <w:jc w:val="center"/>
              <w:rPr>
                <w:rFonts w:eastAsia="Times New Roman"/>
                <w:b/>
                <w:sz w:val="18"/>
                <w:szCs w:val="18"/>
              </w:rPr>
            </w:pPr>
          </w:p>
        </w:tc>
        <w:tc>
          <w:tcPr>
            <w:tcW w:w="2778" w:type="dxa"/>
            <w:shd w:val="clear" w:color="auto" w:fill="808080" w:themeFill="background1" w:themeFillShade="80"/>
            <w:hideMark/>
          </w:tcPr>
          <w:p w14:paraId="6B3E7AB8" w14:textId="77777777" w:rsidR="00CC25E2" w:rsidRPr="00DC2FFA" w:rsidRDefault="00CC25E2" w:rsidP="00453BCC">
            <w:pPr>
              <w:jc w:val="center"/>
              <w:rPr>
                <w:rFonts w:eastAsia="Times New Roman"/>
                <w:b/>
                <w:sz w:val="18"/>
                <w:szCs w:val="18"/>
              </w:rPr>
            </w:pPr>
          </w:p>
        </w:tc>
      </w:tr>
      <w:tr w:rsidR="00CC25E2" w:rsidRPr="00DC2FFA" w14:paraId="4DE5F125" w14:textId="77777777" w:rsidTr="00622B38">
        <w:tc>
          <w:tcPr>
            <w:tcW w:w="0" w:type="auto"/>
            <w:hideMark/>
          </w:tcPr>
          <w:p w14:paraId="589E3074" w14:textId="77777777" w:rsidR="00CC25E2" w:rsidRPr="00DC2FFA" w:rsidRDefault="00CC25E2">
            <w:pPr>
              <w:pStyle w:val="NormalWeb"/>
              <w:rPr>
                <w:sz w:val="18"/>
                <w:szCs w:val="18"/>
              </w:rPr>
            </w:pPr>
            <w:r w:rsidRPr="00DC2FFA">
              <w:rPr>
                <w:sz w:val="18"/>
                <w:szCs w:val="18"/>
              </w:rPr>
              <w:t>A/H1</w:t>
            </w:r>
          </w:p>
        </w:tc>
        <w:tc>
          <w:tcPr>
            <w:tcW w:w="2777" w:type="dxa"/>
            <w:hideMark/>
          </w:tcPr>
          <w:p w14:paraId="47B5B280" w14:textId="77777777" w:rsidR="00CC25E2" w:rsidRPr="00DC2FFA" w:rsidRDefault="00CC25E2" w:rsidP="00453BCC">
            <w:pPr>
              <w:pStyle w:val="NormalWeb"/>
              <w:jc w:val="center"/>
              <w:rPr>
                <w:sz w:val="18"/>
                <w:szCs w:val="18"/>
              </w:rPr>
            </w:pPr>
            <w:r w:rsidRPr="00DC2FFA">
              <w:rPr>
                <w:sz w:val="18"/>
                <w:szCs w:val="18"/>
              </w:rPr>
              <w:t>152 (4.0%)</w:t>
            </w:r>
          </w:p>
        </w:tc>
        <w:tc>
          <w:tcPr>
            <w:tcW w:w="2778" w:type="dxa"/>
            <w:hideMark/>
          </w:tcPr>
          <w:p w14:paraId="208DA29B" w14:textId="77777777" w:rsidR="00CC25E2" w:rsidRPr="00DC2FFA" w:rsidRDefault="00CC25E2" w:rsidP="00453BCC">
            <w:pPr>
              <w:pStyle w:val="NormalWeb"/>
              <w:jc w:val="center"/>
              <w:rPr>
                <w:sz w:val="18"/>
                <w:szCs w:val="18"/>
              </w:rPr>
            </w:pPr>
            <w:r w:rsidRPr="00DC2FFA">
              <w:rPr>
                <w:sz w:val="18"/>
                <w:szCs w:val="18"/>
              </w:rPr>
              <w:t>31 (6.3%)</w:t>
            </w:r>
          </w:p>
        </w:tc>
        <w:tc>
          <w:tcPr>
            <w:tcW w:w="2778" w:type="dxa"/>
            <w:hideMark/>
          </w:tcPr>
          <w:p w14:paraId="74A3E06F" w14:textId="77777777" w:rsidR="00CC25E2" w:rsidRPr="00DC2FFA" w:rsidRDefault="00CC25E2" w:rsidP="00453BCC">
            <w:pPr>
              <w:pStyle w:val="NormalWeb"/>
              <w:jc w:val="center"/>
              <w:rPr>
                <w:sz w:val="18"/>
                <w:szCs w:val="18"/>
              </w:rPr>
            </w:pPr>
            <w:r w:rsidRPr="00DC2FFA">
              <w:rPr>
                <w:sz w:val="18"/>
                <w:szCs w:val="18"/>
              </w:rPr>
              <w:t>183 (4.3%)</w:t>
            </w:r>
          </w:p>
        </w:tc>
      </w:tr>
      <w:tr w:rsidR="00CC25E2" w:rsidRPr="00DC2FFA" w14:paraId="4DDDA50F" w14:textId="77777777" w:rsidTr="00622B38">
        <w:trPr>
          <w:cnfStyle w:val="000000010000" w:firstRow="0" w:lastRow="0" w:firstColumn="0" w:lastColumn="0" w:oddVBand="0" w:evenVBand="0" w:oddHBand="0" w:evenHBand="1" w:firstRowFirstColumn="0" w:firstRowLastColumn="0" w:lastRowFirstColumn="0" w:lastRowLastColumn="0"/>
        </w:trPr>
        <w:tc>
          <w:tcPr>
            <w:tcW w:w="0" w:type="auto"/>
            <w:hideMark/>
          </w:tcPr>
          <w:p w14:paraId="0960E4CC" w14:textId="77777777" w:rsidR="00CC25E2" w:rsidRPr="00DC2FFA" w:rsidRDefault="00CC25E2">
            <w:pPr>
              <w:pStyle w:val="NormalWeb"/>
              <w:rPr>
                <w:sz w:val="18"/>
                <w:szCs w:val="18"/>
              </w:rPr>
            </w:pPr>
            <w:r w:rsidRPr="00DC2FFA">
              <w:rPr>
                <w:sz w:val="18"/>
                <w:szCs w:val="18"/>
              </w:rPr>
              <w:t>A/H3</w:t>
            </w:r>
          </w:p>
        </w:tc>
        <w:tc>
          <w:tcPr>
            <w:tcW w:w="2777" w:type="dxa"/>
            <w:hideMark/>
          </w:tcPr>
          <w:p w14:paraId="65361D1B" w14:textId="77777777" w:rsidR="00CC25E2" w:rsidRPr="00DC2FFA" w:rsidRDefault="00CC25E2" w:rsidP="00453BCC">
            <w:pPr>
              <w:pStyle w:val="NormalWeb"/>
              <w:jc w:val="center"/>
              <w:rPr>
                <w:sz w:val="18"/>
                <w:szCs w:val="18"/>
              </w:rPr>
            </w:pPr>
            <w:r w:rsidRPr="00DC2FFA">
              <w:rPr>
                <w:sz w:val="18"/>
                <w:szCs w:val="18"/>
              </w:rPr>
              <w:t>486 (12.9%)</w:t>
            </w:r>
          </w:p>
        </w:tc>
        <w:tc>
          <w:tcPr>
            <w:tcW w:w="2778" w:type="dxa"/>
            <w:hideMark/>
          </w:tcPr>
          <w:p w14:paraId="68077B15" w14:textId="77777777" w:rsidR="00CC25E2" w:rsidRPr="00DC2FFA" w:rsidRDefault="00CC25E2" w:rsidP="00453BCC">
            <w:pPr>
              <w:pStyle w:val="NormalWeb"/>
              <w:jc w:val="center"/>
              <w:rPr>
                <w:sz w:val="18"/>
                <w:szCs w:val="18"/>
              </w:rPr>
            </w:pPr>
            <w:r w:rsidRPr="00DC2FFA">
              <w:rPr>
                <w:sz w:val="18"/>
                <w:szCs w:val="18"/>
              </w:rPr>
              <w:t>46 (9.3%)</w:t>
            </w:r>
          </w:p>
        </w:tc>
        <w:tc>
          <w:tcPr>
            <w:tcW w:w="2778" w:type="dxa"/>
            <w:hideMark/>
          </w:tcPr>
          <w:p w14:paraId="0209D283" w14:textId="77777777" w:rsidR="00CC25E2" w:rsidRPr="00DC2FFA" w:rsidRDefault="00CC25E2" w:rsidP="00453BCC">
            <w:pPr>
              <w:pStyle w:val="NormalWeb"/>
              <w:jc w:val="center"/>
              <w:rPr>
                <w:sz w:val="18"/>
                <w:szCs w:val="18"/>
              </w:rPr>
            </w:pPr>
            <w:r w:rsidRPr="00DC2FFA">
              <w:rPr>
                <w:sz w:val="18"/>
                <w:szCs w:val="18"/>
              </w:rPr>
              <w:t>532 (12.5%)</w:t>
            </w:r>
          </w:p>
        </w:tc>
      </w:tr>
      <w:tr w:rsidR="00CC25E2" w:rsidRPr="00DC2FFA" w14:paraId="375FCAA8" w14:textId="77777777" w:rsidTr="00622B38">
        <w:tc>
          <w:tcPr>
            <w:tcW w:w="0" w:type="auto"/>
            <w:hideMark/>
          </w:tcPr>
          <w:p w14:paraId="4B121681" w14:textId="77777777" w:rsidR="00CC25E2" w:rsidRPr="00DC2FFA" w:rsidRDefault="00CC25E2">
            <w:pPr>
              <w:pStyle w:val="NormalWeb"/>
              <w:rPr>
                <w:sz w:val="18"/>
                <w:szCs w:val="18"/>
              </w:rPr>
            </w:pPr>
            <w:r w:rsidRPr="00DC2FFA">
              <w:rPr>
                <w:sz w:val="18"/>
                <w:szCs w:val="18"/>
              </w:rPr>
              <w:t>A/</w:t>
            </w:r>
            <w:proofErr w:type="spellStart"/>
            <w:r w:rsidRPr="00DC2FFA">
              <w:rPr>
                <w:sz w:val="18"/>
                <w:szCs w:val="18"/>
              </w:rPr>
              <w:t>unk</w:t>
            </w:r>
            <w:proofErr w:type="spellEnd"/>
          </w:p>
        </w:tc>
        <w:tc>
          <w:tcPr>
            <w:tcW w:w="2777" w:type="dxa"/>
            <w:hideMark/>
          </w:tcPr>
          <w:p w14:paraId="0FF62C7B" w14:textId="77777777" w:rsidR="00CC25E2" w:rsidRPr="00DC2FFA" w:rsidRDefault="00CC25E2" w:rsidP="00453BCC">
            <w:pPr>
              <w:pStyle w:val="NormalWeb"/>
              <w:jc w:val="center"/>
              <w:rPr>
                <w:sz w:val="18"/>
                <w:szCs w:val="18"/>
              </w:rPr>
            </w:pPr>
            <w:r w:rsidRPr="00DC2FFA">
              <w:rPr>
                <w:sz w:val="18"/>
                <w:szCs w:val="18"/>
              </w:rPr>
              <w:t>1,964 (52.2%)</w:t>
            </w:r>
          </w:p>
        </w:tc>
        <w:tc>
          <w:tcPr>
            <w:tcW w:w="2778" w:type="dxa"/>
            <w:hideMark/>
          </w:tcPr>
          <w:p w14:paraId="72152773" w14:textId="77777777" w:rsidR="00CC25E2" w:rsidRPr="00DC2FFA" w:rsidRDefault="00CC25E2" w:rsidP="00453BCC">
            <w:pPr>
              <w:pStyle w:val="NormalWeb"/>
              <w:jc w:val="center"/>
              <w:rPr>
                <w:sz w:val="18"/>
                <w:szCs w:val="18"/>
              </w:rPr>
            </w:pPr>
            <w:r w:rsidRPr="00DC2FFA">
              <w:rPr>
                <w:sz w:val="18"/>
                <w:szCs w:val="18"/>
              </w:rPr>
              <w:t>270 (54.8%)</w:t>
            </w:r>
          </w:p>
        </w:tc>
        <w:tc>
          <w:tcPr>
            <w:tcW w:w="2778" w:type="dxa"/>
            <w:hideMark/>
          </w:tcPr>
          <w:p w14:paraId="30974C88" w14:textId="77777777" w:rsidR="00CC25E2" w:rsidRPr="00DC2FFA" w:rsidRDefault="00CC25E2" w:rsidP="00453BCC">
            <w:pPr>
              <w:pStyle w:val="NormalWeb"/>
              <w:jc w:val="center"/>
              <w:rPr>
                <w:sz w:val="18"/>
                <w:szCs w:val="18"/>
              </w:rPr>
            </w:pPr>
            <w:r w:rsidRPr="00DC2FFA">
              <w:rPr>
                <w:sz w:val="18"/>
                <w:szCs w:val="18"/>
              </w:rPr>
              <w:t>2,234 (52.5%)</w:t>
            </w:r>
          </w:p>
        </w:tc>
      </w:tr>
      <w:tr w:rsidR="00CC25E2" w:rsidRPr="00DC2FFA" w14:paraId="3A24FFF0" w14:textId="77777777" w:rsidTr="00622B38">
        <w:trPr>
          <w:cnfStyle w:val="000000010000" w:firstRow="0" w:lastRow="0" w:firstColumn="0" w:lastColumn="0" w:oddVBand="0" w:evenVBand="0" w:oddHBand="0" w:evenHBand="1" w:firstRowFirstColumn="0" w:firstRowLastColumn="0" w:lastRowFirstColumn="0" w:lastRowLastColumn="0"/>
        </w:trPr>
        <w:tc>
          <w:tcPr>
            <w:tcW w:w="0" w:type="auto"/>
            <w:hideMark/>
          </w:tcPr>
          <w:p w14:paraId="70EE7348" w14:textId="77777777" w:rsidR="00CC25E2" w:rsidRPr="00DC2FFA" w:rsidRDefault="00CC25E2">
            <w:pPr>
              <w:pStyle w:val="NormalWeb"/>
              <w:rPr>
                <w:sz w:val="18"/>
                <w:szCs w:val="18"/>
              </w:rPr>
            </w:pPr>
            <w:r w:rsidRPr="00DC2FFA">
              <w:rPr>
                <w:sz w:val="18"/>
                <w:szCs w:val="18"/>
              </w:rPr>
              <w:t>B</w:t>
            </w:r>
          </w:p>
        </w:tc>
        <w:tc>
          <w:tcPr>
            <w:tcW w:w="2777" w:type="dxa"/>
            <w:hideMark/>
          </w:tcPr>
          <w:p w14:paraId="06C992B6" w14:textId="77777777" w:rsidR="00CC25E2" w:rsidRPr="00DC2FFA" w:rsidRDefault="00CC25E2" w:rsidP="00453BCC">
            <w:pPr>
              <w:pStyle w:val="NormalWeb"/>
              <w:jc w:val="center"/>
              <w:rPr>
                <w:sz w:val="18"/>
                <w:szCs w:val="18"/>
              </w:rPr>
            </w:pPr>
            <w:r w:rsidRPr="00DC2FFA">
              <w:rPr>
                <w:sz w:val="18"/>
                <w:szCs w:val="18"/>
              </w:rPr>
              <w:t>1,164 (30.9%)</w:t>
            </w:r>
          </w:p>
        </w:tc>
        <w:tc>
          <w:tcPr>
            <w:tcW w:w="2778" w:type="dxa"/>
            <w:hideMark/>
          </w:tcPr>
          <w:p w14:paraId="7E0E05D6" w14:textId="77777777" w:rsidR="00CC25E2" w:rsidRPr="00DC2FFA" w:rsidRDefault="00CC25E2" w:rsidP="00453BCC">
            <w:pPr>
              <w:pStyle w:val="NormalWeb"/>
              <w:jc w:val="center"/>
              <w:rPr>
                <w:sz w:val="18"/>
                <w:szCs w:val="18"/>
              </w:rPr>
            </w:pPr>
            <w:r w:rsidRPr="00DC2FFA">
              <w:rPr>
                <w:sz w:val="18"/>
                <w:szCs w:val="18"/>
              </w:rPr>
              <w:t>146 (29.6%)</w:t>
            </w:r>
          </w:p>
        </w:tc>
        <w:tc>
          <w:tcPr>
            <w:tcW w:w="2778" w:type="dxa"/>
            <w:hideMark/>
          </w:tcPr>
          <w:p w14:paraId="7B02EC02" w14:textId="77777777" w:rsidR="00CC25E2" w:rsidRPr="00DC2FFA" w:rsidRDefault="00CC25E2" w:rsidP="00453BCC">
            <w:pPr>
              <w:pStyle w:val="NormalWeb"/>
              <w:jc w:val="center"/>
              <w:rPr>
                <w:sz w:val="18"/>
                <w:szCs w:val="18"/>
              </w:rPr>
            </w:pPr>
            <w:r w:rsidRPr="00DC2FFA">
              <w:rPr>
                <w:sz w:val="18"/>
                <w:szCs w:val="18"/>
              </w:rPr>
              <w:t>1,310 (30.8%)</w:t>
            </w:r>
          </w:p>
        </w:tc>
      </w:tr>
      <w:tr w:rsidR="006D04C6" w:rsidRPr="006D04C6" w14:paraId="7AAC5BCE" w14:textId="77777777" w:rsidTr="006D04C6">
        <w:tc>
          <w:tcPr>
            <w:tcW w:w="0" w:type="auto"/>
            <w:shd w:val="clear" w:color="auto" w:fill="808080" w:themeFill="background1" w:themeFillShade="80"/>
            <w:hideMark/>
          </w:tcPr>
          <w:p w14:paraId="387B73BA" w14:textId="77777777" w:rsidR="00CC25E2" w:rsidRPr="006D04C6" w:rsidRDefault="00CC25E2">
            <w:pPr>
              <w:pStyle w:val="NormalWeb"/>
              <w:rPr>
                <w:b/>
                <w:color w:val="FFFFFF" w:themeColor="background1"/>
                <w:sz w:val="18"/>
                <w:szCs w:val="18"/>
              </w:rPr>
            </w:pPr>
            <w:r w:rsidRPr="006D04C6">
              <w:rPr>
                <w:b/>
                <w:color w:val="FFFFFF" w:themeColor="background1"/>
                <w:sz w:val="18"/>
                <w:szCs w:val="18"/>
              </w:rPr>
              <w:t>In hospital mortality</w:t>
            </w:r>
          </w:p>
        </w:tc>
        <w:tc>
          <w:tcPr>
            <w:tcW w:w="2777" w:type="dxa"/>
            <w:shd w:val="clear" w:color="auto" w:fill="808080" w:themeFill="background1" w:themeFillShade="80"/>
            <w:hideMark/>
          </w:tcPr>
          <w:p w14:paraId="731382BB" w14:textId="77777777" w:rsidR="00CC25E2" w:rsidRPr="006D04C6" w:rsidRDefault="00CC25E2" w:rsidP="00453BCC">
            <w:pPr>
              <w:pStyle w:val="NormalWeb"/>
              <w:jc w:val="center"/>
              <w:rPr>
                <w:b/>
                <w:color w:val="FFFFFF" w:themeColor="background1"/>
                <w:sz w:val="18"/>
                <w:szCs w:val="18"/>
              </w:rPr>
            </w:pPr>
            <w:r w:rsidRPr="006D04C6">
              <w:rPr>
                <w:b/>
                <w:color w:val="FFFFFF" w:themeColor="background1"/>
                <w:sz w:val="18"/>
                <w:szCs w:val="18"/>
              </w:rPr>
              <w:t>96/3,752 (2.6%)</w:t>
            </w:r>
          </w:p>
        </w:tc>
        <w:tc>
          <w:tcPr>
            <w:tcW w:w="2778" w:type="dxa"/>
            <w:shd w:val="clear" w:color="auto" w:fill="808080" w:themeFill="background1" w:themeFillShade="80"/>
            <w:hideMark/>
          </w:tcPr>
          <w:p w14:paraId="4E8B29CF" w14:textId="77777777" w:rsidR="00CC25E2" w:rsidRPr="006D04C6" w:rsidRDefault="00CC25E2" w:rsidP="00453BCC">
            <w:pPr>
              <w:pStyle w:val="NormalWeb"/>
              <w:jc w:val="center"/>
              <w:rPr>
                <w:b/>
                <w:color w:val="FFFFFF" w:themeColor="background1"/>
                <w:sz w:val="18"/>
                <w:szCs w:val="18"/>
              </w:rPr>
            </w:pPr>
            <w:r w:rsidRPr="006D04C6">
              <w:rPr>
                <w:b/>
                <w:color w:val="FFFFFF" w:themeColor="background1"/>
                <w:sz w:val="18"/>
                <w:szCs w:val="18"/>
              </w:rPr>
              <w:t>59/484 (12.2%)</w:t>
            </w:r>
          </w:p>
        </w:tc>
        <w:tc>
          <w:tcPr>
            <w:tcW w:w="2778" w:type="dxa"/>
            <w:shd w:val="clear" w:color="auto" w:fill="808080" w:themeFill="background1" w:themeFillShade="80"/>
            <w:hideMark/>
          </w:tcPr>
          <w:p w14:paraId="4BCFB700" w14:textId="77777777" w:rsidR="00CC25E2" w:rsidRPr="006D04C6" w:rsidRDefault="00CC25E2" w:rsidP="00453BCC">
            <w:pPr>
              <w:pStyle w:val="NormalWeb"/>
              <w:jc w:val="center"/>
              <w:rPr>
                <w:b/>
                <w:color w:val="FFFFFF" w:themeColor="background1"/>
                <w:sz w:val="18"/>
                <w:szCs w:val="18"/>
              </w:rPr>
            </w:pPr>
            <w:r w:rsidRPr="006D04C6">
              <w:rPr>
                <w:b/>
                <w:color w:val="FFFFFF" w:themeColor="background1"/>
                <w:sz w:val="18"/>
                <w:szCs w:val="18"/>
              </w:rPr>
              <w:t>155/4,236 (3.7%)</w:t>
            </w:r>
          </w:p>
        </w:tc>
      </w:tr>
    </w:tbl>
    <w:p w14:paraId="414AE1C0" w14:textId="77777777" w:rsidR="00CC25E2" w:rsidRPr="007C3CF7" w:rsidRDefault="00CC25E2" w:rsidP="007C3CF7">
      <w:pPr>
        <w:pStyle w:val="Heading2"/>
      </w:pPr>
      <w:r w:rsidRPr="007C3CF7">
        <w:t>Incidence of hospital admissions with influenza</w:t>
      </w:r>
    </w:p>
    <w:p w14:paraId="70C35C96" w14:textId="77777777" w:rsidR="00CC25E2" w:rsidRDefault="00CC25E2" w:rsidP="007C3CF7">
      <w:r>
        <w:t>Overall, the peak incidence of admissions with confirmed influenza was 5.9 per 100 hospital beds (Figure 2; in epidemiological week 35), but varied from a high of 14.5 per 100 hospital beds at the Royal Hobart Hospital to a low of 2.4 per 100 hospital beds at Royal Perth Hospital (Figure 3).</w:t>
      </w:r>
    </w:p>
    <w:p w14:paraId="11C3DE88" w14:textId="77777777" w:rsidR="00275208" w:rsidRDefault="00275208">
      <w:pPr>
        <w:rPr>
          <w:b/>
        </w:rPr>
        <w:sectPr w:rsidR="0027520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14:paraId="223CBA96" w14:textId="77777777" w:rsidR="00CC25E2" w:rsidRDefault="00CC25E2" w:rsidP="00275208">
      <w:pPr>
        <w:pStyle w:val="CDIFigures"/>
      </w:pPr>
      <w:r>
        <w:lastRenderedPageBreak/>
        <w:t>Figure 2: Incidence of confirmed influenza (per 100 hospital beds) by week</w:t>
      </w:r>
    </w:p>
    <w:p w14:paraId="0ECEC24B" w14:textId="77777777" w:rsidR="00CC25E2" w:rsidRDefault="00CC25E2">
      <w:pPr>
        <w:pStyle w:val="NormalWeb"/>
      </w:pPr>
      <w:r>
        <w:rPr>
          <w:noProof/>
        </w:rPr>
        <w:drawing>
          <wp:inline distT="0" distB="0" distL="0" distR="0" wp14:anchorId="545BA031">
            <wp:extent cx="9162031" cy="5972861"/>
            <wp:effectExtent l="0" t="0" r="1270" b="8890"/>
            <wp:docPr id="2" name="Picture 2" descr="Figure 2: This graph shows the rate of cases at the sentinel hospitals, expressed per 100 hospital beds, by week. It shows the timing and peak of the influenza season (20 cases per 100 hospital beds in we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This graph shows the rate of cases at the sentinel hospitals, expressed per 100 hospital beds, by week. It shows the timing and peak of the influenza season (20 cases per 100 hospital beds in week 3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168824" cy="5977290"/>
                    </a:xfrm>
                    <a:prstGeom prst="rect">
                      <a:avLst/>
                    </a:prstGeom>
                  </pic:spPr>
                </pic:pic>
              </a:graphicData>
            </a:graphic>
          </wp:inline>
        </w:drawing>
      </w:r>
    </w:p>
    <w:p w14:paraId="2D007AC2" w14:textId="77777777" w:rsidR="00C172D0" w:rsidRDefault="00C172D0" w:rsidP="00136A33">
      <w:pPr>
        <w:pStyle w:val="NormalWeb"/>
        <w:sectPr w:rsidR="00C172D0" w:rsidSect="00275208">
          <w:pgSz w:w="16838" w:h="11906" w:orient="landscape"/>
          <w:pgMar w:top="720" w:right="720" w:bottom="720" w:left="1134" w:header="709" w:footer="284" w:gutter="0"/>
          <w:cols w:space="708"/>
          <w:titlePg/>
          <w:docGrid w:linePitch="360"/>
        </w:sectPr>
      </w:pPr>
    </w:p>
    <w:p w14:paraId="06723135" w14:textId="77777777" w:rsidR="00CC25E2" w:rsidRDefault="00CC25E2" w:rsidP="007C3CF7">
      <w:pPr>
        <w:pStyle w:val="CDIFigures"/>
      </w:pPr>
      <w:r>
        <w:lastRenderedPageBreak/>
        <w:t>Figure 3: Peak incidence of confirmed influenza (per 100 hospital beds per week) by hospital</w:t>
      </w:r>
    </w:p>
    <w:p w14:paraId="65D671BA" w14:textId="77777777" w:rsidR="00D24F69" w:rsidRDefault="00CC25E2" w:rsidP="00D24F69">
      <w:pPr>
        <w:pStyle w:val="NormalWeb"/>
      </w:pPr>
      <w:r>
        <w:rPr>
          <w:noProof/>
        </w:rPr>
        <w:drawing>
          <wp:inline distT="0" distB="0" distL="0" distR="0" wp14:anchorId="5A1D6A24">
            <wp:extent cx="6660032" cy="4334834"/>
            <wp:effectExtent l="0" t="0" r="7620" b="8890"/>
            <wp:docPr id="3" name="Picture 3" descr="Figure 3: This graph compares the peak number of cases per 100 hospital beds at each sentinel site. It shows that after adjusting for hospital size, Royal Hobart (TAS), Alice Springs Hospital (NT), Westmead Hospital (NSW). Cairns Base Hospital (QLD) and the Royal Melbourne Hospital (VIC) had very high peak influenza activity (&gt;10 cases per 100 hospital beds per week). In contrast, the two WA hospitals (Princess Margaret and Royal Perth) and Princess Alexandria Hospital (QLD) had lower peak influenza activity (&lt;4 cases per 100 hospital beds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This graph compares the peak number of cases per 100 hospital beds at each sentinel site. It shows that after adjusting for hospital size, Royal Hobart (TAS), Alice Springs Hospital (NT), Westmead Hospital (NSW). Cairns Base Hospital (QLD) and the Royal Melbourne Hospital (VIC) had very high peak influenza activity (&gt;10 cases per 100 hospital beds per week). In contrast, the two WA hospitals (Princess Margaret and Royal Perth) and Princess Alexandria Hospital (QLD) had lower peak influenza activity (&lt;4 cases per 100 hospital beds per week)"/>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668054" cy="4340055"/>
                    </a:xfrm>
                    <a:prstGeom prst="rect">
                      <a:avLst/>
                    </a:prstGeom>
                  </pic:spPr>
                </pic:pic>
              </a:graphicData>
            </a:graphic>
          </wp:inline>
        </w:drawing>
      </w:r>
    </w:p>
    <w:tbl>
      <w:tblPr>
        <w:tblStyle w:val="CDI-StandardTable"/>
        <w:tblW w:w="0" w:type="auto"/>
        <w:tblBorders>
          <w:insideV w:val="single" w:sz="4" w:space="0" w:color="auto"/>
        </w:tblBorders>
        <w:tblCellMar>
          <w:top w:w="57" w:type="dxa"/>
          <w:left w:w="57" w:type="dxa"/>
          <w:bottom w:w="57" w:type="dxa"/>
          <w:right w:w="57" w:type="dxa"/>
        </w:tblCellMar>
        <w:tblLook w:val="04A0" w:firstRow="1" w:lastRow="0" w:firstColumn="1" w:lastColumn="0" w:noHBand="0" w:noVBand="1"/>
        <w:tblCaption w:val="graph legend"/>
      </w:tblPr>
      <w:tblGrid>
        <w:gridCol w:w="2268"/>
        <w:gridCol w:w="2835"/>
      </w:tblGrid>
      <w:tr w:rsidR="00B60C6C" w:rsidRPr="00B60C6C" w14:paraId="5D588C53" w14:textId="77777777" w:rsidTr="00B4638A">
        <w:trPr>
          <w:cnfStyle w:val="100000000000" w:firstRow="1" w:lastRow="0" w:firstColumn="0" w:lastColumn="0" w:oddVBand="0" w:evenVBand="0" w:oddHBand="0" w:evenHBand="0" w:firstRowFirstColumn="0" w:firstRowLastColumn="0" w:lastRowFirstColumn="0" w:lastRowLastColumn="0"/>
          <w:tblHeader/>
        </w:trPr>
        <w:tc>
          <w:tcPr>
            <w:tcW w:w="2268" w:type="dxa"/>
          </w:tcPr>
          <w:p w14:paraId="6ED5E49A" w14:textId="77777777" w:rsidR="00B60C6C" w:rsidRPr="00B60C6C" w:rsidRDefault="00B60C6C" w:rsidP="00AE2916">
            <w:pPr>
              <w:pStyle w:val="CDIfootnotes"/>
              <w:spacing w:before="0" w:beforeAutospacing="0" w:after="0" w:afterAutospacing="0"/>
              <w:ind w:left="0" w:firstLine="0"/>
              <w:rPr>
                <w:color w:val="FFFFFF" w:themeColor="background1"/>
                <w:szCs w:val="18"/>
              </w:rPr>
            </w:pPr>
            <w:r w:rsidRPr="00B60C6C">
              <w:rPr>
                <w:color w:val="FFFFFF" w:themeColor="background1"/>
                <w:szCs w:val="18"/>
              </w:rPr>
              <w:t xml:space="preserve">Hospital </w:t>
            </w:r>
            <w:r w:rsidR="00AE2916">
              <w:rPr>
                <w:color w:val="FFFFFF" w:themeColor="background1"/>
                <w:szCs w:val="18"/>
              </w:rPr>
              <w:t>name a</w:t>
            </w:r>
            <w:r w:rsidRPr="00B60C6C">
              <w:rPr>
                <w:color w:val="FFFFFF" w:themeColor="background1"/>
                <w:szCs w:val="18"/>
              </w:rPr>
              <w:t>bbreviation</w:t>
            </w:r>
          </w:p>
        </w:tc>
        <w:tc>
          <w:tcPr>
            <w:tcW w:w="2835" w:type="dxa"/>
          </w:tcPr>
          <w:p w14:paraId="1EAFE7B3" w14:textId="77777777" w:rsidR="00B60C6C" w:rsidRPr="00B60C6C" w:rsidRDefault="00AE2916" w:rsidP="006B49D0">
            <w:pPr>
              <w:pStyle w:val="CDIfootnotes"/>
              <w:spacing w:before="0" w:beforeAutospacing="0" w:after="0" w:afterAutospacing="0"/>
              <w:ind w:left="0" w:firstLine="0"/>
              <w:rPr>
                <w:color w:val="FFFFFF" w:themeColor="background1"/>
                <w:szCs w:val="18"/>
              </w:rPr>
            </w:pPr>
            <w:r>
              <w:rPr>
                <w:color w:val="FFFFFF" w:themeColor="background1"/>
                <w:szCs w:val="18"/>
              </w:rPr>
              <w:t>N</w:t>
            </w:r>
            <w:r w:rsidR="00B60C6C" w:rsidRPr="00B60C6C">
              <w:rPr>
                <w:color w:val="FFFFFF" w:themeColor="background1"/>
                <w:szCs w:val="18"/>
              </w:rPr>
              <w:t>ame</w:t>
            </w:r>
          </w:p>
        </w:tc>
      </w:tr>
      <w:tr w:rsidR="006B49D0" w:rsidRPr="00B60C6C" w14:paraId="779F63B5" w14:textId="77777777" w:rsidTr="006B762B">
        <w:tc>
          <w:tcPr>
            <w:tcW w:w="2268" w:type="dxa"/>
          </w:tcPr>
          <w:p w14:paraId="290C453D"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CA</w:t>
            </w:r>
          </w:p>
        </w:tc>
        <w:tc>
          <w:tcPr>
            <w:tcW w:w="2835" w:type="dxa"/>
          </w:tcPr>
          <w:p w14:paraId="56C8FD04"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Canberra and Calvary Hospitals</w:t>
            </w:r>
          </w:p>
        </w:tc>
      </w:tr>
      <w:tr w:rsidR="006B49D0" w:rsidRPr="00B60C6C" w14:paraId="08BB8503"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38C10E1E"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CHW</w:t>
            </w:r>
          </w:p>
        </w:tc>
        <w:tc>
          <w:tcPr>
            <w:tcW w:w="2835" w:type="dxa"/>
          </w:tcPr>
          <w:p w14:paraId="61475602"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Children’s Hospital at Westmead</w:t>
            </w:r>
          </w:p>
        </w:tc>
      </w:tr>
      <w:tr w:rsidR="006B49D0" w:rsidRPr="00B60C6C" w14:paraId="2BFE223B" w14:textId="77777777" w:rsidTr="006B762B">
        <w:tc>
          <w:tcPr>
            <w:tcW w:w="2268" w:type="dxa"/>
          </w:tcPr>
          <w:p w14:paraId="1CEA885A"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JHH</w:t>
            </w:r>
          </w:p>
        </w:tc>
        <w:tc>
          <w:tcPr>
            <w:tcW w:w="2835" w:type="dxa"/>
          </w:tcPr>
          <w:p w14:paraId="6C7DAA60"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John Hunter Hospital</w:t>
            </w:r>
          </w:p>
        </w:tc>
      </w:tr>
      <w:tr w:rsidR="006B49D0" w:rsidRPr="00B60C6C" w14:paraId="2F8A172D"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4F7406ED"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WE</w:t>
            </w:r>
          </w:p>
        </w:tc>
        <w:tc>
          <w:tcPr>
            <w:tcW w:w="2835" w:type="dxa"/>
          </w:tcPr>
          <w:p w14:paraId="313A959B"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Westmead Hospital</w:t>
            </w:r>
          </w:p>
        </w:tc>
      </w:tr>
      <w:tr w:rsidR="006B49D0" w:rsidRPr="00B60C6C" w14:paraId="2C7AA43D" w14:textId="77777777" w:rsidTr="006B762B">
        <w:tc>
          <w:tcPr>
            <w:tcW w:w="2268" w:type="dxa"/>
          </w:tcPr>
          <w:p w14:paraId="5FA7F835"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AS</w:t>
            </w:r>
          </w:p>
        </w:tc>
        <w:tc>
          <w:tcPr>
            <w:tcW w:w="2835" w:type="dxa"/>
          </w:tcPr>
          <w:p w14:paraId="49E9E172"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Alice Springs Hospital</w:t>
            </w:r>
          </w:p>
        </w:tc>
      </w:tr>
      <w:tr w:rsidR="006B49D0" w:rsidRPr="00B60C6C" w14:paraId="2FD2DB53"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77FB791F"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CB</w:t>
            </w:r>
          </w:p>
        </w:tc>
        <w:tc>
          <w:tcPr>
            <w:tcW w:w="2835" w:type="dxa"/>
          </w:tcPr>
          <w:p w14:paraId="0562869D"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Cairns Base Hospital</w:t>
            </w:r>
          </w:p>
        </w:tc>
      </w:tr>
      <w:tr w:rsidR="006B49D0" w:rsidRPr="00B60C6C" w14:paraId="0E73FA7A" w14:textId="77777777" w:rsidTr="006B762B">
        <w:tc>
          <w:tcPr>
            <w:tcW w:w="2268" w:type="dxa"/>
          </w:tcPr>
          <w:p w14:paraId="4734D206"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MA</w:t>
            </w:r>
          </w:p>
        </w:tc>
        <w:tc>
          <w:tcPr>
            <w:tcW w:w="2835" w:type="dxa"/>
          </w:tcPr>
          <w:p w14:paraId="506A05F9"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Mater Hospital</w:t>
            </w:r>
          </w:p>
        </w:tc>
      </w:tr>
      <w:tr w:rsidR="006B49D0" w:rsidRPr="00B60C6C" w14:paraId="462111DB"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125CC5B5"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PA</w:t>
            </w:r>
          </w:p>
        </w:tc>
        <w:tc>
          <w:tcPr>
            <w:tcW w:w="2835" w:type="dxa"/>
          </w:tcPr>
          <w:p w14:paraId="0C196AC0"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Princess Alexandra Hospital</w:t>
            </w:r>
          </w:p>
        </w:tc>
      </w:tr>
      <w:tr w:rsidR="006B49D0" w:rsidRPr="00B60C6C" w14:paraId="25EC110C" w14:textId="77777777" w:rsidTr="006B762B">
        <w:tc>
          <w:tcPr>
            <w:tcW w:w="2268" w:type="dxa"/>
          </w:tcPr>
          <w:p w14:paraId="7DB6CAAF"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RA</w:t>
            </w:r>
          </w:p>
        </w:tc>
        <w:tc>
          <w:tcPr>
            <w:tcW w:w="2835" w:type="dxa"/>
          </w:tcPr>
          <w:p w14:paraId="688A8A64"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Royal Adelaide</w:t>
            </w:r>
          </w:p>
        </w:tc>
      </w:tr>
      <w:tr w:rsidR="006B49D0" w:rsidRPr="00B60C6C" w14:paraId="4413AFD5"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6C56B05B"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RH</w:t>
            </w:r>
          </w:p>
        </w:tc>
        <w:tc>
          <w:tcPr>
            <w:tcW w:w="2835" w:type="dxa"/>
          </w:tcPr>
          <w:p w14:paraId="54B87956"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Royal Hobart Hospital</w:t>
            </w:r>
          </w:p>
        </w:tc>
      </w:tr>
      <w:tr w:rsidR="006B49D0" w:rsidRPr="00B60C6C" w14:paraId="6E0DB7ED" w14:textId="77777777" w:rsidTr="006B762B">
        <w:tc>
          <w:tcPr>
            <w:tcW w:w="2268" w:type="dxa"/>
          </w:tcPr>
          <w:p w14:paraId="424D652E"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AH</w:t>
            </w:r>
          </w:p>
        </w:tc>
        <w:tc>
          <w:tcPr>
            <w:tcW w:w="2835" w:type="dxa"/>
          </w:tcPr>
          <w:p w14:paraId="2E2F77A5"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Alfred Hospital</w:t>
            </w:r>
          </w:p>
        </w:tc>
      </w:tr>
      <w:tr w:rsidR="006B49D0" w:rsidRPr="00B60C6C" w14:paraId="26EDD789"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1F55E7C6"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GL</w:t>
            </w:r>
          </w:p>
        </w:tc>
        <w:tc>
          <w:tcPr>
            <w:tcW w:w="2835" w:type="dxa"/>
          </w:tcPr>
          <w:p w14:paraId="3DA96754"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University Hospital Geelong</w:t>
            </w:r>
          </w:p>
        </w:tc>
      </w:tr>
      <w:tr w:rsidR="006B49D0" w:rsidRPr="00B60C6C" w14:paraId="53FEA209" w14:textId="77777777" w:rsidTr="006B762B">
        <w:tc>
          <w:tcPr>
            <w:tcW w:w="2268" w:type="dxa"/>
          </w:tcPr>
          <w:p w14:paraId="0D726A54"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MMC</w:t>
            </w:r>
          </w:p>
        </w:tc>
        <w:tc>
          <w:tcPr>
            <w:tcW w:w="2835" w:type="dxa"/>
          </w:tcPr>
          <w:p w14:paraId="7965DDE5"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Monash Medical Centre</w:t>
            </w:r>
          </w:p>
        </w:tc>
      </w:tr>
      <w:tr w:rsidR="006B49D0" w:rsidRPr="00B60C6C" w14:paraId="1EB28626"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6A9B193F"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RM</w:t>
            </w:r>
          </w:p>
        </w:tc>
        <w:tc>
          <w:tcPr>
            <w:tcW w:w="2835" w:type="dxa"/>
          </w:tcPr>
          <w:p w14:paraId="5B2467E4"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Royal Melbourne</w:t>
            </w:r>
          </w:p>
        </w:tc>
      </w:tr>
      <w:tr w:rsidR="006B49D0" w:rsidRPr="00B60C6C" w14:paraId="4245FEC5" w14:textId="77777777" w:rsidTr="006B762B">
        <w:tc>
          <w:tcPr>
            <w:tcW w:w="2268" w:type="dxa"/>
          </w:tcPr>
          <w:p w14:paraId="41D11DFF"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PMH</w:t>
            </w:r>
          </w:p>
        </w:tc>
        <w:tc>
          <w:tcPr>
            <w:tcW w:w="2835" w:type="dxa"/>
          </w:tcPr>
          <w:p w14:paraId="0E789056"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Princess Margaret Hospital</w:t>
            </w:r>
          </w:p>
        </w:tc>
      </w:tr>
      <w:tr w:rsidR="006B49D0" w:rsidRPr="00B60C6C" w14:paraId="2A230E49" w14:textId="77777777" w:rsidTr="006B762B">
        <w:trPr>
          <w:cnfStyle w:val="000000010000" w:firstRow="0" w:lastRow="0" w:firstColumn="0" w:lastColumn="0" w:oddVBand="0" w:evenVBand="0" w:oddHBand="0" w:evenHBand="1" w:firstRowFirstColumn="0" w:firstRowLastColumn="0" w:lastRowFirstColumn="0" w:lastRowLastColumn="0"/>
        </w:trPr>
        <w:tc>
          <w:tcPr>
            <w:tcW w:w="2268" w:type="dxa"/>
          </w:tcPr>
          <w:p w14:paraId="124BA901"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RP</w:t>
            </w:r>
          </w:p>
        </w:tc>
        <w:tc>
          <w:tcPr>
            <w:tcW w:w="2835" w:type="dxa"/>
          </w:tcPr>
          <w:p w14:paraId="7B9F523E" w14:textId="77777777" w:rsidR="006B49D0" w:rsidRPr="00B60C6C" w:rsidRDefault="006B49D0" w:rsidP="006B49D0">
            <w:pPr>
              <w:pStyle w:val="CDIfootnotes"/>
              <w:spacing w:before="0" w:beforeAutospacing="0" w:after="0" w:afterAutospacing="0"/>
              <w:ind w:left="0" w:firstLine="0"/>
              <w:rPr>
                <w:szCs w:val="18"/>
              </w:rPr>
            </w:pPr>
            <w:r w:rsidRPr="00B60C6C">
              <w:rPr>
                <w:szCs w:val="18"/>
              </w:rPr>
              <w:t xml:space="preserve"> Royal Perth Hospital</w:t>
            </w:r>
          </w:p>
        </w:tc>
      </w:tr>
    </w:tbl>
    <w:p w14:paraId="1DE7C071" w14:textId="77777777" w:rsidR="006B49D0" w:rsidRDefault="006B49D0" w:rsidP="00D24F69">
      <w:pPr>
        <w:pStyle w:val="CDIfootnotes"/>
        <w:spacing w:before="0" w:beforeAutospacing="0" w:after="0" w:afterAutospacing="0"/>
        <w:sectPr w:rsidR="006B49D0" w:rsidSect="00CD4537">
          <w:pgSz w:w="11906" w:h="16838"/>
          <w:pgMar w:top="720" w:right="720" w:bottom="1134" w:left="720" w:header="709" w:footer="284" w:gutter="0"/>
          <w:cols w:space="708"/>
          <w:titlePg/>
          <w:docGrid w:linePitch="360"/>
        </w:sectPr>
      </w:pPr>
    </w:p>
    <w:p w14:paraId="5ECE722F" w14:textId="77777777" w:rsidR="00CC25E2" w:rsidRDefault="00CC25E2">
      <w:pPr>
        <w:pStyle w:val="Heading2"/>
        <w:rPr>
          <w:rFonts w:eastAsia="Times New Roman"/>
        </w:rPr>
      </w:pPr>
      <w:r>
        <w:rPr>
          <w:rFonts w:eastAsia="Times New Roman"/>
        </w:rPr>
        <w:lastRenderedPageBreak/>
        <w:t>Presentation and management</w:t>
      </w:r>
    </w:p>
    <w:p w14:paraId="30FF6BB0" w14:textId="77777777" w:rsidR="00CC25E2" w:rsidRDefault="00CC25E2">
      <w:pPr>
        <w:pStyle w:val="NormalWeb"/>
      </w:pPr>
      <w:r>
        <w:t>Of all cases, 3,920 patients had a known date of onset of illness documented. Of these, 263 cases (6.2%) were diagnosed more than 7 days after admission and therefore were likely to be hospital-acquired. For the remaining 3,657 patients with community-onset laboratory-confirmed influenza where the duration of symptoms was known, the median duration of symptoms prior to admission was 3 days (interquartile range (IQR): 2, 5 days). In these patients, the delay from onset of illness to admission was &gt;2 days in 57%, and was similar in children (54%), non-elderly adults (58%) and the elderly (58%).</w:t>
      </w:r>
    </w:p>
    <w:p w14:paraId="51D30705" w14:textId="77777777" w:rsidR="00CC25E2" w:rsidRDefault="00CC25E2">
      <w:pPr>
        <w:pStyle w:val="NormalWeb"/>
      </w:pPr>
      <w:r>
        <w:t>Radiological evidence of pneumonia was present in 754 patients (18%). Pneumonia was less common in children (11%) than in non-elderly adults (18%) and in the elderly (19%). A higher proportion of patients with pneumonia were admitted to ICU (25%) than those without pneumonia (8.7%).</w:t>
      </w:r>
    </w:p>
    <w:p w14:paraId="27C11A9E" w14:textId="77777777" w:rsidR="00CC25E2" w:rsidRDefault="00CC25E2">
      <w:pPr>
        <w:pStyle w:val="NormalWeb"/>
      </w:pPr>
      <w:r>
        <w:t>Of all cases, 493 (11.6%) patients were admitted to ICU, including 408 patients (9.6%) initially admitted to ICU and a further 85 (2.0%) subsequently transferred to ICU after initial admission to a general ward. The elderly (&gt;65 years) and residents of nursing homes were less likely, and those with chronic comorbidities were more likely to be admitted to intensive care. Compared to patients admitted to hospital with influenza B, patients admitted with confirmed A/H1 infection were more likely to be admitted to ICU after adjustment for age and other factors (Table</w:t>
      </w:r>
      <w:r w:rsidR="00C07D6E">
        <w:t> </w:t>
      </w:r>
      <w:r>
        <w:t>3).</w:t>
      </w:r>
    </w:p>
    <w:p w14:paraId="3626E409" w14:textId="77777777" w:rsidR="00CC25E2" w:rsidRDefault="00CC25E2" w:rsidP="007A4E29">
      <w:pPr>
        <w:pStyle w:val="CDIFigures"/>
      </w:pPr>
      <w:r>
        <w:t xml:space="preserve">Table 3: Factors associated with admission to intensive care in patients hospitalised with confirmed influenza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the results of a logistic regression looking at factors independently associated with admission to intensive care, including age, medical co-morbidities, Indigenous status, pregnancy, nursing home residence and influenza type/subtype.&#10;"/>
      </w:tblPr>
      <w:tblGrid>
        <w:gridCol w:w="4536"/>
        <w:gridCol w:w="1843"/>
        <w:gridCol w:w="992"/>
        <w:gridCol w:w="1843"/>
        <w:gridCol w:w="1226"/>
      </w:tblGrid>
      <w:tr w:rsidR="000C12B4" w:rsidRPr="00115ED7" w14:paraId="28E3837E" w14:textId="77777777" w:rsidTr="00263CA4">
        <w:trPr>
          <w:cnfStyle w:val="100000000000" w:firstRow="1" w:lastRow="0" w:firstColumn="0" w:lastColumn="0" w:oddVBand="0" w:evenVBand="0" w:oddHBand="0" w:evenHBand="0" w:firstRowFirstColumn="0" w:firstRowLastColumn="0" w:lastRowFirstColumn="0" w:lastRowLastColumn="0"/>
          <w:tblHeader/>
        </w:trPr>
        <w:tc>
          <w:tcPr>
            <w:tcW w:w="4536" w:type="dxa"/>
            <w:hideMark/>
          </w:tcPr>
          <w:p w14:paraId="0D06EF6F" w14:textId="77777777" w:rsidR="00CC25E2" w:rsidRPr="00115ED7" w:rsidRDefault="00CC25E2">
            <w:pPr>
              <w:pStyle w:val="NormalWeb"/>
              <w:rPr>
                <w:color w:val="FFFFFF" w:themeColor="background1"/>
                <w:sz w:val="18"/>
                <w:szCs w:val="18"/>
              </w:rPr>
            </w:pPr>
            <w:r w:rsidRPr="00115ED7">
              <w:rPr>
                <w:color w:val="FFFFFF" w:themeColor="background1"/>
                <w:sz w:val="18"/>
                <w:szCs w:val="18"/>
              </w:rPr>
              <w:t>Variable</w:t>
            </w:r>
          </w:p>
        </w:tc>
        <w:tc>
          <w:tcPr>
            <w:tcW w:w="1843" w:type="dxa"/>
            <w:hideMark/>
          </w:tcPr>
          <w:p w14:paraId="5E1C37B6" w14:textId="77777777" w:rsidR="00CC25E2" w:rsidRPr="00115ED7" w:rsidRDefault="00CC25E2">
            <w:pPr>
              <w:pStyle w:val="NormalWeb"/>
              <w:rPr>
                <w:color w:val="FFFFFF" w:themeColor="background1"/>
                <w:sz w:val="18"/>
                <w:szCs w:val="18"/>
              </w:rPr>
            </w:pPr>
            <w:r w:rsidRPr="00115ED7">
              <w:rPr>
                <w:color w:val="FFFFFF" w:themeColor="background1"/>
                <w:sz w:val="18"/>
                <w:szCs w:val="18"/>
              </w:rPr>
              <w:t>Crude OR</w:t>
            </w:r>
          </w:p>
        </w:tc>
        <w:tc>
          <w:tcPr>
            <w:tcW w:w="992" w:type="dxa"/>
            <w:hideMark/>
          </w:tcPr>
          <w:p w14:paraId="7B921868" w14:textId="77777777" w:rsidR="00CC25E2" w:rsidRPr="00B91C7F" w:rsidRDefault="00CC25E2">
            <w:pPr>
              <w:pStyle w:val="NormalWeb"/>
              <w:rPr>
                <w:i/>
                <w:color w:val="FFFFFF" w:themeColor="background1"/>
                <w:sz w:val="18"/>
                <w:szCs w:val="18"/>
              </w:rPr>
            </w:pPr>
            <w:r w:rsidRPr="00B91C7F">
              <w:rPr>
                <w:i/>
                <w:color w:val="FFFFFF" w:themeColor="background1"/>
                <w:sz w:val="18"/>
                <w:szCs w:val="18"/>
              </w:rPr>
              <w:t xml:space="preserve">p </w:t>
            </w:r>
            <w:r w:rsidRPr="006D04C6">
              <w:rPr>
                <w:color w:val="FFFFFF" w:themeColor="background1"/>
                <w:sz w:val="18"/>
                <w:szCs w:val="18"/>
              </w:rPr>
              <w:t>value</w:t>
            </w:r>
          </w:p>
        </w:tc>
        <w:tc>
          <w:tcPr>
            <w:tcW w:w="1843" w:type="dxa"/>
            <w:hideMark/>
          </w:tcPr>
          <w:p w14:paraId="2EBF3F13" w14:textId="77777777" w:rsidR="00CC25E2" w:rsidRPr="00115ED7" w:rsidRDefault="00CC25E2">
            <w:pPr>
              <w:pStyle w:val="NormalWeb"/>
              <w:rPr>
                <w:color w:val="FFFFFF" w:themeColor="background1"/>
                <w:sz w:val="18"/>
                <w:szCs w:val="18"/>
              </w:rPr>
            </w:pPr>
            <w:r w:rsidRPr="00115ED7">
              <w:rPr>
                <w:color w:val="FFFFFF" w:themeColor="background1"/>
                <w:sz w:val="18"/>
                <w:szCs w:val="18"/>
              </w:rPr>
              <w:t xml:space="preserve">Adjusted </w:t>
            </w:r>
            <w:proofErr w:type="spellStart"/>
            <w:r w:rsidRPr="00115ED7">
              <w:rPr>
                <w:color w:val="FFFFFF" w:themeColor="background1"/>
                <w:sz w:val="18"/>
                <w:szCs w:val="18"/>
              </w:rPr>
              <w:t>OR</w:t>
            </w:r>
            <w:r w:rsidRPr="00115ED7">
              <w:rPr>
                <w:color w:val="FFFFFF" w:themeColor="background1"/>
                <w:sz w:val="18"/>
                <w:szCs w:val="18"/>
                <w:vertAlign w:val="superscript"/>
              </w:rPr>
              <w:t>a</w:t>
            </w:r>
            <w:proofErr w:type="spellEnd"/>
          </w:p>
        </w:tc>
        <w:tc>
          <w:tcPr>
            <w:tcW w:w="1226" w:type="dxa"/>
            <w:hideMark/>
          </w:tcPr>
          <w:p w14:paraId="79E387F4" w14:textId="77777777" w:rsidR="00CC25E2" w:rsidRPr="00B91C7F" w:rsidRDefault="00CC25E2">
            <w:pPr>
              <w:pStyle w:val="NormalWeb"/>
              <w:rPr>
                <w:i/>
                <w:color w:val="FFFFFF" w:themeColor="background1"/>
                <w:sz w:val="18"/>
                <w:szCs w:val="18"/>
              </w:rPr>
            </w:pPr>
            <w:r w:rsidRPr="00B91C7F">
              <w:rPr>
                <w:i/>
                <w:color w:val="FFFFFF" w:themeColor="background1"/>
                <w:sz w:val="18"/>
                <w:szCs w:val="18"/>
              </w:rPr>
              <w:t xml:space="preserve">p </w:t>
            </w:r>
            <w:r w:rsidRPr="006D04C6">
              <w:rPr>
                <w:color w:val="FFFFFF" w:themeColor="background1"/>
                <w:sz w:val="18"/>
                <w:szCs w:val="18"/>
              </w:rPr>
              <w:t>value</w:t>
            </w:r>
          </w:p>
        </w:tc>
      </w:tr>
      <w:tr w:rsidR="00DC0063" w:rsidRPr="00DC0063" w14:paraId="6D9FBDD8" w14:textId="77777777" w:rsidTr="00DC0063">
        <w:tc>
          <w:tcPr>
            <w:tcW w:w="4536" w:type="dxa"/>
            <w:shd w:val="clear" w:color="auto" w:fill="808080" w:themeFill="background1" w:themeFillShade="80"/>
            <w:hideMark/>
          </w:tcPr>
          <w:p w14:paraId="3B384952" w14:textId="77777777" w:rsidR="00CC25E2" w:rsidRPr="00DC0063" w:rsidRDefault="00CC25E2">
            <w:pPr>
              <w:pStyle w:val="NormalWeb"/>
              <w:rPr>
                <w:b/>
                <w:color w:val="FFFFFF" w:themeColor="background1"/>
                <w:sz w:val="18"/>
                <w:szCs w:val="18"/>
              </w:rPr>
            </w:pPr>
            <w:r w:rsidRPr="00DC0063">
              <w:rPr>
                <w:b/>
                <w:color w:val="FFFFFF" w:themeColor="background1"/>
                <w:sz w:val="18"/>
                <w:szCs w:val="18"/>
              </w:rPr>
              <w:t>Age</w:t>
            </w:r>
          </w:p>
        </w:tc>
        <w:tc>
          <w:tcPr>
            <w:tcW w:w="1843" w:type="dxa"/>
            <w:shd w:val="clear" w:color="auto" w:fill="808080" w:themeFill="background1" w:themeFillShade="80"/>
            <w:hideMark/>
          </w:tcPr>
          <w:p w14:paraId="7961B2BD" w14:textId="77777777" w:rsidR="00CC25E2" w:rsidRPr="00DC0063" w:rsidRDefault="00CC25E2">
            <w:pPr>
              <w:rPr>
                <w:b/>
                <w:color w:val="FFFFFF" w:themeColor="background1"/>
                <w:sz w:val="18"/>
                <w:szCs w:val="18"/>
              </w:rPr>
            </w:pPr>
          </w:p>
        </w:tc>
        <w:tc>
          <w:tcPr>
            <w:tcW w:w="992" w:type="dxa"/>
            <w:shd w:val="clear" w:color="auto" w:fill="808080" w:themeFill="background1" w:themeFillShade="80"/>
            <w:hideMark/>
          </w:tcPr>
          <w:p w14:paraId="341308B4" w14:textId="77777777" w:rsidR="00CC25E2" w:rsidRPr="00DC0063" w:rsidRDefault="00CC25E2">
            <w:pPr>
              <w:rPr>
                <w:rFonts w:eastAsia="Times New Roman"/>
                <w:b/>
                <w:color w:val="FFFFFF" w:themeColor="background1"/>
                <w:sz w:val="18"/>
                <w:szCs w:val="18"/>
              </w:rPr>
            </w:pPr>
          </w:p>
        </w:tc>
        <w:tc>
          <w:tcPr>
            <w:tcW w:w="1843" w:type="dxa"/>
            <w:shd w:val="clear" w:color="auto" w:fill="808080" w:themeFill="background1" w:themeFillShade="80"/>
            <w:hideMark/>
          </w:tcPr>
          <w:p w14:paraId="5941A799" w14:textId="77777777" w:rsidR="00CC25E2" w:rsidRPr="00DC0063" w:rsidRDefault="00CC25E2">
            <w:pPr>
              <w:rPr>
                <w:rFonts w:eastAsia="Times New Roman"/>
                <w:b/>
                <w:color w:val="FFFFFF" w:themeColor="background1"/>
                <w:sz w:val="18"/>
                <w:szCs w:val="18"/>
              </w:rPr>
            </w:pPr>
          </w:p>
        </w:tc>
        <w:tc>
          <w:tcPr>
            <w:tcW w:w="1226" w:type="dxa"/>
            <w:shd w:val="clear" w:color="auto" w:fill="808080" w:themeFill="background1" w:themeFillShade="80"/>
            <w:hideMark/>
          </w:tcPr>
          <w:p w14:paraId="46C779FD" w14:textId="77777777" w:rsidR="00CC25E2" w:rsidRPr="00DC0063" w:rsidRDefault="00CC25E2">
            <w:pPr>
              <w:rPr>
                <w:rFonts w:eastAsia="Times New Roman"/>
                <w:b/>
                <w:color w:val="FFFFFF" w:themeColor="background1"/>
                <w:sz w:val="18"/>
                <w:szCs w:val="18"/>
              </w:rPr>
            </w:pPr>
          </w:p>
        </w:tc>
      </w:tr>
      <w:tr w:rsidR="00CC25E2" w:rsidRPr="00115ED7" w14:paraId="610CCC3C" w14:textId="77777777" w:rsidTr="00263CA4">
        <w:trPr>
          <w:cnfStyle w:val="000000010000" w:firstRow="0" w:lastRow="0" w:firstColumn="0" w:lastColumn="0" w:oddVBand="0" w:evenVBand="0" w:oddHBand="0" w:evenHBand="1" w:firstRowFirstColumn="0" w:firstRowLastColumn="0" w:lastRowFirstColumn="0" w:lastRowLastColumn="0"/>
        </w:trPr>
        <w:tc>
          <w:tcPr>
            <w:tcW w:w="4536" w:type="dxa"/>
            <w:hideMark/>
          </w:tcPr>
          <w:p w14:paraId="2442E6A1" w14:textId="77777777" w:rsidR="00CC25E2" w:rsidRPr="00115ED7" w:rsidRDefault="00CC25E2">
            <w:pPr>
              <w:pStyle w:val="NormalWeb"/>
              <w:rPr>
                <w:sz w:val="18"/>
                <w:szCs w:val="18"/>
              </w:rPr>
            </w:pPr>
            <w:r w:rsidRPr="00115ED7">
              <w:rPr>
                <w:sz w:val="18"/>
                <w:szCs w:val="18"/>
              </w:rPr>
              <w:t>&lt;16 years</w:t>
            </w:r>
          </w:p>
        </w:tc>
        <w:tc>
          <w:tcPr>
            <w:tcW w:w="1843" w:type="dxa"/>
            <w:hideMark/>
          </w:tcPr>
          <w:p w14:paraId="35967C57" w14:textId="77777777" w:rsidR="00CC25E2" w:rsidRPr="00115ED7" w:rsidRDefault="00CC25E2">
            <w:pPr>
              <w:pStyle w:val="NormalWeb"/>
              <w:rPr>
                <w:sz w:val="18"/>
                <w:szCs w:val="18"/>
              </w:rPr>
            </w:pPr>
            <w:r w:rsidRPr="00115ED7">
              <w:rPr>
                <w:sz w:val="18"/>
                <w:szCs w:val="18"/>
              </w:rPr>
              <w:t>0.86 (0.65, 1.14)</w:t>
            </w:r>
          </w:p>
        </w:tc>
        <w:tc>
          <w:tcPr>
            <w:tcW w:w="992" w:type="dxa"/>
            <w:hideMark/>
          </w:tcPr>
          <w:p w14:paraId="692CE4E1" w14:textId="77777777" w:rsidR="00CC25E2" w:rsidRPr="00115ED7" w:rsidRDefault="00CC25E2">
            <w:pPr>
              <w:pStyle w:val="NormalWeb"/>
              <w:rPr>
                <w:sz w:val="18"/>
                <w:szCs w:val="18"/>
              </w:rPr>
            </w:pPr>
            <w:r w:rsidRPr="00115ED7">
              <w:rPr>
                <w:sz w:val="18"/>
                <w:szCs w:val="18"/>
              </w:rPr>
              <w:t>0.292</w:t>
            </w:r>
          </w:p>
        </w:tc>
        <w:tc>
          <w:tcPr>
            <w:tcW w:w="1843" w:type="dxa"/>
            <w:hideMark/>
          </w:tcPr>
          <w:p w14:paraId="7A556C51" w14:textId="77777777" w:rsidR="00CC25E2" w:rsidRPr="00115ED7" w:rsidRDefault="00CC25E2">
            <w:pPr>
              <w:pStyle w:val="NormalWeb"/>
              <w:rPr>
                <w:sz w:val="18"/>
                <w:szCs w:val="18"/>
              </w:rPr>
            </w:pPr>
            <w:r w:rsidRPr="00115ED7">
              <w:rPr>
                <w:sz w:val="18"/>
                <w:szCs w:val="18"/>
              </w:rPr>
              <w:t>0.86 (0.61, 1.21)</w:t>
            </w:r>
          </w:p>
        </w:tc>
        <w:tc>
          <w:tcPr>
            <w:tcW w:w="1226" w:type="dxa"/>
            <w:hideMark/>
          </w:tcPr>
          <w:p w14:paraId="3A2964CC" w14:textId="77777777" w:rsidR="00CC25E2" w:rsidRPr="00115ED7" w:rsidRDefault="00CC25E2">
            <w:pPr>
              <w:pStyle w:val="NormalWeb"/>
              <w:rPr>
                <w:sz w:val="18"/>
                <w:szCs w:val="18"/>
              </w:rPr>
            </w:pPr>
            <w:r w:rsidRPr="00115ED7">
              <w:rPr>
                <w:sz w:val="18"/>
                <w:szCs w:val="18"/>
              </w:rPr>
              <w:t>0.382</w:t>
            </w:r>
          </w:p>
        </w:tc>
      </w:tr>
      <w:tr w:rsidR="00CC25E2" w:rsidRPr="00115ED7" w14:paraId="38915075" w14:textId="77777777" w:rsidTr="00263CA4">
        <w:tc>
          <w:tcPr>
            <w:tcW w:w="4536" w:type="dxa"/>
            <w:hideMark/>
          </w:tcPr>
          <w:p w14:paraId="430409BD" w14:textId="77777777" w:rsidR="00CC25E2" w:rsidRPr="00115ED7" w:rsidRDefault="00CC25E2">
            <w:pPr>
              <w:pStyle w:val="NormalWeb"/>
              <w:rPr>
                <w:sz w:val="18"/>
                <w:szCs w:val="18"/>
              </w:rPr>
            </w:pPr>
            <w:r w:rsidRPr="00115ED7">
              <w:rPr>
                <w:sz w:val="18"/>
                <w:szCs w:val="18"/>
              </w:rPr>
              <w:t>16–64 years</w:t>
            </w:r>
          </w:p>
        </w:tc>
        <w:tc>
          <w:tcPr>
            <w:tcW w:w="1843" w:type="dxa"/>
            <w:hideMark/>
          </w:tcPr>
          <w:p w14:paraId="0CF67FBD" w14:textId="77777777" w:rsidR="00CC25E2" w:rsidRPr="00115ED7" w:rsidRDefault="00CC25E2">
            <w:pPr>
              <w:pStyle w:val="NormalWeb"/>
              <w:rPr>
                <w:sz w:val="18"/>
                <w:szCs w:val="18"/>
              </w:rPr>
            </w:pPr>
            <w:r w:rsidRPr="00115ED7">
              <w:rPr>
                <w:sz w:val="18"/>
                <w:szCs w:val="18"/>
              </w:rPr>
              <w:t>1 (referent)</w:t>
            </w:r>
          </w:p>
        </w:tc>
        <w:tc>
          <w:tcPr>
            <w:tcW w:w="992" w:type="dxa"/>
            <w:hideMark/>
          </w:tcPr>
          <w:p w14:paraId="678F3499" w14:textId="77777777" w:rsidR="00CC25E2" w:rsidRPr="00115ED7" w:rsidRDefault="00CC25E2">
            <w:pPr>
              <w:rPr>
                <w:sz w:val="18"/>
                <w:szCs w:val="18"/>
              </w:rPr>
            </w:pPr>
          </w:p>
        </w:tc>
        <w:tc>
          <w:tcPr>
            <w:tcW w:w="1843" w:type="dxa"/>
            <w:hideMark/>
          </w:tcPr>
          <w:p w14:paraId="7BE1C199" w14:textId="77777777" w:rsidR="00CC25E2" w:rsidRPr="00115ED7" w:rsidRDefault="00CC25E2">
            <w:pPr>
              <w:pStyle w:val="NormalWeb"/>
              <w:rPr>
                <w:sz w:val="18"/>
                <w:szCs w:val="18"/>
              </w:rPr>
            </w:pPr>
            <w:r w:rsidRPr="00115ED7">
              <w:rPr>
                <w:sz w:val="18"/>
                <w:szCs w:val="18"/>
              </w:rPr>
              <w:t>1 (referent)</w:t>
            </w:r>
          </w:p>
        </w:tc>
        <w:tc>
          <w:tcPr>
            <w:tcW w:w="1226" w:type="dxa"/>
            <w:hideMark/>
          </w:tcPr>
          <w:p w14:paraId="1ECCF9A1" w14:textId="77777777" w:rsidR="00CC25E2" w:rsidRPr="00115ED7" w:rsidRDefault="00CC25E2">
            <w:pPr>
              <w:rPr>
                <w:sz w:val="18"/>
                <w:szCs w:val="18"/>
              </w:rPr>
            </w:pPr>
          </w:p>
        </w:tc>
      </w:tr>
      <w:tr w:rsidR="00CC25E2" w:rsidRPr="00115ED7" w14:paraId="0DBCC7B0" w14:textId="77777777" w:rsidTr="00263CA4">
        <w:trPr>
          <w:cnfStyle w:val="000000010000" w:firstRow="0" w:lastRow="0" w:firstColumn="0" w:lastColumn="0" w:oddVBand="0" w:evenVBand="0" w:oddHBand="0" w:evenHBand="1" w:firstRowFirstColumn="0" w:firstRowLastColumn="0" w:lastRowFirstColumn="0" w:lastRowLastColumn="0"/>
        </w:trPr>
        <w:tc>
          <w:tcPr>
            <w:tcW w:w="4536" w:type="dxa"/>
            <w:hideMark/>
          </w:tcPr>
          <w:p w14:paraId="39C87078" w14:textId="77777777" w:rsidR="00CC25E2" w:rsidRPr="00115ED7" w:rsidRDefault="00CC25E2">
            <w:pPr>
              <w:pStyle w:val="NormalWeb"/>
              <w:rPr>
                <w:sz w:val="18"/>
                <w:szCs w:val="18"/>
              </w:rPr>
            </w:pPr>
            <w:r w:rsidRPr="00115ED7">
              <w:rPr>
                <w:sz w:val="18"/>
                <w:szCs w:val="18"/>
              </w:rPr>
              <w:t>65+ years</w:t>
            </w:r>
          </w:p>
        </w:tc>
        <w:tc>
          <w:tcPr>
            <w:tcW w:w="1843" w:type="dxa"/>
            <w:hideMark/>
          </w:tcPr>
          <w:p w14:paraId="598F8EDF" w14:textId="77777777" w:rsidR="00CC25E2" w:rsidRPr="00115ED7" w:rsidRDefault="00CC25E2">
            <w:pPr>
              <w:pStyle w:val="NormalWeb"/>
              <w:rPr>
                <w:sz w:val="18"/>
                <w:szCs w:val="18"/>
              </w:rPr>
            </w:pPr>
            <w:r w:rsidRPr="00115ED7">
              <w:rPr>
                <w:sz w:val="18"/>
                <w:szCs w:val="18"/>
              </w:rPr>
              <w:t>0.58 (0.47, 0.71)</w:t>
            </w:r>
          </w:p>
        </w:tc>
        <w:tc>
          <w:tcPr>
            <w:tcW w:w="992" w:type="dxa"/>
            <w:hideMark/>
          </w:tcPr>
          <w:p w14:paraId="7368F4B3" w14:textId="77777777" w:rsidR="00CC25E2" w:rsidRPr="00115ED7" w:rsidRDefault="00CC25E2">
            <w:pPr>
              <w:pStyle w:val="NormalWeb"/>
              <w:rPr>
                <w:sz w:val="18"/>
                <w:szCs w:val="18"/>
              </w:rPr>
            </w:pPr>
            <w:r w:rsidRPr="00115ED7">
              <w:rPr>
                <w:sz w:val="18"/>
                <w:szCs w:val="18"/>
              </w:rPr>
              <w:t>&lt;0.001</w:t>
            </w:r>
          </w:p>
        </w:tc>
        <w:tc>
          <w:tcPr>
            <w:tcW w:w="1843" w:type="dxa"/>
            <w:hideMark/>
          </w:tcPr>
          <w:p w14:paraId="1C806241" w14:textId="77777777" w:rsidR="00CC25E2" w:rsidRPr="00115ED7" w:rsidRDefault="00CC25E2">
            <w:pPr>
              <w:pStyle w:val="NormalWeb"/>
              <w:rPr>
                <w:sz w:val="18"/>
                <w:szCs w:val="18"/>
              </w:rPr>
            </w:pPr>
            <w:r w:rsidRPr="00115ED7">
              <w:rPr>
                <w:sz w:val="18"/>
                <w:szCs w:val="18"/>
              </w:rPr>
              <w:t>0.52 (0.42, 0.66)</w:t>
            </w:r>
          </w:p>
        </w:tc>
        <w:tc>
          <w:tcPr>
            <w:tcW w:w="1226" w:type="dxa"/>
            <w:hideMark/>
          </w:tcPr>
          <w:p w14:paraId="04460865" w14:textId="77777777" w:rsidR="00CC25E2" w:rsidRPr="00115ED7" w:rsidRDefault="00CC25E2">
            <w:pPr>
              <w:pStyle w:val="NormalWeb"/>
              <w:rPr>
                <w:sz w:val="18"/>
                <w:szCs w:val="18"/>
              </w:rPr>
            </w:pPr>
            <w:r w:rsidRPr="00115ED7">
              <w:rPr>
                <w:sz w:val="18"/>
                <w:szCs w:val="18"/>
              </w:rPr>
              <w:t>&lt;0.001</w:t>
            </w:r>
          </w:p>
        </w:tc>
      </w:tr>
      <w:tr w:rsidR="00CC25E2" w:rsidRPr="00115ED7" w14:paraId="7D6C9DE0" w14:textId="77777777" w:rsidTr="00263CA4">
        <w:tc>
          <w:tcPr>
            <w:tcW w:w="4536" w:type="dxa"/>
            <w:hideMark/>
          </w:tcPr>
          <w:p w14:paraId="1E4558DF" w14:textId="77777777" w:rsidR="00CC25E2" w:rsidRPr="00115ED7" w:rsidRDefault="00CC25E2">
            <w:pPr>
              <w:pStyle w:val="NormalWeb"/>
              <w:rPr>
                <w:sz w:val="18"/>
                <w:szCs w:val="18"/>
              </w:rPr>
            </w:pPr>
            <w:r w:rsidRPr="00115ED7">
              <w:rPr>
                <w:sz w:val="18"/>
                <w:szCs w:val="18"/>
              </w:rPr>
              <w:t>Medical comorbidities</w:t>
            </w:r>
          </w:p>
        </w:tc>
        <w:tc>
          <w:tcPr>
            <w:tcW w:w="1843" w:type="dxa"/>
            <w:hideMark/>
          </w:tcPr>
          <w:p w14:paraId="656F23BF" w14:textId="77777777" w:rsidR="00CC25E2" w:rsidRPr="00115ED7" w:rsidRDefault="00CC25E2">
            <w:pPr>
              <w:pStyle w:val="NormalWeb"/>
              <w:rPr>
                <w:sz w:val="18"/>
                <w:szCs w:val="18"/>
              </w:rPr>
            </w:pPr>
            <w:r w:rsidRPr="00115ED7">
              <w:rPr>
                <w:sz w:val="18"/>
                <w:szCs w:val="18"/>
              </w:rPr>
              <w:t>1.41 (1.10, 1.80)</w:t>
            </w:r>
          </w:p>
        </w:tc>
        <w:tc>
          <w:tcPr>
            <w:tcW w:w="992" w:type="dxa"/>
            <w:hideMark/>
          </w:tcPr>
          <w:p w14:paraId="73BB5430" w14:textId="77777777" w:rsidR="00CC25E2" w:rsidRPr="00115ED7" w:rsidRDefault="00CC25E2">
            <w:pPr>
              <w:pStyle w:val="NormalWeb"/>
              <w:rPr>
                <w:sz w:val="18"/>
                <w:szCs w:val="18"/>
              </w:rPr>
            </w:pPr>
            <w:r w:rsidRPr="00115ED7">
              <w:rPr>
                <w:sz w:val="18"/>
                <w:szCs w:val="18"/>
              </w:rPr>
              <w:t>0.006</w:t>
            </w:r>
          </w:p>
        </w:tc>
        <w:tc>
          <w:tcPr>
            <w:tcW w:w="1843" w:type="dxa"/>
            <w:hideMark/>
          </w:tcPr>
          <w:p w14:paraId="7499B4AA" w14:textId="77777777" w:rsidR="00CC25E2" w:rsidRPr="00115ED7" w:rsidRDefault="00CC25E2">
            <w:pPr>
              <w:pStyle w:val="NormalWeb"/>
              <w:rPr>
                <w:sz w:val="18"/>
                <w:szCs w:val="18"/>
              </w:rPr>
            </w:pPr>
            <w:r w:rsidRPr="00115ED7">
              <w:rPr>
                <w:sz w:val="18"/>
                <w:szCs w:val="18"/>
              </w:rPr>
              <w:t>1.79 (1.37, 2.33)</w:t>
            </w:r>
          </w:p>
        </w:tc>
        <w:tc>
          <w:tcPr>
            <w:tcW w:w="1226" w:type="dxa"/>
            <w:hideMark/>
          </w:tcPr>
          <w:p w14:paraId="47B4C815" w14:textId="77777777" w:rsidR="00CC25E2" w:rsidRPr="00115ED7" w:rsidRDefault="00CC25E2">
            <w:pPr>
              <w:pStyle w:val="NormalWeb"/>
              <w:rPr>
                <w:sz w:val="18"/>
                <w:szCs w:val="18"/>
              </w:rPr>
            </w:pPr>
            <w:r w:rsidRPr="00115ED7">
              <w:rPr>
                <w:sz w:val="18"/>
                <w:szCs w:val="18"/>
              </w:rPr>
              <w:t>&lt;0.001</w:t>
            </w:r>
          </w:p>
        </w:tc>
      </w:tr>
      <w:tr w:rsidR="00CC25E2" w:rsidRPr="00115ED7" w14:paraId="57BA7DEE" w14:textId="77777777" w:rsidTr="00263CA4">
        <w:trPr>
          <w:cnfStyle w:val="000000010000" w:firstRow="0" w:lastRow="0" w:firstColumn="0" w:lastColumn="0" w:oddVBand="0" w:evenVBand="0" w:oddHBand="0" w:evenHBand="1" w:firstRowFirstColumn="0" w:firstRowLastColumn="0" w:lastRowFirstColumn="0" w:lastRowLastColumn="0"/>
        </w:trPr>
        <w:tc>
          <w:tcPr>
            <w:tcW w:w="4536" w:type="dxa"/>
            <w:hideMark/>
          </w:tcPr>
          <w:p w14:paraId="4AF188D2" w14:textId="77777777" w:rsidR="00CC25E2" w:rsidRPr="00115ED7" w:rsidRDefault="00CC25E2">
            <w:pPr>
              <w:pStyle w:val="NormalWeb"/>
              <w:rPr>
                <w:sz w:val="18"/>
                <w:szCs w:val="18"/>
              </w:rPr>
            </w:pPr>
            <w:r w:rsidRPr="00115ED7">
              <w:rPr>
                <w:sz w:val="18"/>
                <w:szCs w:val="18"/>
              </w:rPr>
              <w:t>Aboriginal or Torres Strait Islander peoples</w:t>
            </w:r>
          </w:p>
        </w:tc>
        <w:tc>
          <w:tcPr>
            <w:tcW w:w="1843" w:type="dxa"/>
            <w:hideMark/>
          </w:tcPr>
          <w:p w14:paraId="2F1AB03D" w14:textId="77777777" w:rsidR="00CC25E2" w:rsidRPr="00115ED7" w:rsidRDefault="00CC25E2">
            <w:pPr>
              <w:pStyle w:val="NormalWeb"/>
              <w:rPr>
                <w:sz w:val="18"/>
                <w:szCs w:val="18"/>
              </w:rPr>
            </w:pPr>
            <w:r w:rsidRPr="00115ED7">
              <w:rPr>
                <w:sz w:val="18"/>
                <w:szCs w:val="18"/>
              </w:rPr>
              <w:t>1.00 (0.68, 1.46)</w:t>
            </w:r>
          </w:p>
        </w:tc>
        <w:tc>
          <w:tcPr>
            <w:tcW w:w="992" w:type="dxa"/>
            <w:hideMark/>
          </w:tcPr>
          <w:p w14:paraId="2DE7E6BC" w14:textId="77777777" w:rsidR="00CC25E2" w:rsidRPr="00115ED7" w:rsidRDefault="00CC25E2">
            <w:pPr>
              <w:pStyle w:val="NormalWeb"/>
              <w:rPr>
                <w:sz w:val="18"/>
                <w:szCs w:val="18"/>
              </w:rPr>
            </w:pPr>
            <w:r w:rsidRPr="00115ED7">
              <w:rPr>
                <w:sz w:val="18"/>
                <w:szCs w:val="18"/>
              </w:rPr>
              <w:t>0.99</w:t>
            </w:r>
          </w:p>
        </w:tc>
        <w:tc>
          <w:tcPr>
            <w:tcW w:w="1843" w:type="dxa"/>
            <w:hideMark/>
          </w:tcPr>
          <w:p w14:paraId="348B7438" w14:textId="77777777" w:rsidR="00CC25E2" w:rsidRPr="00115ED7" w:rsidRDefault="00CC25E2">
            <w:pPr>
              <w:pStyle w:val="NormalWeb"/>
              <w:rPr>
                <w:sz w:val="18"/>
                <w:szCs w:val="18"/>
              </w:rPr>
            </w:pPr>
            <w:r w:rsidRPr="00115ED7">
              <w:rPr>
                <w:sz w:val="18"/>
                <w:szCs w:val="18"/>
              </w:rPr>
              <w:t>0.89 (0.61, 1.32)</w:t>
            </w:r>
          </w:p>
        </w:tc>
        <w:tc>
          <w:tcPr>
            <w:tcW w:w="1226" w:type="dxa"/>
            <w:hideMark/>
          </w:tcPr>
          <w:p w14:paraId="64F64B7A" w14:textId="77777777" w:rsidR="00CC25E2" w:rsidRPr="00115ED7" w:rsidRDefault="00CC25E2">
            <w:pPr>
              <w:pStyle w:val="NormalWeb"/>
              <w:rPr>
                <w:sz w:val="18"/>
                <w:szCs w:val="18"/>
              </w:rPr>
            </w:pPr>
            <w:r w:rsidRPr="00115ED7">
              <w:rPr>
                <w:sz w:val="18"/>
                <w:szCs w:val="18"/>
              </w:rPr>
              <w:t>0.575</w:t>
            </w:r>
          </w:p>
        </w:tc>
      </w:tr>
      <w:tr w:rsidR="00CC25E2" w:rsidRPr="00115ED7" w14:paraId="7165108F" w14:textId="77777777" w:rsidTr="00263CA4">
        <w:tc>
          <w:tcPr>
            <w:tcW w:w="4536" w:type="dxa"/>
            <w:hideMark/>
          </w:tcPr>
          <w:p w14:paraId="287E01E8" w14:textId="77777777" w:rsidR="00CC25E2" w:rsidRPr="00115ED7" w:rsidRDefault="00CC25E2">
            <w:pPr>
              <w:pStyle w:val="NormalWeb"/>
              <w:rPr>
                <w:sz w:val="18"/>
                <w:szCs w:val="18"/>
              </w:rPr>
            </w:pPr>
            <w:r w:rsidRPr="00115ED7">
              <w:rPr>
                <w:sz w:val="18"/>
                <w:szCs w:val="18"/>
              </w:rPr>
              <w:t>Pregnancy</w:t>
            </w:r>
          </w:p>
        </w:tc>
        <w:tc>
          <w:tcPr>
            <w:tcW w:w="1843" w:type="dxa"/>
            <w:hideMark/>
          </w:tcPr>
          <w:p w14:paraId="051BF115" w14:textId="77777777" w:rsidR="00CC25E2" w:rsidRPr="00115ED7" w:rsidRDefault="00CC25E2">
            <w:pPr>
              <w:pStyle w:val="NormalWeb"/>
              <w:rPr>
                <w:sz w:val="18"/>
                <w:szCs w:val="18"/>
              </w:rPr>
            </w:pPr>
            <w:r w:rsidRPr="00115ED7">
              <w:rPr>
                <w:sz w:val="18"/>
                <w:szCs w:val="18"/>
              </w:rPr>
              <w:t>0.59 (0.24, 1.48)</w:t>
            </w:r>
          </w:p>
        </w:tc>
        <w:tc>
          <w:tcPr>
            <w:tcW w:w="992" w:type="dxa"/>
            <w:hideMark/>
          </w:tcPr>
          <w:p w14:paraId="1BFC7744" w14:textId="77777777" w:rsidR="00CC25E2" w:rsidRPr="00115ED7" w:rsidRDefault="00CC25E2">
            <w:pPr>
              <w:pStyle w:val="NormalWeb"/>
              <w:rPr>
                <w:sz w:val="18"/>
                <w:szCs w:val="18"/>
              </w:rPr>
            </w:pPr>
            <w:r w:rsidRPr="00115ED7">
              <w:rPr>
                <w:sz w:val="18"/>
                <w:szCs w:val="18"/>
              </w:rPr>
              <w:t>0.262</w:t>
            </w:r>
          </w:p>
        </w:tc>
        <w:tc>
          <w:tcPr>
            <w:tcW w:w="1843" w:type="dxa"/>
            <w:hideMark/>
          </w:tcPr>
          <w:p w14:paraId="3F782DDD" w14:textId="77777777" w:rsidR="00CC25E2" w:rsidRPr="00115ED7" w:rsidRDefault="00CC25E2">
            <w:pPr>
              <w:pStyle w:val="NormalWeb"/>
              <w:rPr>
                <w:sz w:val="18"/>
                <w:szCs w:val="18"/>
              </w:rPr>
            </w:pPr>
            <w:r w:rsidRPr="00115ED7">
              <w:rPr>
                <w:sz w:val="18"/>
                <w:szCs w:val="18"/>
              </w:rPr>
              <w:t>0.42 (0.17, 1.07)</w:t>
            </w:r>
          </w:p>
        </w:tc>
        <w:tc>
          <w:tcPr>
            <w:tcW w:w="1226" w:type="dxa"/>
            <w:hideMark/>
          </w:tcPr>
          <w:p w14:paraId="0084600A" w14:textId="77777777" w:rsidR="00CC25E2" w:rsidRPr="00115ED7" w:rsidRDefault="00CC25E2">
            <w:pPr>
              <w:pStyle w:val="NormalWeb"/>
              <w:rPr>
                <w:sz w:val="18"/>
                <w:szCs w:val="18"/>
              </w:rPr>
            </w:pPr>
            <w:r w:rsidRPr="00115ED7">
              <w:rPr>
                <w:sz w:val="18"/>
                <w:szCs w:val="18"/>
              </w:rPr>
              <w:t>0.069</w:t>
            </w:r>
          </w:p>
        </w:tc>
      </w:tr>
      <w:tr w:rsidR="00CC25E2" w:rsidRPr="00115ED7" w14:paraId="3FC4AF8E" w14:textId="77777777" w:rsidTr="00263CA4">
        <w:trPr>
          <w:cnfStyle w:val="000000010000" w:firstRow="0" w:lastRow="0" w:firstColumn="0" w:lastColumn="0" w:oddVBand="0" w:evenVBand="0" w:oddHBand="0" w:evenHBand="1" w:firstRowFirstColumn="0" w:firstRowLastColumn="0" w:lastRowFirstColumn="0" w:lastRowLastColumn="0"/>
        </w:trPr>
        <w:tc>
          <w:tcPr>
            <w:tcW w:w="4536" w:type="dxa"/>
            <w:hideMark/>
          </w:tcPr>
          <w:p w14:paraId="4D392F3E" w14:textId="77777777" w:rsidR="00CC25E2" w:rsidRPr="00115ED7" w:rsidRDefault="00CC25E2">
            <w:pPr>
              <w:pStyle w:val="NormalWeb"/>
              <w:rPr>
                <w:sz w:val="18"/>
                <w:szCs w:val="18"/>
              </w:rPr>
            </w:pPr>
            <w:r w:rsidRPr="00115ED7">
              <w:rPr>
                <w:sz w:val="18"/>
                <w:szCs w:val="18"/>
              </w:rPr>
              <w:t>Restricted functional status</w:t>
            </w:r>
          </w:p>
        </w:tc>
        <w:tc>
          <w:tcPr>
            <w:tcW w:w="1843" w:type="dxa"/>
            <w:hideMark/>
          </w:tcPr>
          <w:p w14:paraId="25D6351E" w14:textId="77777777" w:rsidR="00CC25E2" w:rsidRPr="00115ED7" w:rsidRDefault="00CC25E2">
            <w:pPr>
              <w:pStyle w:val="NormalWeb"/>
              <w:rPr>
                <w:sz w:val="18"/>
                <w:szCs w:val="18"/>
              </w:rPr>
            </w:pPr>
            <w:r w:rsidRPr="00115ED7">
              <w:rPr>
                <w:sz w:val="18"/>
                <w:szCs w:val="18"/>
              </w:rPr>
              <w:t>1.04 (0.87, 1.26)</w:t>
            </w:r>
          </w:p>
        </w:tc>
        <w:tc>
          <w:tcPr>
            <w:tcW w:w="992" w:type="dxa"/>
            <w:hideMark/>
          </w:tcPr>
          <w:p w14:paraId="25C08057" w14:textId="77777777" w:rsidR="00CC25E2" w:rsidRPr="00115ED7" w:rsidRDefault="00CC25E2">
            <w:pPr>
              <w:pStyle w:val="NormalWeb"/>
              <w:rPr>
                <w:sz w:val="18"/>
                <w:szCs w:val="18"/>
              </w:rPr>
            </w:pPr>
            <w:r w:rsidRPr="00115ED7">
              <w:rPr>
                <w:sz w:val="18"/>
                <w:szCs w:val="18"/>
              </w:rPr>
              <w:t>0.653</w:t>
            </w:r>
          </w:p>
        </w:tc>
        <w:tc>
          <w:tcPr>
            <w:tcW w:w="1843" w:type="dxa"/>
            <w:hideMark/>
          </w:tcPr>
          <w:p w14:paraId="6508452C" w14:textId="77777777" w:rsidR="00CC25E2" w:rsidRPr="00115ED7" w:rsidRDefault="00CC25E2">
            <w:pPr>
              <w:pStyle w:val="NormalWeb"/>
              <w:rPr>
                <w:sz w:val="18"/>
                <w:szCs w:val="18"/>
              </w:rPr>
            </w:pPr>
            <w:r w:rsidRPr="00115ED7">
              <w:rPr>
                <w:sz w:val="18"/>
                <w:szCs w:val="18"/>
              </w:rPr>
              <w:t>0.91 (0.72, 1.14)</w:t>
            </w:r>
          </w:p>
        </w:tc>
        <w:tc>
          <w:tcPr>
            <w:tcW w:w="1226" w:type="dxa"/>
            <w:hideMark/>
          </w:tcPr>
          <w:p w14:paraId="09529256" w14:textId="77777777" w:rsidR="00CC25E2" w:rsidRPr="00115ED7" w:rsidRDefault="00CC25E2">
            <w:pPr>
              <w:pStyle w:val="NormalWeb"/>
              <w:rPr>
                <w:sz w:val="18"/>
                <w:szCs w:val="18"/>
              </w:rPr>
            </w:pPr>
            <w:r w:rsidRPr="00115ED7">
              <w:rPr>
                <w:sz w:val="18"/>
                <w:szCs w:val="18"/>
              </w:rPr>
              <w:t>0.405</w:t>
            </w:r>
          </w:p>
        </w:tc>
      </w:tr>
      <w:tr w:rsidR="00CC25E2" w:rsidRPr="00115ED7" w14:paraId="7D8D28FF" w14:textId="77777777" w:rsidTr="00263CA4">
        <w:tc>
          <w:tcPr>
            <w:tcW w:w="4536" w:type="dxa"/>
            <w:hideMark/>
          </w:tcPr>
          <w:p w14:paraId="778FAAE8" w14:textId="77777777" w:rsidR="00CC25E2" w:rsidRPr="00115ED7" w:rsidRDefault="00CC25E2">
            <w:pPr>
              <w:pStyle w:val="NormalWeb"/>
              <w:rPr>
                <w:sz w:val="18"/>
                <w:szCs w:val="18"/>
              </w:rPr>
            </w:pPr>
            <w:r w:rsidRPr="00115ED7">
              <w:rPr>
                <w:sz w:val="18"/>
                <w:szCs w:val="18"/>
              </w:rPr>
              <w:t>Nursing home resident</w:t>
            </w:r>
          </w:p>
        </w:tc>
        <w:tc>
          <w:tcPr>
            <w:tcW w:w="1843" w:type="dxa"/>
            <w:hideMark/>
          </w:tcPr>
          <w:p w14:paraId="5D9C7BB1" w14:textId="77777777" w:rsidR="00CC25E2" w:rsidRPr="00115ED7" w:rsidRDefault="00CC25E2">
            <w:pPr>
              <w:pStyle w:val="NormalWeb"/>
              <w:rPr>
                <w:sz w:val="18"/>
                <w:szCs w:val="18"/>
              </w:rPr>
            </w:pPr>
            <w:r w:rsidRPr="00115ED7">
              <w:rPr>
                <w:sz w:val="18"/>
                <w:szCs w:val="18"/>
              </w:rPr>
              <w:t>0.41 (0.24, 0.69)</w:t>
            </w:r>
          </w:p>
        </w:tc>
        <w:tc>
          <w:tcPr>
            <w:tcW w:w="992" w:type="dxa"/>
            <w:hideMark/>
          </w:tcPr>
          <w:p w14:paraId="5742276A" w14:textId="77777777" w:rsidR="00CC25E2" w:rsidRPr="00115ED7" w:rsidRDefault="00CC25E2">
            <w:pPr>
              <w:pStyle w:val="NormalWeb"/>
              <w:rPr>
                <w:sz w:val="18"/>
                <w:szCs w:val="18"/>
              </w:rPr>
            </w:pPr>
            <w:r w:rsidRPr="00115ED7">
              <w:rPr>
                <w:sz w:val="18"/>
                <w:szCs w:val="18"/>
              </w:rPr>
              <w:t>0.001</w:t>
            </w:r>
          </w:p>
        </w:tc>
        <w:tc>
          <w:tcPr>
            <w:tcW w:w="1843" w:type="dxa"/>
            <w:hideMark/>
          </w:tcPr>
          <w:p w14:paraId="1FEEFFDA" w14:textId="77777777" w:rsidR="00CC25E2" w:rsidRPr="00115ED7" w:rsidRDefault="00CC25E2">
            <w:pPr>
              <w:pStyle w:val="NormalWeb"/>
              <w:rPr>
                <w:sz w:val="18"/>
                <w:szCs w:val="18"/>
              </w:rPr>
            </w:pPr>
            <w:r w:rsidRPr="00115ED7">
              <w:rPr>
                <w:sz w:val="18"/>
                <w:szCs w:val="18"/>
              </w:rPr>
              <w:t>0.44 (0.26, 0.76)</w:t>
            </w:r>
          </w:p>
        </w:tc>
        <w:tc>
          <w:tcPr>
            <w:tcW w:w="1226" w:type="dxa"/>
            <w:hideMark/>
          </w:tcPr>
          <w:p w14:paraId="2EDA08B7" w14:textId="77777777" w:rsidR="00CC25E2" w:rsidRPr="00115ED7" w:rsidRDefault="00CC25E2">
            <w:pPr>
              <w:pStyle w:val="NormalWeb"/>
              <w:rPr>
                <w:sz w:val="18"/>
                <w:szCs w:val="18"/>
              </w:rPr>
            </w:pPr>
            <w:r w:rsidRPr="00115ED7">
              <w:rPr>
                <w:sz w:val="18"/>
                <w:szCs w:val="18"/>
              </w:rPr>
              <w:t>0.003</w:t>
            </w:r>
          </w:p>
        </w:tc>
      </w:tr>
      <w:tr w:rsidR="00DC0063" w:rsidRPr="00DC0063" w14:paraId="70B8BAA7" w14:textId="77777777" w:rsidTr="00DC0063">
        <w:trPr>
          <w:cnfStyle w:val="000000010000" w:firstRow="0" w:lastRow="0" w:firstColumn="0" w:lastColumn="0" w:oddVBand="0" w:evenVBand="0" w:oddHBand="0" w:evenHBand="1" w:firstRowFirstColumn="0" w:firstRowLastColumn="0" w:lastRowFirstColumn="0" w:lastRowLastColumn="0"/>
        </w:trPr>
        <w:tc>
          <w:tcPr>
            <w:tcW w:w="4536" w:type="dxa"/>
            <w:shd w:val="clear" w:color="auto" w:fill="808080" w:themeFill="background1" w:themeFillShade="80"/>
            <w:hideMark/>
          </w:tcPr>
          <w:p w14:paraId="2B6ABAA5" w14:textId="77777777" w:rsidR="00CC25E2" w:rsidRPr="00DC0063" w:rsidRDefault="00CC25E2">
            <w:pPr>
              <w:pStyle w:val="NormalWeb"/>
              <w:rPr>
                <w:b/>
                <w:color w:val="FFFFFF" w:themeColor="background1"/>
                <w:sz w:val="18"/>
                <w:szCs w:val="18"/>
              </w:rPr>
            </w:pPr>
            <w:r w:rsidRPr="00DC0063">
              <w:rPr>
                <w:b/>
                <w:color w:val="FFFFFF" w:themeColor="background1"/>
                <w:sz w:val="18"/>
                <w:szCs w:val="18"/>
              </w:rPr>
              <w:t>Influenza type/subtype</w:t>
            </w:r>
          </w:p>
        </w:tc>
        <w:tc>
          <w:tcPr>
            <w:tcW w:w="1843" w:type="dxa"/>
            <w:shd w:val="clear" w:color="auto" w:fill="808080" w:themeFill="background1" w:themeFillShade="80"/>
            <w:hideMark/>
          </w:tcPr>
          <w:p w14:paraId="38871718" w14:textId="77777777" w:rsidR="00CC25E2" w:rsidRPr="00DC0063" w:rsidRDefault="00CC25E2">
            <w:pPr>
              <w:rPr>
                <w:b/>
                <w:color w:val="FFFFFF" w:themeColor="background1"/>
                <w:sz w:val="18"/>
                <w:szCs w:val="18"/>
              </w:rPr>
            </w:pPr>
          </w:p>
        </w:tc>
        <w:tc>
          <w:tcPr>
            <w:tcW w:w="992" w:type="dxa"/>
            <w:shd w:val="clear" w:color="auto" w:fill="808080" w:themeFill="background1" w:themeFillShade="80"/>
            <w:hideMark/>
          </w:tcPr>
          <w:p w14:paraId="318DD4AD" w14:textId="77777777" w:rsidR="00CC25E2" w:rsidRPr="00DC0063" w:rsidRDefault="00CC25E2">
            <w:pPr>
              <w:rPr>
                <w:rFonts w:eastAsia="Times New Roman"/>
                <w:b/>
                <w:color w:val="FFFFFF" w:themeColor="background1"/>
                <w:sz w:val="18"/>
                <w:szCs w:val="18"/>
              </w:rPr>
            </w:pPr>
          </w:p>
        </w:tc>
        <w:tc>
          <w:tcPr>
            <w:tcW w:w="1843" w:type="dxa"/>
            <w:shd w:val="clear" w:color="auto" w:fill="808080" w:themeFill="background1" w:themeFillShade="80"/>
            <w:hideMark/>
          </w:tcPr>
          <w:p w14:paraId="2924CC56" w14:textId="77777777" w:rsidR="00CC25E2" w:rsidRPr="00DC0063" w:rsidRDefault="00CC25E2">
            <w:pPr>
              <w:rPr>
                <w:rFonts w:eastAsia="Times New Roman"/>
                <w:b/>
                <w:color w:val="FFFFFF" w:themeColor="background1"/>
                <w:sz w:val="18"/>
                <w:szCs w:val="18"/>
              </w:rPr>
            </w:pPr>
          </w:p>
        </w:tc>
        <w:tc>
          <w:tcPr>
            <w:tcW w:w="1226" w:type="dxa"/>
            <w:shd w:val="clear" w:color="auto" w:fill="808080" w:themeFill="background1" w:themeFillShade="80"/>
            <w:hideMark/>
          </w:tcPr>
          <w:p w14:paraId="03BFD0C5" w14:textId="77777777" w:rsidR="00CC25E2" w:rsidRPr="00DC0063" w:rsidRDefault="00CC25E2">
            <w:pPr>
              <w:rPr>
                <w:rFonts w:eastAsia="Times New Roman"/>
                <w:b/>
                <w:color w:val="FFFFFF" w:themeColor="background1"/>
                <w:sz w:val="18"/>
                <w:szCs w:val="18"/>
              </w:rPr>
            </w:pPr>
          </w:p>
        </w:tc>
      </w:tr>
      <w:tr w:rsidR="00CC25E2" w:rsidRPr="00115ED7" w14:paraId="48EC7B9B" w14:textId="77777777" w:rsidTr="00263CA4">
        <w:tc>
          <w:tcPr>
            <w:tcW w:w="4536" w:type="dxa"/>
            <w:hideMark/>
          </w:tcPr>
          <w:p w14:paraId="79DD957F" w14:textId="77777777" w:rsidR="00CC25E2" w:rsidRPr="00115ED7" w:rsidRDefault="00CC25E2">
            <w:pPr>
              <w:pStyle w:val="NormalWeb"/>
              <w:rPr>
                <w:sz w:val="18"/>
                <w:szCs w:val="18"/>
              </w:rPr>
            </w:pPr>
            <w:r w:rsidRPr="00115ED7">
              <w:rPr>
                <w:sz w:val="18"/>
                <w:szCs w:val="18"/>
              </w:rPr>
              <w:t>A/H1</w:t>
            </w:r>
          </w:p>
        </w:tc>
        <w:tc>
          <w:tcPr>
            <w:tcW w:w="1843" w:type="dxa"/>
            <w:hideMark/>
          </w:tcPr>
          <w:p w14:paraId="44BD1AA7" w14:textId="77777777" w:rsidR="00CC25E2" w:rsidRPr="00115ED7" w:rsidRDefault="00CC25E2">
            <w:pPr>
              <w:pStyle w:val="NormalWeb"/>
              <w:rPr>
                <w:sz w:val="18"/>
                <w:szCs w:val="18"/>
              </w:rPr>
            </w:pPr>
            <w:r w:rsidRPr="00115ED7">
              <w:rPr>
                <w:sz w:val="18"/>
                <w:szCs w:val="18"/>
              </w:rPr>
              <w:t>1.63 (1.07, 2.48)</w:t>
            </w:r>
          </w:p>
        </w:tc>
        <w:tc>
          <w:tcPr>
            <w:tcW w:w="992" w:type="dxa"/>
            <w:hideMark/>
          </w:tcPr>
          <w:p w14:paraId="25B459B4" w14:textId="77777777" w:rsidR="00CC25E2" w:rsidRPr="00115ED7" w:rsidRDefault="00CC25E2">
            <w:pPr>
              <w:pStyle w:val="NormalWeb"/>
              <w:rPr>
                <w:sz w:val="18"/>
                <w:szCs w:val="18"/>
              </w:rPr>
            </w:pPr>
            <w:r w:rsidRPr="00115ED7">
              <w:rPr>
                <w:sz w:val="18"/>
                <w:szCs w:val="18"/>
              </w:rPr>
              <w:t>0.024</w:t>
            </w:r>
          </w:p>
        </w:tc>
        <w:tc>
          <w:tcPr>
            <w:tcW w:w="1843" w:type="dxa"/>
            <w:hideMark/>
          </w:tcPr>
          <w:p w14:paraId="12E20A7C" w14:textId="77777777" w:rsidR="00CC25E2" w:rsidRPr="00115ED7" w:rsidRDefault="00CC25E2">
            <w:pPr>
              <w:pStyle w:val="NormalWeb"/>
              <w:rPr>
                <w:sz w:val="18"/>
                <w:szCs w:val="18"/>
              </w:rPr>
            </w:pPr>
            <w:r w:rsidRPr="00115ED7">
              <w:rPr>
                <w:sz w:val="18"/>
                <w:szCs w:val="18"/>
              </w:rPr>
              <w:t>1.62 (1.05, 2.48)</w:t>
            </w:r>
          </w:p>
        </w:tc>
        <w:tc>
          <w:tcPr>
            <w:tcW w:w="1226" w:type="dxa"/>
            <w:hideMark/>
          </w:tcPr>
          <w:p w14:paraId="04B90474" w14:textId="77777777" w:rsidR="00CC25E2" w:rsidRPr="00115ED7" w:rsidRDefault="00CC25E2">
            <w:pPr>
              <w:pStyle w:val="NormalWeb"/>
              <w:rPr>
                <w:sz w:val="18"/>
                <w:szCs w:val="18"/>
              </w:rPr>
            </w:pPr>
            <w:r w:rsidRPr="00115ED7">
              <w:rPr>
                <w:sz w:val="18"/>
                <w:szCs w:val="18"/>
              </w:rPr>
              <w:t>0.028</w:t>
            </w:r>
          </w:p>
        </w:tc>
      </w:tr>
      <w:tr w:rsidR="00CC25E2" w:rsidRPr="00115ED7" w14:paraId="67F3C58D" w14:textId="77777777" w:rsidTr="00263CA4">
        <w:trPr>
          <w:cnfStyle w:val="000000010000" w:firstRow="0" w:lastRow="0" w:firstColumn="0" w:lastColumn="0" w:oddVBand="0" w:evenVBand="0" w:oddHBand="0" w:evenHBand="1" w:firstRowFirstColumn="0" w:firstRowLastColumn="0" w:lastRowFirstColumn="0" w:lastRowLastColumn="0"/>
        </w:trPr>
        <w:tc>
          <w:tcPr>
            <w:tcW w:w="4536" w:type="dxa"/>
            <w:hideMark/>
          </w:tcPr>
          <w:p w14:paraId="334EBC41" w14:textId="77777777" w:rsidR="00CC25E2" w:rsidRPr="00115ED7" w:rsidRDefault="00CC25E2">
            <w:pPr>
              <w:pStyle w:val="NormalWeb"/>
              <w:rPr>
                <w:sz w:val="18"/>
                <w:szCs w:val="18"/>
              </w:rPr>
            </w:pPr>
            <w:r w:rsidRPr="00115ED7">
              <w:rPr>
                <w:sz w:val="18"/>
                <w:szCs w:val="18"/>
              </w:rPr>
              <w:t>A/H3</w:t>
            </w:r>
          </w:p>
        </w:tc>
        <w:tc>
          <w:tcPr>
            <w:tcW w:w="1843" w:type="dxa"/>
            <w:hideMark/>
          </w:tcPr>
          <w:p w14:paraId="6E98E65F" w14:textId="77777777" w:rsidR="00CC25E2" w:rsidRPr="00115ED7" w:rsidRDefault="00CC25E2">
            <w:pPr>
              <w:pStyle w:val="NormalWeb"/>
              <w:rPr>
                <w:sz w:val="18"/>
                <w:szCs w:val="18"/>
              </w:rPr>
            </w:pPr>
            <w:r w:rsidRPr="00115ED7">
              <w:rPr>
                <w:sz w:val="18"/>
                <w:szCs w:val="18"/>
              </w:rPr>
              <w:t>0.75 (0.53, 1.07)</w:t>
            </w:r>
          </w:p>
        </w:tc>
        <w:tc>
          <w:tcPr>
            <w:tcW w:w="992" w:type="dxa"/>
            <w:hideMark/>
          </w:tcPr>
          <w:p w14:paraId="7ACAC5C4" w14:textId="77777777" w:rsidR="00CC25E2" w:rsidRPr="00115ED7" w:rsidRDefault="00CC25E2">
            <w:pPr>
              <w:pStyle w:val="NormalWeb"/>
              <w:rPr>
                <w:sz w:val="18"/>
                <w:szCs w:val="18"/>
              </w:rPr>
            </w:pPr>
            <w:r w:rsidRPr="00115ED7">
              <w:rPr>
                <w:sz w:val="18"/>
                <w:szCs w:val="18"/>
              </w:rPr>
              <w:t>0.113</w:t>
            </w:r>
          </w:p>
        </w:tc>
        <w:tc>
          <w:tcPr>
            <w:tcW w:w="1843" w:type="dxa"/>
            <w:hideMark/>
          </w:tcPr>
          <w:p w14:paraId="5011E8C3" w14:textId="77777777" w:rsidR="00CC25E2" w:rsidRPr="00115ED7" w:rsidRDefault="00CC25E2">
            <w:pPr>
              <w:pStyle w:val="NormalWeb"/>
              <w:rPr>
                <w:sz w:val="18"/>
                <w:szCs w:val="18"/>
              </w:rPr>
            </w:pPr>
            <w:r w:rsidRPr="00115ED7">
              <w:rPr>
                <w:sz w:val="18"/>
                <w:szCs w:val="18"/>
              </w:rPr>
              <w:t>0.80 (0.56, 1.15)</w:t>
            </w:r>
          </w:p>
        </w:tc>
        <w:tc>
          <w:tcPr>
            <w:tcW w:w="1226" w:type="dxa"/>
            <w:hideMark/>
          </w:tcPr>
          <w:p w14:paraId="5A1B64B8" w14:textId="77777777" w:rsidR="00CC25E2" w:rsidRPr="00115ED7" w:rsidRDefault="00CC25E2">
            <w:pPr>
              <w:pStyle w:val="NormalWeb"/>
              <w:rPr>
                <w:sz w:val="18"/>
                <w:szCs w:val="18"/>
              </w:rPr>
            </w:pPr>
            <w:r w:rsidRPr="00115ED7">
              <w:rPr>
                <w:sz w:val="18"/>
                <w:szCs w:val="18"/>
              </w:rPr>
              <w:t>0.226</w:t>
            </w:r>
          </w:p>
        </w:tc>
      </w:tr>
      <w:tr w:rsidR="00CC25E2" w:rsidRPr="00115ED7" w14:paraId="2E5ED360" w14:textId="77777777" w:rsidTr="00263CA4">
        <w:tc>
          <w:tcPr>
            <w:tcW w:w="4536" w:type="dxa"/>
            <w:hideMark/>
          </w:tcPr>
          <w:p w14:paraId="0DEEA2D8" w14:textId="77777777" w:rsidR="00CC25E2" w:rsidRPr="00115ED7" w:rsidRDefault="00CC25E2">
            <w:pPr>
              <w:pStyle w:val="NormalWeb"/>
              <w:rPr>
                <w:sz w:val="18"/>
                <w:szCs w:val="18"/>
              </w:rPr>
            </w:pPr>
            <w:r w:rsidRPr="00115ED7">
              <w:rPr>
                <w:sz w:val="18"/>
                <w:szCs w:val="18"/>
              </w:rPr>
              <w:t>A/</w:t>
            </w:r>
            <w:proofErr w:type="spellStart"/>
            <w:r w:rsidRPr="00115ED7">
              <w:rPr>
                <w:sz w:val="18"/>
                <w:szCs w:val="18"/>
              </w:rPr>
              <w:t>unk</w:t>
            </w:r>
            <w:proofErr w:type="spellEnd"/>
          </w:p>
        </w:tc>
        <w:tc>
          <w:tcPr>
            <w:tcW w:w="1843" w:type="dxa"/>
            <w:hideMark/>
          </w:tcPr>
          <w:p w14:paraId="16E9EC2C" w14:textId="77777777" w:rsidR="00CC25E2" w:rsidRPr="00115ED7" w:rsidRDefault="00CC25E2">
            <w:pPr>
              <w:pStyle w:val="NormalWeb"/>
              <w:rPr>
                <w:sz w:val="18"/>
                <w:szCs w:val="18"/>
              </w:rPr>
            </w:pPr>
            <w:r w:rsidRPr="00115ED7">
              <w:rPr>
                <w:sz w:val="18"/>
                <w:szCs w:val="18"/>
              </w:rPr>
              <w:t>1.10 (0.88, 1.36)</w:t>
            </w:r>
          </w:p>
        </w:tc>
        <w:tc>
          <w:tcPr>
            <w:tcW w:w="992" w:type="dxa"/>
            <w:hideMark/>
          </w:tcPr>
          <w:p w14:paraId="27161433" w14:textId="77777777" w:rsidR="00CC25E2" w:rsidRPr="00115ED7" w:rsidRDefault="00CC25E2">
            <w:pPr>
              <w:pStyle w:val="NormalWeb"/>
              <w:rPr>
                <w:sz w:val="18"/>
                <w:szCs w:val="18"/>
              </w:rPr>
            </w:pPr>
            <w:r w:rsidRPr="00115ED7">
              <w:rPr>
                <w:sz w:val="18"/>
                <w:szCs w:val="18"/>
              </w:rPr>
              <w:t>0.401</w:t>
            </w:r>
          </w:p>
        </w:tc>
        <w:tc>
          <w:tcPr>
            <w:tcW w:w="1843" w:type="dxa"/>
            <w:hideMark/>
          </w:tcPr>
          <w:p w14:paraId="1511B58E" w14:textId="77777777" w:rsidR="00CC25E2" w:rsidRPr="00115ED7" w:rsidRDefault="00CC25E2">
            <w:pPr>
              <w:pStyle w:val="NormalWeb"/>
              <w:rPr>
                <w:sz w:val="18"/>
                <w:szCs w:val="18"/>
              </w:rPr>
            </w:pPr>
            <w:r w:rsidRPr="00115ED7">
              <w:rPr>
                <w:sz w:val="18"/>
                <w:szCs w:val="18"/>
              </w:rPr>
              <w:t>1.15 (0.92, 1.42)</w:t>
            </w:r>
          </w:p>
        </w:tc>
        <w:tc>
          <w:tcPr>
            <w:tcW w:w="1226" w:type="dxa"/>
            <w:hideMark/>
          </w:tcPr>
          <w:p w14:paraId="636ED7EF" w14:textId="77777777" w:rsidR="00CC25E2" w:rsidRPr="00115ED7" w:rsidRDefault="00CC25E2">
            <w:pPr>
              <w:pStyle w:val="NormalWeb"/>
              <w:rPr>
                <w:sz w:val="18"/>
                <w:szCs w:val="18"/>
              </w:rPr>
            </w:pPr>
            <w:r w:rsidRPr="00115ED7">
              <w:rPr>
                <w:sz w:val="18"/>
                <w:szCs w:val="18"/>
              </w:rPr>
              <w:t>0.215</w:t>
            </w:r>
          </w:p>
        </w:tc>
      </w:tr>
      <w:tr w:rsidR="00CC25E2" w:rsidRPr="00115ED7" w14:paraId="58D5D21D" w14:textId="77777777" w:rsidTr="00263CA4">
        <w:trPr>
          <w:cnfStyle w:val="000000010000" w:firstRow="0" w:lastRow="0" w:firstColumn="0" w:lastColumn="0" w:oddVBand="0" w:evenVBand="0" w:oddHBand="0" w:evenHBand="1" w:firstRowFirstColumn="0" w:firstRowLastColumn="0" w:lastRowFirstColumn="0" w:lastRowLastColumn="0"/>
        </w:trPr>
        <w:tc>
          <w:tcPr>
            <w:tcW w:w="4536" w:type="dxa"/>
            <w:hideMark/>
          </w:tcPr>
          <w:p w14:paraId="06DFE4C4" w14:textId="77777777" w:rsidR="00CC25E2" w:rsidRPr="00115ED7" w:rsidRDefault="00CC25E2">
            <w:pPr>
              <w:pStyle w:val="NormalWeb"/>
              <w:rPr>
                <w:sz w:val="18"/>
                <w:szCs w:val="18"/>
              </w:rPr>
            </w:pPr>
            <w:r w:rsidRPr="00115ED7">
              <w:rPr>
                <w:sz w:val="18"/>
                <w:szCs w:val="18"/>
              </w:rPr>
              <w:t>B</w:t>
            </w:r>
          </w:p>
        </w:tc>
        <w:tc>
          <w:tcPr>
            <w:tcW w:w="1843" w:type="dxa"/>
            <w:hideMark/>
          </w:tcPr>
          <w:p w14:paraId="5657F357" w14:textId="77777777" w:rsidR="00CC25E2" w:rsidRPr="00115ED7" w:rsidRDefault="00CC25E2">
            <w:pPr>
              <w:pStyle w:val="NormalWeb"/>
              <w:rPr>
                <w:sz w:val="18"/>
                <w:szCs w:val="18"/>
              </w:rPr>
            </w:pPr>
            <w:r w:rsidRPr="00115ED7">
              <w:rPr>
                <w:sz w:val="18"/>
                <w:szCs w:val="18"/>
              </w:rPr>
              <w:t>1 (referent)</w:t>
            </w:r>
          </w:p>
        </w:tc>
        <w:tc>
          <w:tcPr>
            <w:tcW w:w="992" w:type="dxa"/>
            <w:hideMark/>
          </w:tcPr>
          <w:p w14:paraId="071F3D08" w14:textId="77777777" w:rsidR="00CC25E2" w:rsidRPr="00115ED7" w:rsidRDefault="00CC25E2">
            <w:pPr>
              <w:rPr>
                <w:sz w:val="18"/>
                <w:szCs w:val="18"/>
              </w:rPr>
            </w:pPr>
          </w:p>
        </w:tc>
        <w:tc>
          <w:tcPr>
            <w:tcW w:w="1843" w:type="dxa"/>
            <w:hideMark/>
          </w:tcPr>
          <w:p w14:paraId="54750903" w14:textId="77777777" w:rsidR="00CC25E2" w:rsidRPr="00115ED7" w:rsidRDefault="00CC25E2">
            <w:pPr>
              <w:pStyle w:val="NormalWeb"/>
              <w:rPr>
                <w:sz w:val="18"/>
                <w:szCs w:val="18"/>
              </w:rPr>
            </w:pPr>
            <w:r w:rsidRPr="00115ED7">
              <w:rPr>
                <w:sz w:val="18"/>
                <w:szCs w:val="18"/>
              </w:rPr>
              <w:t>1 (referent)</w:t>
            </w:r>
          </w:p>
        </w:tc>
        <w:tc>
          <w:tcPr>
            <w:tcW w:w="1226" w:type="dxa"/>
            <w:hideMark/>
          </w:tcPr>
          <w:p w14:paraId="28E79F45" w14:textId="77777777" w:rsidR="00CC25E2" w:rsidRPr="00115ED7" w:rsidRDefault="00CC25E2">
            <w:pPr>
              <w:rPr>
                <w:sz w:val="18"/>
                <w:szCs w:val="18"/>
              </w:rPr>
            </w:pPr>
          </w:p>
        </w:tc>
      </w:tr>
    </w:tbl>
    <w:p w14:paraId="1DEA7748" w14:textId="77777777" w:rsidR="00CC25E2" w:rsidRPr="007E47AC" w:rsidRDefault="00CC25E2" w:rsidP="007E47AC">
      <w:pPr>
        <w:pStyle w:val="CDIfootnotes"/>
      </w:pPr>
      <w:proofErr w:type="spellStart"/>
      <w:r w:rsidRPr="007E47AC">
        <w:t>a</w:t>
      </w:r>
      <w:proofErr w:type="spellEnd"/>
      <w:r w:rsidRPr="007E47AC">
        <w:tab/>
        <w:t>all variables included in multivariate model</w:t>
      </w:r>
    </w:p>
    <w:p w14:paraId="46EEC957" w14:textId="77777777" w:rsidR="00CC25E2" w:rsidRDefault="00CC25E2">
      <w:pPr>
        <w:pStyle w:val="Heading2"/>
        <w:rPr>
          <w:rFonts w:eastAsia="Times New Roman"/>
        </w:rPr>
      </w:pPr>
      <w:r>
        <w:rPr>
          <w:rFonts w:eastAsia="Times New Roman"/>
        </w:rPr>
        <w:t>Use of antivirals</w:t>
      </w:r>
    </w:p>
    <w:p w14:paraId="51AEF3AF" w14:textId="77777777" w:rsidR="00CC25E2" w:rsidRDefault="00CC25E2" w:rsidP="00F053D7">
      <w:r>
        <w:t>Of patients where the date of onset was reported, 42% did not receive oseltamivir, 22% received oseltamivir within 2 days of symptom onset and 36% received oseltamivir more than 2 days after the onset of illness. Oseltamivir use was lower in children (6.7% within 2 days; 10% more than 2 days) than in non-elderly adults (22%, 37%) and the elderly (24%, 44%) (Table 4).</w:t>
      </w:r>
    </w:p>
    <w:p w14:paraId="3FC75BB0" w14:textId="77777777" w:rsidR="0075121E" w:rsidRDefault="0075121E">
      <w:pPr>
        <w:rPr>
          <w:b/>
        </w:rPr>
      </w:pPr>
      <w:r>
        <w:br w:type="page"/>
      </w:r>
    </w:p>
    <w:p w14:paraId="5E1543FB" w14:textId="77777777" w:rsidR="00CC25E2" w:rsidRDefault="00CC25E2" w:rsidP="00F053D7">
      <w:pPr>
        <w:pStyle w:val="CDIFigures"/>
      </w:pPr>
      <w:r>
        <w:lastRenderedPageBreak/>
        <w:t xml:space="preserve">Table 4: Oseltamivir treatment, by age group in patients with confirmed influenza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the proportion and timing of oseltamvir treatment, by age group in patients with confirmed influenza&#10;"/>
      </w:tblPr>
      <w:tblGrid>
        <w:gridCol w:w="3873"/>
        <w:gridCol w:w="1641"/>
        <w:gridCol w:w="1642"/>
        <w:gridCol w:w="1642"/>
        <w:gridCol w:w="1642"/>
      </w:tblGrid>
      <w:tr w:rsidR="00CC57DB" w:rsidRPr="00CC57DB" w14:paraId="48881A12" w14:textId="77777777" w:rsidTr="00CC57DB">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0DDD43D" w14:textId="77777777" w:rsidR="00CC25E2" w:rsidRPr="00CC57DB" w:rsidRDefault="00CC25E2">
            <w:pPr>
              <w:pStyle w:val="NormalWeb"/>
              <w:rPr>
                <w:color w:val="FFFFFF" w:themeColor="background1"/>
                <w:sz w:val="18"/>
                <w:szCs w:val="18"/>
              </w:rPr>
            </w:pPr>
            <w:r w:rsidRPr="00CC57DB">
              <w:rPr>
                <w:color w:val="FFFFFF" w:themeColor="background1"/>
                <w:sz w:val="18"/>
                <w:szCs w:val="18"/>
              </w:rPr>
              <w:t>Factor</w:t>
            </w:r>
          </w:p>
        </w:tc>
        <w:tc>
          <w:tcPr>
            <w:tcW w:w="1641" w:type="dxa"/>
            <w:hideMark/>
          </w:tcPr>
          <w:p w14:paraId="0924231F" w14:textId="77777777" w:rsidR="00CC25E2" w:rsidRPr="00CC57DB" w:rsidRDefault="00CC25E2">
            <w:pPr>
              <w:pStyle w:val="NormalWeb"/>
              <w:rPr>
                <w:color w:val="FFFFFF" w:themeColor="background1"/>
                <w:sz w:val="18"/>
                <w:szCs w:val="18"/>
              </w:rPr>
            </w:pPr>
            <w:r w:rsidRPr="00CC57DB">
              <w:rPr>
                <w:color w:val="FFFFFF" w:themeColor="background1"/>
                <w:sz w:val="18"/>
                <w:szCs w:val="18"/>
              </w:rPr>
              <w:t>Age &lt;16 years</w:t>
            </w:r>
          </w:p>
        </w:tc>
        <w:tc>
          <w:tcPr>
            <w:tcW w:w="1642" w:type="dxa"/>
            <w:hideMark/>
          </w:tcPr>
          <w:p w14:paraId="4A641296" w14:textId="77777777" w:rsidR="00CC25E2" w:rsidRPr="00CC57DB" w:rsidRDefault="00CC25E2">
            <w:pPr>
              <w:pStyle w:val="NormalWeb"/>
              <w:rPr>
                <w:color w:val="FFFFFF" w:themeColor="background1"/>
                <w:sz w:val="18"/>
                <w:szCs w:val="18"/>
              </w:rPr>
            </w:pPr>
            <w:r w:rsidRPr="00CC57DB">
              <w:rPr>
                <w:color w:val="FFFFFF" w:themeColor="background1"/>
                <w:sz w:val="18"/>
                <w:szCs w:val="18"/>
              </w:rPr>
              <w:t>Age 16–64 years</w:t>
            </w:r>
          </w:p>
        </w:tc>
        <w:tc>
          <w:tcPr>
            <w:tcW w:w="1642" w:type="dxa"/>
            <w:hideMark/>
          </w:tcPr>
          <w:p w14:paraId="7C29D26A" w14:textId="77777777" w:rsidR="00CC25E2" w:rsidRPr="00CC57DB" w:rsidRDefault="00CC25E2">
            <w:pPr>
              <w:pStyle w:val="NormalWeb"/>
              <w:rPr>
                <w:color w:val="FFFFFF" w:themeColor="background1"/>
                <w:sz w:val="18"/>
                <w:szCs w:val="18"/>
              </w:rPr>
            </w:pPr>
            <w:r w:rsidRPr="00CC57DB">
              <w:rPr>
                <w:color w:val="FFFFFF" w:themeColor="background1"/>
                <w:sz w:val="18"/>
                <w:szCs w:val="18"/>
              </w:rPr>
              <w:t>Age 65+ years</w:t>
            </w:r>
          </w:p>
        </w:tc>
        <w:tc>
          <w:tcPr>
            <w:tcW w:w="1642" w:type="dxa"/>
            <w:hideMark/>
          </w:tcPr>
          <w:p w14:paraId="6B7A291C" w14:textId="77777777" w:rsidR="00CC25E2" w:rsidRPr="00500850" w:rsidRDefault="00CC25E2">
            <w:pPr>
              <w:pStyle w:val="NormalWeb"/>
              <w:rPr>
                <w:i/>
                <w:color w:val="FFFFFF" w:themeColor="background1"/>
                <w:sz w:val="18"/>
                <w:szCs w:val="18"/>
              </w:rPr>
            </w:pPr>
            <w:r w:rsidRPr="00500850">
              <w:rPr>
                <w:i/>
                <w:color w:val="FFFFFF" w:themeColor="background1"/>
                <w:sz w:val="18"/>
                <w:szCs w:val="18"/>
              </w:rPr>
              <w:t xml:space="preserve">p </w:t>
            </w:r>
            <w:r w:rsidRPr="00FE5908">
              <w:rPr>
                <w:color w:val="FFFFFF" w:themeColor="background1"/>
                <w:sz w:val="18"/>
                <w:szCs w:val="18"/>
              </w:rPr>
              <w:t>value</w:t>
            </w:r>
          </w:p>
        </w:tc>
      </w:tr>
      <w:tr w:rsidR="00CC25E2" w:rsidRPr="00CC57DB" w14:paraId="104C9917" w14:textId="77777777" w:rsidTr="00CC57DB">
        <w:tc>
          <w:tcPr>
            <w:tcW w:w="0" w:type="auto"/>
            <w:hideMark/>
          </w:tcPr>
          <w:p w14:paraId="285D0AF8" w14:textId="77777777" w:rsidR="00CC25E2" w:rsidRPr="00CC57DB" w:rsidRDefault="00CC25E2">
            <w:pPr>
              <w:pStyle w:val="NormalWeb"/>
              <w:rPr>
                <w:sz w:val="18"/>
                <w:szCs w:val="18"/>
              </w:rPr>
            </w:pPr>
            <w:r w:rsidRPr="00CC57DB">
              <w:rPr>
                <w:sz w:val="18"/>
                <w:szCs w:val="18"/>
              </w:rPr>
              <w:t>Number of patients</w:t>
            </w:r>
          </w:p>
        </w:tc>
        <w:tc>
          <w:tcPr>
            <w:tcW w:w="1641" w:type="dxa"/>
            <w:hideMark/>
          </w:tcPr>
          <w:p w14:paraId="147A8B30" w14:textId="77777777" w:rsidR="00CC25E2" w:rsidRPr="00CC57DB" w:rsidRDefault="00CC25E2">
            <w:pPr>
              <w:pStyle w:val="NormalWeb"/>
              <w:rPr>
                <w:sz w:val="18"/>
                <w:szCs w:val="18"/>
              </w:rPr>
            </w:pPr>
            <w:r w:rsidRPr="00CC57DB">
              <w:rPr>
                <w:sz w:val="18"/>
                <w:szCs w:val="18"/>
              </w:rPr>
              <w:t>528</w:t>
            </w:r>
          </w:p>
        </w:tc>
        <w:tc>
          <w:tcPr>
            <w:tcW w:w="1642" w:type="dxa"/>
            <w:hideMark/>
          </w:tcPr>
          <w:p w14:paraId="3C3A61AA" w14:textId="77777777" w:rsidR="00CC25E2" w:rsidRPr="00CC57DB" w:rsidRDefault="00CC25E2">
            <w:pPr>
              <w:pStyle w:val="NormalWeb"/>
              <w:rPr>
                <w:sz w:val="18"/>
                <w:szCs w:val="18"/>
              </w:rPr>
            </w:pPr>
            <w:r w:rsidRPr="00CC57DB">
              <w:rPr>
                <w:sz w:val="18"/>
                <w:szCs w:val="18"/>
              </w:rPr>
              <w:t>1,273</w:t>
            </w:r>
          </w:p>
        </w:tc>
        <w:tc>
          <w:tcPr>
            <w:tcW w:w="1642" w:type="dxa"/>
            <w:hideMark/>
          </w:tcPr>
          <w:p w14:paraId="26C19D90" w14:textId="77777777" w:rsidR="00CC25E2" w:rsidRPr="00CC57DB" w:rsidRDefault="00CC25E2">
            <w:pPr>
              <w:pStyle w:val="NormalWeb"/>
              <w:rPr>
                <w:sz w:val="18"/>
                <w:szCs w:val="18"/>
              </w:rPr>
            </w:pPr>
            <w:r w:rsidRPr="00CC57DB">
              <w:rPr>
                <w:sz w:val="18"/>
                <w:szCs w:val="18"/>
              </w:rPr>
              <w:t>1,899</w:t>
            </w:r>
          </w:p>
        </w:tc>
        <w:tc>
          <w:tcPr>
            <w:tcW w:w="1642" w:type="dxa"/>
            <w:hideMark/>
          </w:tcPr>
          <w:p w14:paraId="6CC658E1" w14:textId="77777777" w:rsidR="00CC25E2" w:rsidRPr="00CC57DB" w:rsidRDefault="00CC25E2">
            <w:pPr>
              <w:rPr>
                <w:sz w:val="18"/>
                <w:szCs w:val="18"/>
              </w:rPr>
            </w:pPr>
          </w:p>
        </w:tc>
      </w:tr>
      <w:tr w:rsidR="00CC25E2" w:rsidRPr="00CC57DB" w14:paraId="738C9D8E" w14:textId="77777777" w:rsidTr="00CC57DB">
        <w:trPr>
          <w:cnfStyle w:val="000000010000" w:firstRow="0" w:lastRow="0" w:firstColumn="0" w:lastColumn="0" w:oddVBand="0" w:evenVBand="0" w:oddHBand="0" w:evenHBand="1" w:firstRowFirstColumn="0" w:firstRowLastColumn="0" w:lastRowFirstColumn="0" w:lastRowLastColumn="0"/>
        </w:trPr>
        <w:tc>
          <w:tcPr>
            <w:tcW w:w="0" w:type="auto"/>
            <w:hideMark/>
          </w:tcPr>
          <w:p w14:paraId="6599C9D1" w14:textId="77777777" w:rsidR="00CC25E2" w:rsidRPr="00CC57DB" w:rsidRDefault="00CC25E2">
            <w:pPr>
              <w:pStyle w:val="NormalWeb"/>
              <w:rPr>
                <w:sz w:val="18"/>
                <w:szCs w:val="18"/>
              </w:rPr>
            </w:pPr>
            <w:r w:rsidRPr="00CC57DB">
              <w:rPr>
                <w:sz w:val="18"/>
                <w:szCs w:val="18"/>
              </w:rPr>
              <w:t>Oseltamivir not received</w:t>
            </w:r>
          </w:p>
        </w:tc>
        <w:tc>
          <w:tcPr>
            <w:tcW w:w="1641" w:type="dxa"/>
            <w:hideMark/>
          </w:tcPr>
          <w:p w14:paraId="57E0352F" w14:textId="77777777" w:rsidR="00CC25E2" w:rsidRPr="00CC57DB" w:rsidRDefault="00CC25E2">
            <w:pPr>
              <w:pStyle w:val="NormalWeb"/>
              <w:rPr>
                <w:sz w:val="18"/>
                <w:szCs w:val="18"/>
              </w:rPr>
            </w:pPr>
            <w:r w:rsidRPr="00CC57DB">
              <w:rPr>
                <w:sz w:val="18"/>
                <w:szCs w:val="18"/>
              </w:rPr>
              <w:t>435 (83.2%)</w:t>
            </w:r>
          </w:p>
        </w:tc>
        <w:tc>
          <w:tcPr>
            <w:tcW w:w="1642" w:type="dxa"/>
            <w:hideMark/>
          </w:tcPr>
          <w:p w14:paraId="4F65393E" w14:textId="77777777" w:rsidR="00CC25E2" w:rsidRPr="00CC57DB" w:rsidRDefault="00CC25E2">
            <w:pPr>
              <w:pStyle w:val="NormalWeb"/>
              <w:rPr>
                <w:sz w:val="18"/>
                <w:szCs w:val="18"/>
              </w:rPr>
            </w:pPr>
            <w:r w:rsidRPr="00CC57DB">
              <w:rPr>
                <w:sz w:val="18"/>
                <w:szCs w:val="18"/>
              </w:rPr>
              <w:t>520 (41.1%)</w:t>
            </w:r>
          </w:p>
        </w:tc>
        <w:tc>
          <w:tcPr>
            <w:tcW w:w="1642" w:type="dxa"/>
            <w:hideMark/>
          </w:tcPr>
          <w:p w14:paraId="7951F24F" w14:textId="77777777" w:rsidR="00CC25E2" w:rsidRPr="00CC57DB" w:rsidRDefault="00CC25E2">
            <w:pPr>
              <w:pStyle w:val="NormalWeb"/>
              <w:rPr>
                <w:sz w:val="18"/>
                <w:szCs w:val="18"/>
              </w:rPr>
            </w:pPr>
            <w:r w:rsidRPr="00CC57DB">
              <w:rPr>
                <w:sz w:val="18"/>
                <w:szCs w:val="18"/>
              </w:rPr>
              <w:t>615 (32.5%)</w:t>
            </w:r>
          </w:p>
        </w:tc>
        <w:tc>
          <w:tcPr>
            <w:tcW w:w="1642" w:type="dxa"/>
            <w:hideMark/>
          </w:tcPr>
          <w:p w14:paraId="57C9CB64" w14:textId="77777777" w:rsidR="00CC25E2" w:rsidRPr="00CC57DB" w:rsidRDefault="00CC25E2">
            <w:pPr>
              <w:pStyle w:val="NormalWeb"/>
              <w:rPr>
                <w:sz w:val="18"/>
                <w:szCs w:val="18"/>
              </w:rPr>
            </w:pPr>
            <w:r w:rsidRPr="00CC57DB">
              <w:rPr>
                <w:sz w:val="18"/>
                <w:szCs w:val="18"/>
              </w:rPr>
              <w:t>&lt;0.001</w:t>
            </w:r>
          </w:p>
        </w:tc>
      </w:tr>
      <w:tr w:rsidR="00CC25E2" w:rsidRPr="00CC57DB" w14:paraId="5AB999AF" w14:textId="77777777" w:rsidTr="00CC57DB">
        <w:tc>
          <w:tcPr>
            <w:tcW w:w="0" w:type="auto"/>
            <w:hideMark/>
          </w:tcPr>
          <w:p w14:paraId="748555CE" w14:textId="77777777" w:rsidR="00CC25E2" w:rsidRPr="00CC57DB" w:rsidRDefault="00CC25E2">
            <w:pPr>
              <w:pStyle w:val="NormalWeb"/>
              <w:rPr>
                <w:sz w:val="18"/>
                <w:szCs w:val="18"/>
              </w:rPr>
            </w:pPr>
            <w:r w:rsidRPr="00CC57DB">
              <w:rPr>
                <w:sz w:val="18"/>
                <w:szCs w:val="18"/>
              </w:rPr>
              <w:t>Oseltamivir received</w:t>
            </w:r>
          </w:p>
        </w:tc>
        <w:tc>
          <w:tcPr>
            <w:tcW w:w="1641" w:type="dxa"/>
            <w:hideMark/>
          </w:tcPr>
          <w:p w14:paraId="3A39BE8A" w14:textId="77777777" w:rsidR="00CC25E2" w:rsidRPr="00CC57DB" w:rsidRDefault="00CC25E2">
            <w:pPr>
              <w:pStyle w:val="NormalWeb"/>
              <w:rPr>
                <w:sz w:val="18"/>
                <w:szCs w:val="18"/>
              </w:rPr>
            </w:pPr>
            <w:r w:rsidRPr="00CC57DB">
              <w:rPr>
                <w:sz w:val="18"/>
                <w:szCs w:val="18"/>
              </w:rPr>
              <w:t>88 (16.8%)</w:t>
            </w:r>
          </w:p>
        </w:tc>
        <w:tc>
          <w:tcPr>
            <w:tcW w:w="1642" w:type="dxa"/>
            <w:hideMark/>
          </w:tcPr>
          <w:p w14:paraId="544F93F7" w14:textId="77777777" w:rsidR="00CC25E2" w:rsidRPr="00CC57DB" w:rsidRDefault="00CC25E2">
            <w:pPr>
              <w:pStyle w:val="NormalWeb"/>
              <w:rPr>
                <w:sz w:val="18"/>
                <w:szCs w:val="18"/>
              </w:rPr>
            </w:pPr>
            <w:r w:rsidRPr="00CC57DB">
              <w:rPr>
                <w:sz w:val="18"/>
                <w:szCs w:val="18"/>
              </w:rPr>
              <w:t>746 (58.9%)</w:t>
            </w:r>
          </w:p>
        </w:tc>
        <w:tc>
          <w:tcPr>
            <w:tcW w:w="1642" w:type="dxa"/>
            <w:hideMark/>
          </w:tcPr>
          <w:p w14:paraId="0BEC50C9" w14:textId="77777777" w:rsidR="00CC25E2" w:rsidRPr="00CC57DB" w:rsidRDefault="00CC25E2">
            <w:pPr>
              <w:pStyle w:val="NormalWeb"/>
              <w:rPr>
                <w:sz w:val="18"/>
                <w:szCs w:val="18"/>
              </w:rPr>
            </w:pPr>
            <w:r w:rsidRPr="00CC57DB">
              <w:rPr>
                <w:sz w:val="18"/>
                <w:szCs w:val="18"/>
              </w:rPr>
              <w:t>1,276 (67.5%)</w:t>
            </w:r>
          </w:p>
        </w:tc>
        <w:tc>
          <w:tcPr>
            <w:tcW w:w="1642" w:type="dxa"/>
            <w:hideMark/>
          </w:tcPr>
          <w:p w14:paraId="03E3F1A3" w14:textId="77777777" w:rsidR="00CC25E2" w:rsidRPr="00CC57DB" w:rsidRDefault="00CC25E2">
            <w:pPr>
              <w:pStyle w:val="NormalWeb"/>
              <w:rPr>
                <w:sz w:val="18"/>
                <w:szCs w:val="18"/>
              </w:rPr>
            </w:pPr>
            <w:r w:rsidRPr="00CC57DB">
              <w:rPr>
                <w:sz w:val="18"/>
                <w:szCs w:val="18"/>
              </w:rPr>
              <w:t>&lt;0.001</w:t>
            </w:r>
          </w:p>
        </w:tc>
      </w:tr>
      <w:tr w:rsidR="00CC25E2" w:rsidRPr="00CC57DB" w14:paraId="4F65654A" w14:textId="77777777" w:rsidTr="00CC57DB">
        <w:trPr>
          <w:cnfStyle w:val="000000010000" w:firstRow="0" w:lastRow="0" w:firstColumn="0" w:lastColumn="0" w:oddVBand="0" w:evenVBand="0" w:oddHBand="0" w:evenHBand="1" w:firstRowFirstColumn="0" w:firstRowLastColumn="0" w:lastRowFirstColumn="0" w:lastRowLastColumn="0"/>
        </w:trPr>
        <w:tc>
          <w:tcPr>
            <w:tcW w:w="0" w:type="auto"/>
            <w:hideMark/>
          </w:tcPr>
          <w:p w14:paraId="1D49B381" w14:textId="77777777" w:rsidR="00CC25E2" w:rsidRPr="00CC57DB" w:rsidRDefault="00CC25E2">
            <w:pPr>
              <w:pStyle w:val="NormalWeb"/>
              <w:rPr>
                <w:sz w:val="18"/>
                <w:szCs w:val="18"/>
              </w:rPr>
            </w:pPr>
            <w:r w:rsidRPr="00CC57DB">
              <w:rPr>
                <w:sz w:val="18"/>
                <w:szCs w:val="18"/>
              </w:rPr>
              <w:t>received &lt;48h of onset</w:t>
            </w:r>
          </w:p>
        </w:tc>
        <w:tc>
          <w:tcPr>
            <w:tcW w:w="1641" w:type="dxa"/>
            <w:hideMark/>
          </w:tcPr>
          <w:p w14:paraId="2F78290A" w14:textId="77777777" w:rsidR="00CC25E2" w:rsidRPr="00CC57DB" w:rsidRDefault="00CC25E2">
            <w:pPr>
              <w:pStyle w:val="NormalWeb"/>
              <w:rPr>
                <w:sz w:val="18"/>
                <w:szCs w:val="18"/>
              </w:rPr>
            </w:pPr>
            <w:r w:rsidRPr="00CC57DB">
              <w:rPr>
                <w:sz w:val="18"/>
                <w:szCs w:val="18"/>
              </w:rPr>
              <w:t>35 (6.7%)</w:t>
            </w:r>
          </w:p>
        </w:tc>
        <w:tc>
          <w:tcPr>
            <w:tcW w:w="1642" w:type="dxa"/>
            <w:hideMark/>
          </w:tcPr>
          <w:p w14:paraId="2FCB41EB" w14:textId="77777777" w:rsidR="00CC25E2" w:rsidRPr="00CC57DB" w:rsidRDefault="00CC25E2">
            <w:pPr>
              <w:pStyle w:val="NormalWeb"/>
              <w:rPr>
                <w:sz w:val="18"/>
                <w:szCs w:val="18"/>
              </w:rPr>
            </w:pPr>
            <w:r w:rsidRPr="00CC57DB">
              <w:rPr>
                <w:sz w:val="18"/>
                <w:szCs w:val="18"/>
              </w:rPr>
              <w:t>278 (22.0%)</w:t>
            </w:r>
          </w:p>
        </w:tc>
        <w:tc>
          <w:tcPr>
            <w:tcW w:w="1642" w:type="dxa"/>
            <w:hideMark/>
          </w:tcPr>
          <w:p w14:paraId="23ACB3AF" w14:textId="77777777" w:rsidR="00CC25E2" w:rsidRPr="00CC57DB" w:rsidRDefault="00CC25E2">
            <w:pPr>
              <w:pStyle w:val="NormalWeb"/>
              <w:rPr>
                <w:sz w:val="18"/>
                <w:szCs w:val="18"/>
              </w:rPr>
            </w:pPr>
            <w:r w:rsidRPr="00CC57DB">
              <w:rPr>
                <w:sz w:val="18"/>
                <w:szCs w:val="18"/>
              </w:rPr>
              <w:t>452 (23.9%)</w:t>
            </w:r>
          </w:p>
        </w:tc>
        <w:tc>
          <w:tcPr>
            <w:tcW w:w="1642" w:type="dxa"/>
            <w:hideMark/>
          </w:tcPr>
          <w:p w14:paraId="3375F5D9" w14:textId="77777777" w:rsidR="00CC25E2" w:rsidRPr="00CC57DB" w:rsidRDefault="00CC25E2">
            <w:pPr>
              <w:rPr>
                <w:sz w:val="18"/>
                <w:szCs w:val="18"/>
              </w:rPr>
            </w:pPr>
          </w:p>
        </w:tc>
      </w:tr>
      <w:tr w:rsidR="00CC25E2" w:rsidRPr="00CC57DB" w14:paraId="1DEB2B5F" w14:textId="77777777" w:rsidTr="00CC57DB">
        <w:tc>
          <w:tcPr>
            <w:tcW w:w="0" w:type="auto"/>
            <w:hideMark/>
          </w:tcPr>
          <w:p w14:paraId="7FEBB174" w14:textId="77777777" w:rsidR="00CC25E2" w:rsidRPr="00CC57DB" w:rsidRDefault="00CC25E2">
            <w:pPr>
              <w:pStyle w:val="NormalWeb"/>
              <w:rPr>
                <w:sz w:val="18"/>
                <w:szCs w:val="18"/>
              </w:rPr>
            </w:pPr>
            <w:r w:rsidRPr="00CC57DB">
              <w:rPr>
                <w:sz w:val="18"/>
                <w:szCs w:val="18"/>
              </w:rPr>
              <w:t>received ≥48h of onset</w:t>
            </w:r>
          </w:p>
        </w:tc>
        <w:tc>
          <w:tcPr>
            <w:tcW w:w="1641" w:type="dxa"/>
            <w:hideMark/>
          </w:tcPr>
          <w:p w14:paraId="1003ACB9" w14:textId="77777777" w:rsidR="00CC25E2" w:rsidRPr="00CC57DB" w:rsidRDefault="00CC25E2">
            <w:pPr>
              <w:pStyle w:val="NormalWeb"/>
              <w:rPr>
                <w:sz w:val="18"/>
                <w:szCs w:val="18"/>
              </w:rPr>
            </w:pPr>
            <w:r w:rsidRPr="00CC57DB">
              <w:rPr>
                <w:sz w:val="18"/>
                <w:szCs w:val="18"/>
              </w:rPr>
              <w:t>53 (10.1%)</w:t>
            </w:r>
          </w:p>
        </w:tc>
        <w:tc>
          <w:tcPr>
            <w:tcW w:w="1642" w:type="dxa"/>
            <w:hideMark/>
          </w:tcPr>
          <w:p w14:paraId="7805F92A" w14:textId="77777777" w:rsidR="00CC25E2" w:rsidRPr="00CC57DB" w:rsidRDefault="00CC25E2">
            <w:pPr>
              <w:pStyle w:val="NormalWeb"/>
              <w:rPr>
                <w:sz w:val="18"/>
                <w:szCs w:val="18"/>
              </w:rPr>
            </w:pPr>
            <w:r w:rsidRPr="00CC57DB">
              <w:rPr>
                <w:sz w:val="18"/>
                <w:szCs w:val="18"/>
              </w:rPr>
              <w:t>468 (37.0%)</w:t>
            </w:r>
          </w:p>
        </w:tc>
        <w:tc>
          <w:tcPr>
            <w:tcW w:w="1642" w:type="dxa"/>
            <w:hideMark/>
          </w:tcPr>
          <w:p w14:paraId="1834B6CC" w14:textId="77777777" w:rsidR="00CC25E2" w:rsidRPr="00CC57DB" w:rsidRDefault="00CC25E2">
            <w:pPr>
              <w:pStyle w:val="NormalWeb"/>
              <w:rPr>
                <w:sz w:val="18"/>
                <w:szCs w:val="18"/>
              </w:rPr>
            </w:pPr>
            <w:r w:rsidRPr="00CC57DB">
              <w:rPr>
                <w:sz w:val="18"/>
                <w:szCs w:val="18"/>
              </w:rPr>
              <w:t>824 (43.6%)</w:t>
            </w:r>
          </w:p>
        </w:tc>
        <w:tc>
          <w:tcPr>
            <w:tcW w:w="1642" w:type="dxa"/>
            <w:hideMark/>
          </w:tcPr>
          <w:p w14:paraId="3955715F" w14:textId="77777777" w:rsidR="00CC25E2" w:rsidRPr="00CC57DB" w:rsidRDefault="00CC25E2">
            <w:pPr>
              <w:rPr>
                <w:sz w:val="18"/>
                <w:szCs w:val="18"/>
              </w:rPr>
            </w:pPr>
          </w:p>
        </w:tc>
      </w:tr>
      <w:tr w:rsidR="00CC25E2" w:rsidRPr="00CC57DB" w14:paraId="2BF0ECA3" w14:textId="77777777" w:rsidTr="00CC57DB">
        <w:trPr>
          <w:cnfStyle w:val="000000010000" w:firstRow="0" w:lastRow="0" w:firstColumn="0" w:lastColumn="0" w:oddVBand="0" w:evenVBand="0" w:oddHBand="0" w:evenHBand="1" w:firstRowFirstColumn="0" w:firstRowLastColumn="0" w:lastRowFirstColumn="0" w:lastRowLastColumn="0"/>
        </w:trPr>
        <w:tc>
          <w:tcPr>
            <w:tcW w:w="0" w:type="auto"/>
            <w:hideMark/>
          </w:tcPr>
          <w:p w14:paraId="61EB9787" w14:textId="77777777" w:rsidR="00CC25E2" w:rsidRPr="00CC57DB" w:rsidRDefault="00CC25E2">
            <w:pPr>
              <w:pStyle w:val="NormalWeb"/>
              <w:rPr>
                <w:sz w:val="18"/>
                <w:szCs w:val="18"/>
              </w:rPr>
            </w:pPr>
            <w:r w:rsidRPr="00CC57DB">
              <w:rPr>
                <w:sz w:val="18"/>
                <w:szCs w:val="18"/>
              </w:rPr>
              <w:t>Delay between onset and admission, median (IQR)</w:t>
            </w:r>
          </w:p>
        </w:tc>
        <w:tc>
          <w:tcPr>
            <w:tcW w:w="1641" w:type="dxa"/>
            <w:hideMark/>
          </w:tcPr>
          <w:p w14:paraId="262102D7" w14:textId="77777777" w:rsidR="00CC25E2" w:rsidRPr="00CC57DB" w:rsidRDefault="00CC25E2">
            <w:pPr>
              <w:pStyle w:val="NormalWeb"/>
              <w:rPr>
                <w:sz w:val="18"/>
                <w:szCs w:val="18"/>
              </w:rPr>
            </w:pPr>
            <w:r w:rsidRPr="00CC57DB">
              <w:rPr>
                <w:sz w:val="18"/>
                <w:szCs w:val="18"/>
              </w:rPr>
              <w:t>3 (1, 5)</w:t>
            </w:r>
          </w:p>
        </w:tc>
        <w:tc>
          <w:tcPr>
            <w:tcW w:w="1642" w:type="dxa"/>
            <w:hideMark/>
          </w:tcPr>
          <w:p w14:paraId="5B76C20D" w14:textId="77777777" w:rsidR="00CC25E2" w:rsidRPr="00CC57DB" w:rsidRDefault="00CC25E2">
            <w:pPr>
              <w:pStyle w:val="NormalWeb"/>
              <w:rPr>
                <w:sz w:val="18"/>
                <w:szCs w:val="18"/>
              </w:rPr>
            </w:pPr>
            <w:r w:rsidRPr="00CC57DB">
              <w:rPr>
                <w:sz w:val="18"/>
                <w:szCs w:val="18"/>
              </w:rPr>
              <w:t>3 (2, 5)</w:t>
            </w:r>
          </w:p>
        </w:tc>
        <w:tc>
          <w:tcPr>
            <w:tcW w:w="1642" w:type="dxa"/>
            <w:hideMark/>
          </w:tcPr>
          <w:p w14:paraId="75FF65A7" w14:textId="77777777" w:rsidR="00CC25E2" w:rsidRPr="00CC57DB" w:rsidRDefault="00CC25E2">
            <w:pPr>
              <w:pStyle w:val="NormalWeb"/>
              <w:rPr>
                <w:sz w:val="18"/>
                <w:szCs w:val="18"/>
              </w:rPr>
            </w:pPr>
            <w:r w:rsidRPr="00CC57DB">
              <w:rPr>
                <w:sz w:val="18"/>
                <w:szCs w:val="18"/>
              </w:rPr>
              <w:t>3 (2, 5)</w:t>
            </w:r>
          </w:p>
        </w:tc>
        <w:tc>
          <w:tcPr>
            <w:tcW w:w="1642" w:type="dxa"/>
            <w:hideMark/>
          </w:tcPr>
          <w:p w14:paraId="61EBBE50" w14:textId="77777777" w:rsidR="00CC25E2" w:rsidRPr="00CC57DB" w:rsidRDefault="00CC25E2">
            <w:pPr>
              <w:pStyle w:val="NormalWeb"/>
              <w:rPr>
                <w:sz w:val="18"/>
                <w:szCs w:val="18"/>
              </w:rPr>
            </w:pPr>
            <w:r w:rsidRPr="00CC57DB">
              <w:rPr>
                <w:sz w:val="18"/>
                <w:szCs w:val="18"/>
              </w:rPr>
              <w:t>0.34</w:t>
            </w:r>
          </w:p>
        </w:tc>
      </w:tr>
      <w:tr w:rsidR="00CC25E2" w:rsidRPr="00CC57DB" w14:paraId="556C9EE4" w14:textId="77777777" w:rsidTr="00CC57DB">
        <w:tc>
          <w:tcPr>
            <w:tcW w:w="0" w:type="auto"/>
            <w:hideMark/>
          </w:tcPr>
          <w:p w14:paraId="54B3006E" w14:textId="77777777" w:rsidR="00CC25E2" w:rsidRPr="00CC57DB" w:rsidRDefault="00CC25E2">
            <w:pPr>
              <w:pStyle w:val="NormalWeb"/>
              <w:rPr>
                <w:sz w:val="18"/>
                <w:szCs w:val="18"/>
              </w:rPr>
            </w:pPr>
            <w:r w:rsidRPr="00CC57DB">
              <w:rPr>
                <w:sz w:val="18"/>
                <w:szCs w:val="18"/>
              </w:rPr>
              <w:t xml:space="preserve">Delay between onset and </w:t>
            </w:r>
            <w:proofErr w:type="spellStart"/>
            <w:r w:rsidRPr="00CC57DB">
              <w:rPr>
                <w:sz w:val="18"/>
                <w:szCs w:val="18"/>
              </w:rPr>
              <w:t>treatment,</w:t>
            </w:r>
            <w:r w:rsidRPr="00CC57DB">
              <w:rPr>
                <w:sz w:val="18"/>
                <w:szCs w:val="18"/>
                <w:vertAlign w:val="superscript"/>
              </w:rPr>
              <w:t>a</w:t>
            </w:r>
            <w:proofErr w:type="spellEnd"/>
            <w:r w:rsidRPr="00CC57DB">
              <w:rPr>
                <w:sz w:val="18"/>
                <w:szCs w:val="18"/>
              </w:rPr>
              <w:t xml:space="preserve"> median (IQR)</w:t>
            </w:r>
          </w:p>
        </w:tc>
        <w:tc>
          <w:tcPr>
            <w:tcW w:w="1641" w:type="dxa"/>
            <w:hideMark/>
          </w:tcPr>
          <w:p w14:paraId="72246648" w14:textId="77777777" w:rsidR="00CC25E2" w:rsidRPr="00CC57DB" w:rsidRDefault="00CC25E2">
            <w:pPr>
              <w:pStyle w:val="NormalWeb"/>
              <w:rPr>
                <w:sz w:val="18"/>
                <w:szCs w:val="18"/>
              </w:rPr>
            </w:pPr>
            <w:r w:rsidRPr="00CC57DB">
              <w:rPr>
                <w:sz w:val="18"/>
                <w:szCs w:val="18"/>
              </w:rPr>
              <w:t>3 (2, 6)</w:t>
            </w:r>
          </w:p>
        </w:tc>
        <w:tc>
          <w:tcPr>
            <w:tcW w:w="1642" w:type="dxa"/>
            <w:hideMark/>
          </w:tcPr>
          <w:p w14:paraId="7974CEB1" w14:textId="77777777" w:rsidR="00CC25E2" w:rsidRPr="00CC57DB" w:rsidRDefault="00CC25E2">
            <w:pPr>
              <w:pStyle w:val="NormalWeb"/>
              <w:rPr>
                <w:sz w:val="18"/>
                <w:szCs w:val="18"/>
              </w:rPr>
            </w:pPr>
            <w:r w:rsidRPr="00CC57DB">
              <w:rPr>
                <w:sz w:val="18"/>
                <w:szCs w:val="18"/>
              </w:rPr>
              <w:t>3 (2, 5)</w:t>
            </w:r>
          </w:p>
        </w:tc>
        <w:tc>
          <w:tcPr>
            <w:tcW w:w="1642" w:type="dxa"/>
            <w:hideMark/>
          </w:tcPr>
          <w:p w14:paraId="112A43EE" w14:textId="77777777" w:rsidR="00CC25E2" w:rsidRPr="00CC57DB" w:rsidRDefault="00CC25E2">
            <w:pPr>
              <w:pStyle w:val="NormalWeb"/>
              <w:rPr>
                <w:sz w:val="18"/>
                <w:szCs w:val="18"/>
              </w:rPr>
            </w:pPr>
            <w:r w:rsidRPr="00CC57DB">
              <w:rPr>
                <w:sz w:val="18"/>
                <w:szCs w:val="18"/>
              </w:rPr>
              <w:t>3 (2, 5)</w:t>
            </w:r>
          </w:p>
        </w:tc>
        <w:tc>
          <w:tcPr>
            <w:tcW w:w="1642" w:type="dxa"/>
            <w:hideMark/>
          </w:tcPr>
          <w:p w14:paraId="1D7CBD08" w14:textId="77777777" w:rsidR="00CC25E2" w:rsidRPr="00CC57DB" w:rsidRDefault="00CC25E2">
            <w:pPr>
              <w:pStyle w:val="NormalWeb"/>
              <w:rPr>
                <w:sz w:val="18"/>
                <w:szCs w:val="18"/>
              </w:rPr>
            </w:pPr>
            <w:r w:rsidRPr="00CC57DB">
              <w:rPr>
                <w:sz w:val="18"/>
                <w:szCs w:val="18"/>
              </w:rPr>
              <w:t>0.74</w:t>
            </w:r>
          </w:p>
        </w:tc>
      </w:tr>
      <w:tr w:rsidR="00CC25E2" w:rsidRPr="00CC57DB" w14:paraId="539E08CA" w14:textId="77777777" w:rsidTr="00CC57DB">
        <w:trPr>
          <w:cnfStyle w:val="000000010000" w:firstRow="0" w:lastRow="0" w:firstColumn="0" w:lastColumn="0" w:oddVBand="0" w:evenVBand="0" w:oddHBand="0" w:evenHBand="1" w:firstRowFirstColumn="0" w:firstRowLastColumn="0" w:lastRowFirstColumn="0" w:lastRowLastColumn="0"/>
        </w:trPr>
        <w:tc>
          <w:tcPr>
            <w:tcW w:w="0" w:type="auto"/>
            <w:hideMark/>
          </w:tcPr>
          <w:p w14:paraId="43187981" w14:textId="77777777" w:rsidR="00CC25E2" w:rsidRPr="00CC57DB" w:rsidRDefault="00CC25E2">
            <w:pPr>
              <w:pStyle w:val="NormalWeb"/>
              <w:rPr>
                <w:sz w:val="18"/>
                <w:szCs w:val="18"/>
              </w:rPr>
            </w:pPr>
            <w:r w:rsidRPr="00CC57DB">
              <w:rPr>
                <w:sz w:val="18"/>
                <w:szCs w:val="18"/>
              </w:rPr>
              <w:t>Length of stay, median (IQR)</w:t>
            </w:r>
          </w:p>
        </w:tc>
        <w:tc>
          <w:tcPr>
            <w:tcW w:w="1641" w:type="dxa"/>
            <w:hideMark/>
          </w:tcPr>
          <w:p w14:paraId="1CFA1A30" w14:textId="77777777" w:rsidR="00CC25E2" w:rsidRPr="00CC57DB" w:rsidRDefault="00CC25E2">
            <w:pPr>
              <w:pStyle w:val="NormalWeb"/>
              <w:rPr>
                <w:sz w:val="18"/>
                <w:szCs w:val="18"/>
              </w:rPr>
            </w:pPr>
            <w:r w:rsidRPr="00CC57DB">
              <w:rPr>
                <w:sz w:val="18"/>
                <w:szCs w:val="18"/>
              </w:rPr>
              <w:t>2 (1, 3)</w:t>
            </w:r>
          </w:p>
        </w:tc>
        <w:tc>
          <w:tcPr>
            <w:tcW w:w="1642" w:type="dxa"/>
            <w:hideMark/>
          </w:tcPr>
          <w:p w14:paraId="41CB727D" w14:textId="77777777" w:rsidR="00CC25E2" w:rsidRPr="00CC57DB" w:rsidRDefault="00CC25E2">
            <w:pPr>
              <w:pStyle w:val="NormalWeb"/>
              <w:rPr>
                <w:sz w:val="18"/>
                <w:szCs w:val="18"/>
              </w:rPr>
            </w:pPr>
            <w:r w:rsidRPr="00CC57DB">
              <w:rPr>
                <w:sz w:val="18"/>
                <w:szCs w:val="18"/>
              </w:rPr>
              <w:t>3 (1, 5)</w:t>
            </w:r>
          </w:p>
        </w:tc>
        <w:tc>
          <w:tcPr>
            <w:tcW w:w="1642" w:type="dxa"/>
            <w:hideMark/>
          </w:tcPr>
          <w:p w14:paraId="34F3F117" w14:textId="77777777" w:rsidR="00CC25E2" w:rsidRPr="00CC57DB" w:rsidRDefault="00CC25E2">
            <w:pPr>
              <w:pStyle w:val="NormalWeb"/>
              <w:rPr>
                <w:sz w:val="18"/>
                <w:szCs w:val="18"/>
              </w:rPr>
            </w:pPr>
            <w:r w:rsidRPr="00CC57DB">
              <w:rPr>
                <w:sz w:val="18"/>
                <w:szCs w:val="18"/>
              </w:rPr>
              <w:t>4 (2, 7)</w:t>
            </w:r>
          </w:p>
        </w:tc>
        <w:tc>
          <w:tcPr>
            <w:tcW w:w="1642" w:type="dxa"/>
            <w:hideMark/>
          </w:tcPr>
          <w:p w14:paraId="0D74C45E" w14:textId="77777777" w:rsidR="00CC25E2" w:rsidRPr="00CC57DB" w:rsidRDefault="00CC25E2">
            <w:pPr>
              <w:pStyle w:val="NormalWeb"/>
              <w:rPr>
                <w:sz w:val="18"/>
                <w:szCs w:val="18"/>
              </w:rPr>
            </w:pPr>
            <w:r w:rsidRPr="00CC57DB">
              <w:rPr>
                <w:sz w:val="18"/>
                <w:szCs w:val="18"/>
              </w:rPr>
              <w:t>&lt;0.001</w:t>
            </w:r>
          </w:p>
        </w:tc>
      </w:tr>
    </w:tbl>
    <w:p w14:paraId="70C40186" w14:textId="77777777" w:rsidR="00CC25E2" w:rsidRDefault="00CC25E2" w:rsidP="00EF5498">
      <w:pPr>
        <w:pStyle w:val="CDIfootnotes"/>
      </w:pPr>
      <w:proofErr w:type="spellStart"/>
      <w:r>
        <w:t>a</w:t>
      </w:r>
      <w:proofErr w:type="spellEnd"/>
      <w:r>
        <w:tab/>
        <w:t>of patients who received oseltamivir</w:t>
      </w:r>
    </w:p>
    <w:p w14:paraId="2A7B7136" w14:textId="77777777" w:rsidR="00CC25E2" w:rsidRPr="004028DE" w:rsidRDefault="00CC25E2" w:rsidP="004028DE">
      <w:pPr>
        <w:pStyle w:val="Heading2"/>
      </w:pPr>
      <w:r w:rsidRPr="004028DE">
        <w:t>Outcome</w:t>
      </w:r>
    </w:p>
    <w:p w14:paraId="5CB2DE16" w14:textId="77777777" w:rsidR="00CC25E2" w:rsidRDefault="00CC25E2" w:rsidP="004028DE">
      <w:r>
        <w:t>The mean length of hospital stay for all patients was 6.2 days. Admission to ICU was associated with a mean hospital length of stay of 12.4 days, compared to those not admitted to ICU (5.5 days). Of the 4,236 patients where hospital mortality status was documented, 155 patients died (3.7%), which included 59 patients in ICU. Case fatality was higher in the elderly (5.8%) than in non-elderly adults (1.9%) and children (none). Of the 155 deaths, 151 (97%) occurred in patients with comorbidities. The case fatality of influenza-associated pneumonia was 10%, compared to 2.3% in those without pneumonia.</w:t>
      </w:r>
    </w:p>
    <w:p w14:paraId="54FED80B" w14:textId="77777777" w:rsidR="00CC25E2" w:rsidRDefault="00CC25E2" w:rsidP="004028DE">
      <w:r>
        <w:t xml:space="preserve">Length of hospital stay was shorter in patients that did not receive oseltamivir (median 2 days, IQR 1, 5 days), than those that received oseltamivir within 2 days (median 4 days, IQR 2, 8 days) or those who received oseltamivir after 2 days (median 4 days, IQR 2, 9 days; Kruskal-Wallis test </w:t>
      </w:r>
      <w:r w:rsidRPr="00F43A73">
        <w:rPr>
          <w:rStyle w:val="Emphasis"/>
          <w:b w:val="0"/>
        </w:rPr>
        <w:t>p</w:t>
      </w:r>
      <w:r>
        <w:t xml:space="preserve"> &lt;0.001). In a multivariate negative binomial regression model, patients that received late antivirals had a longer length of hospital stay, after adjusting for other factors associated with length of stay including age group, chronic comorbidities and ICU admission (Table 5).</w:t>
      </w:r>
    </w:p>
    <w:p w14:paraId="4FB306F8" w14:textId="77777777" w:rsidR="00CC25E2" w:rsidRDefault="00CC25E2" w:rsidP="004028DE">
      <w:pPr>
        <w:pStyle w:val="CDIFigures"/>
      </w:pPr>
      <w:r>
        <w:t xml:space="preserve">Table 5: Factors associated with length of stay in patients with confirmed influenza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hows the results of a regression analysis for factors associated with hospital length of stay, including oseltamivir treatment, age group,  comorbidities and ICU admission&#10;"/>
      </w:tblPr>
      <w:tblGrid>
        <w:gridCol w:w="2268"/>
        <w:gridCol w:w="2043"/>
        <w:gridCol w:w="2043"/>
        <w:gridCol w:w="2043"/>
        <w:gridCol w:w="2043"/>
      </w:tblGrid>
      <w:tr w:rsidR="00500850" w:rsidRPr="00500850" w14:paraId="4638BB58" w14:textId="77777777" w:rsidTr="00B4638A">
        <w:trPr>
          <w:cnfStyle w:val="100000000000" w:firstRow="1" w:lastRow="0" w:firstColumn="0" w:lastColumn="0" w:oddVBand="0" w:evenVBand="0" w:oddHBand="0" w:evenHBand="0" w:firstRowFirstColumn="0" w:firstRowLastColumn="0" w:lastRowFirstColumn="0" w:lastRowLastColumn="0"/>
          <w:tblHeader/>
        </w:trPr>
        <w:tc>
          <w:tcPr>
            <w:tcW w:w="2268" w:type="dxa"/>
            <w:hideMark/>
          </w:tcPr>
          <w:p w14:paraId="221F444B" w14:textId="77777777" w:rsidR="00CC25E2" w:rsidRPr="00500850" w:rsidRDefault="00CC25E2">
            <w:pPr>
              <w:pStyle w:val="NormalWeb"/>
              <w:rPr>
                <w:color w:val="FFFFFF" w:themeColor="background1"/>
                <w:sz w:val="18"/>
                <w:szCs w:val="18"/>
              </w:rPr>
            </w:pPr>
            <w:r w:rsidRPr="00500850">
              <w:rPr>
                <w:color w:val="FFFFFF" w:themeColor="background1"/>
                <w:sz w:val="18"/>
                <w:szCs w:val="18"/>
              </w:rPr>
              <w:t>Variable</w:t>
            </w:r>
          </w:p>
        </w:tc>
        <w:tc>
          <w:tcPr>
            <w:tcW w:w="2043" w:type="dxa"/>
            <w:hideMark/>
          </w:tcPr>
          <w:p w14:paraId="248BAFD0" w14:textId="77777777" w:rsidR="00CC25E2" w:rsidRPr="00500850" w:rsidRDefault="00CC25E2" w:rsidP="009E1879">
            <w:pPr>
              <w:pStyle w:val="NormalWeb"/>
              <w:jc w:val="center"/>
              <w:rPr>
                <w:color w:val="FFFFFF" w:themeColor="background1"/>
                <w:sz w:val="18"/>
                <w:szCs w:val="18"/>
              </w:rPr>
            </w:pPr>
            <w:r w:rsidRPr="00500850">
              <w:rPr>
                <w:color w:val="FFFFFF" w:themeColor="background1"/>
                <w:sz w:val="18"/>
                <w:szCs w:val="18"/>
              </w:rPr>
              <w:t xml:space="preserve">Crude rate </w:t>
            </w:r>
            <w:proofErr w:type="spellStart"/>
            <w:r w:rsidRPr="00500850">
              <w:rPr>
                <w:color w:val="FFFFFF" w:themeColor="background1"/>
                <w:sz w:val="18"/>
                <w:szCs w:val="18"/>
              </w:rPr>
              <w:t>ratio</w:t>
            </w:r>
            <w:r w:rsidRPr="00812924">
              <w:rPr>
                <w:color w:val="FFFFFF" w:themeColor="background1"/>
                <w:sz w:val="18"/>
                <w:szCs w:val="18"/>
                <w:vertAlign w:val="superscript"/>
              </w:rPr>
              <w:t>a</w:t>
            </w:r>
            <w:proofErr w:type="spellEnd"/>
          </w:p>
        </w:tc>
        <w:tc>
          <w:tcPr>
            <w:tcW w:w="2043" w:type="dxa"/>
            <w:hideMark/>
          </w:tcPr>
          <w:p w14:paraId="1DE48BBE" w14:textId="77777777" w:rsidR="00CC25E2" w:rsidRPr="00934BC1" w:rsidRDefault="00CC25E2" w:rsidP="009E1879">
            <w:pPr>
              <w:pStyle w:val="NormalWeb"/>
              <w:jc w:val="center"/>
              <w:rPr>
                <w:i/>
                <w:color w:val="FFFFFF" w:themeColor="background1"/>
                <w:sz w:val="18"/>
                <w:szCs w:val="18"/>
              </w:rPr>
            </w:pPr>
            <w:r w:rsidRPr="00934BC1">
              <w:rPr>
                <w:i/>
                <w:color w:val="FFFFFF" w:themeColor="background1"/>
                <w:sz w:val="18"/>
                <w:szCs w:val="18"/>
              </w:rPr>
              <w:t xml:space="preserve">p </w:t>
            </w:r>
            <w:r w:rsidRPr="00FE5908">
              <w:rPr>
                <w:color w:val="FFFFFF" w:themeColor="background1"/>
                <w:sz w:val="18"/>
                <w:szCs w:val="18"/>
              </w:rPr>
              <w:t>value</w:t>
            </w:r>
          </w:p>
        </w:tc>
        <w:tc>
          <w:tcPr>
            <w:tcW w:w="2043" w:type="dxa"/>
            <w:hideMark/>
          </w:tcPr>
          <w:p w14:paraId="63D1AEF2" w14:textId="77777777" w:rsidR="00CC25E2" w:rsidRPr="00500850" w:rsidRDefault="00CC25E2" w:rsidP="009E1879">
            <w:pPr>
              <w:pStyle w:val="NormalWeb"/>
              <w:jc w:val="center"/>
              <w:rPr>
                <w:color w:val="FFFFFF" w:themeColor="background1"/>
                <w:sz w:val="18"/>
                <w:szCs w:val="18"/>
              </w:rPr>
            </w:pPr>
            <w:r w:rsidRPr="00500850">
              <w:rPr>
                <w:color w:val="FFFFFF" w:themeColor="background1"/>
                <w:sz w:val="18"/>
                <w:szCs w:val="18"/>
              </w:rPr>
              <w:t>Adjusted rate ratio</w:t>
            </w:r>
          </w:p>
        </w:tc>
        <w:tc>
          <w:tcPr>
            <w:tcW w:w="2043" w:type="dxa"/>
            <w:hideMark/>
          </w:tcPr>
          <w:p w14:paraId="7E315938" w14:textId="77777777" w:rsidR="00CC25E2" w:rsidRPr="00500850" w:rsidRDefault="00CC25E2" w:rsidP="009E1879">
            <w:pPr>
              <w:pStyle w:val="NormalWeb"/>
              <w:jc w:val="center"/>
              <w:rPr>
                <w:i/>
                <w:color w:val="FFFFFF" w:themeColor="background1"/>
                <w:sz w:val="18"/>
                <w:szCs w:val="18"/>
              </w:rPr>
            </w:pPr>
            <w:r w:rsidRPr="00500850">
              <w:rPr>
                <w:i/>
                <w:color w:val="FFFFFF" w:themeColor="background1"/>
                <w:sz w:val="18"/>
                <w:szCs w:val="18"/>
              </w:rPr>
              <w:t xml:space="preserve">p </w:t>
            </w:r>
            <w:r w:rsidRPr="00FE5908">
              <w:rPr>
                <w:color w:val="FFFFFF" w:themeColor="background1"/>
                <w:sz w:val="18"/>
                <w:szCs w:val="18"/>
              </w:rPr>
              <w:t>value</w:t>
            </w:r>
          </w:p>
        </w:tc>
      </w:tr>
      <w:tr w:rsidR="008A4161" w:rsidRPr="008A4161" w14:paraId="66332D88" w14:textId="77777777" w:rsidTr="009E1879">
        <w:tc>
          <w:tcPr>
            <w:tcW w:w="2268" w:type="dxa"/>
            <w:shd w:val="clear" w:color="auto" w:fill="808080" w:themeFill="background1" w:themeFillShade="80"/>
            <w:hideMark/>
          </w:tcPr>
          <w:p w14:paraId="0977FE82" w14:textId="77777777" w:rsidR="00CC25E2" w:rsidRPr="008A4161" w:rsidRDefault="00CC25E2">
            <w:pPr>
              <w:pStyle w:val="NormalWeb"/>
              <w:rPr>
                <w:b/>
                <w:color w:val="FFFFFF" w:themeColor="background1"/>
                <w:sz w:val="18"/>
                <w:szCs w:val="18"/>
              </w:rPr>
            </w:pPr>
            <w:r w:rsidRPr="008A4161">
              <w:rPr>
                <w:b/>
                <w:color w:val="FFFFFF" w:themeColor="background1"/>
                <w:sz w:val="18"/>
                <w:szCs w:val="18"/>
              </w:rPr>
              <w:t>Oseltamivir treatment</w:t>
            </w:r>
          </w:p>
        </w:tc>
        <w:tc>
          <w:tcPr>
            <w:tcW w:w="2043" w:type="dxa"/>
            <w:shd w:val="clear" w:color="auto" w:fill="808080" w:themeFill="background1" w:themeFillShade="80"/>
            <w:hideMark/>
          </w:tcPr>
          <w:p w14:paraId="5B6B650A" w14:textId="77777777" w:rsidR="00CC25E2" w:rsidRPr="008A4161" w:rsidRDefault="00CC25E2" w:rsidP="009E1879">
            <w:pPr>
              <w:jc w:val="center"/>
              <w:rPr>
                <w:b/>
                <w:color w:val="FFFFFF" w:themeColor="background1"/>
                <w:sz w:val="18"/>
                <w:szCs w:val="18"/>
              </w:rPr>
            </w:pPr>
          </w:p>
        </w:tc>
        <w:tc>
          <w:tcPr>
            <w:tcW w:w="2043" w:type="dxa"/>
            <w:shd w:val="clear" w:color="auto" w:fill="808080" w:themeFill="background1" w:themeFillShade="80"/>
            <w:hideMark/>
          </w:tcPr>
          <w:p w14:paraId="42102A17" w14:textId="77777777" w:rsidR="00CC25E2" w:rsidRPr="008A4161" w:rsidRDefault="00CC25E2" w:rsidP="009E1879">
            <w:pPr>
              <w:jc w:val="center"/>
              <w:rPr>
                <w:rFonts w:eastAsia="Times New Roman"/>
                <w:b/>
                <w:color w:val="FFFFFF" w:themeColor="background1"/>
                <w:sz w:val="18"/>
                <w:szCs w:val="18"/>
              </w:rPr>
            </w:pPr>
          </w:p>
        </w:tc>
        <w:tc>
          <w:tcPr>
            <w:tcW w:w="2043" w:type="dxa"/>
            <w:shd w:val="clear" w:color="auto" w:fill="808080" w:themeFill="background1" w:themeFillShade="80"/>
            <w:hideMark/>
          </w:tcPr>
          <w:p w14:paraId="012B9F0F" w14:textId="77777777" w:rsidR="00CC25E2" w:rsidRPr="008A4161" w:rsidRDefault="00CC25E2" w:rsidP="009E1879">
            <w:pPr>
              <w:jc w:val="center"/>
              <w:rPr>
                <w:rFonts w:eastAsia="Times New Roman"/>
                <w:b/>
                <w:color w:val="FFFFFF" w:themeColor="background1"/>
                <w:sz w:val="18"/>
                <w:szCs w:val="18"/>
              </w:rPr>
            </w:pPr>
          </w:p>
        </w:tc>
        <w:tc>
          <w:tcPr>
            <w:tcW w:w="2043" w:type="dxa"/>
            <w:shd w:val="clear" w:color="auto" w:fill="808080" w:themeFill="background1" w:themeFillShade="80"/>
            <w:hideMark/>
          </w:tcPr>
          <w:p w14:paraId="0181A8BE" w14:textId="77777777" w:rsidR="00CC25E2" w:rsidRPr="008A4161" w:rsidRDefault="00CC25E2" w:rsidP="009E1879">
            <w:pPr>
              <w:jc w:val="center"/>
              <w:rPr>
                <w:rFonts w:eastAsia="Times New Roman"/>
                <w:b/>
                <w:color w:val="FFFFFF" w:themeColor="background1"/>
                <w:sz w:val="18"/>
                <w:szCs w:val="18"/>
              </w:rPr>
            </w:pPr>
          </w:p>
        </w:tc>
      </w:tr>
      <w:tr w:rsidR="00CC25E2" w:rsidRPr="00500850" w14:paraId="4B309DEC" w14:textId="77777777" w:rsidTr="009E1879">
        <w:trPr>
          <w:cnfStyle w:val="000000010000" w:firstRow="0" w:lastRow="0" w:firstColumn="0" w:lastColumn="0" w:oddVBand="0" w:evenVBand="0" w:oddHBand="0" w:evenHBand="1" w:firstRowFirstColumn="0" w:firstRowLastColumn="0" w:lastRowFirstColumn="0" w:lastRowLastColumn="0"/>
        </w:trPr>
        <w:tc>
          <w:tcPr>
            <w:tcW w:w="2268" w:type="dxa"/>
            <w:hideMark/>
          </w:tcPr>
          <w:p w14:paraId="54669BB3" w14:textId="77777777" w:rsidR="00CC25E2" w:rsidRPr="00500850" w:rsidRDefault="00CC25E2">
            <w:pPr>
              <w:pStyle w:val="NormalWeb"/>
              <w:rPr>
                <w:sz w:val="18"/>
                <w:szCs w:val="18"/>
              </w:rPr>
            </w:pPr>
            <w:r w:rsidRPr="00500850">
              <w:rPr>
                <w:sz w:val="18"/>
                <w:szCs w:val="18"/>
              </w:rPr>
              <w:t>no oseltamivir</w:t>
            </w:r>
          </w:p>
        </w:tc>
        <w:tc>
          <w:tcPr>
            <w:tcW w:w="2043" w:type="dxa"/>
            <w:hideMark/>
          </w:tcPr>
          <w:p w14:paraId="7F6FF2B9" w14:textId="77777777" w:rsidR="00CC25E2" w:rsidRPr="00500850" w:rsidRDefault="00CC25E2" w:rsidP="009E1879">
            <w:pPr>
              <w:pStyle w:val="NormalWeb"/>
              <w:jc w:val="center"/>
              <w:rPr>
                <w:sz w:val="18"/>
                <w:szCs w:val="18"/>
              </w:rPr>
            </w:pPr>
            <w:r w:rsidRPr="00500850">
              <w:rPr>
                <w:sz w:val="18"/>
                <w:szCs w:val="18"/>
              </w:rPr>
              <w:t>1 (referent)</w:t>
            </w:r>
          </w:p>
        </w:tc>
        <w:tc>
          <w:tcPr>
            <w:tcW w:w="2043" w:type="dxa"/>
            <w:hideMark/>
          </w:tcPr>
          <w:p w14:paraId="04BF951A" w14:textId="77777777" w:rsidR="00CC25E2" w:rsidRPr="00500850" w:rsidRDefault="00CC25E2" w:rsidP="009E1879">
            <w:pPr>
              <w:jc w:val="center"/>
              <w:rPr>
                <w:sz w:val="18"/>
                <w:szCs w:val="18"/>
              </w:rPr>
            </w:pPr>
          </w:p>
        </w:tc>
        <w:tc>
          <w:tcPr>
            <w:tcW w:w="2043" w:type="dxa"/>
            <w:hideMark/>
          </w:tcPr>
          <w:p w14:paraId="44C7BD85" w14:textId="77777777" w:rsidR="00CC25E2" w:rsidRPr="00500850" w:rsidRDefault="00CC25E2" w:rsidP="009E1879">
            <w:pPr>
              <w:pStyle w:val="NormalWeb"/>
              <w:jc w:val="center"/>
              <w:rPr>
                <w:sz w:val="18"/>
                <w:szCs w:val="18"/>
              </w:rPr>
            </w:pPr>
            <w:r w:rsidRPr="00500850">
              <w:rPr>
                <w:sz w:val="18"/>
                <w:szCs w:val="18"/>
              </w:rPr>
              <w:t>1 (referent)</w:t>
            </w:r>
          </w:p>
        </w:tc>
        <w:tc>
          <w:tcPr>
            <w:tcW w:w="2043" w:type="dxa"/>
            <w:hideMark/>
          </w:tcPr>
          <w:p w14:paraId="3DBE5E33" w14:textId="77777777" w:rsidR="00CC25E2" w:rsidRPr="00500850" w:rsidRDefault="00CC25E2" w:rsidP="009E1879">
            <w:pPr>
              <w:jc w:val="center"/>
              <w:rPr>
                <w:sz w:val="18"/>
                <w:szCs w:val="18"/>
              </w:rPr>
            </w:pPr>
          </w:p>
        </w:tc>
      </w:tr>
      <w:tr w:rsidR="00CC25E2" w:rsidRPr="00500850" w14:paraId="7CFCE823" w14:textId="77777777" w:rsidTr="009E1879">
        <w:tc>
          <w:tcPr>
            <w:tcW w:w="2268" w:type="dxa"/>
            <w:hideMark/>
          </w:tcPr>
          <w:p w14:paraId="232746F2" w14:textId="77777777" w:rsidR="00CC25E2" w:rsidRPr="00500850" w:rsidRDefault="00CC25E2">
            <w:pPr>
              <w:pStyle w:val="NormalWeb"/>
              <w:rPr>
                <w:sz w:val="18"/>
                <w:szCs w:val="18"/>
              </w:rPr>
            </w:pPr>
            <w:r w:rsidRPr="00500850">
              <w:rPr>
                <w:sz w:val="18"/>
                <w:szCs w:val="18"/>
              </w:rPr>
              <w:t>received &lt;48h of onset</w:t>
            </w:r>
          </w:p>
        </w:tc>
        <w:tc>
          <w:tcPr>
            <w:tcW w:w="2043" w:type="dxa"/>
            <w:hideMark/>
          </w:tcPr>
          <w:p w14:paraId="34D96E15" w14:textId="77777777" w:rsidR="00CC25E2" w:rsidRPr="00500850" w:rsidRDefault="00CC25E2" w:rsidP="009E1879">
            <w:pPr>
              <w:pStyle w:val="NormalWeb"/>
              <w:jc w:val="center"/>
              <w:rPr>
                <w:sz w:val="18"/>
                <w:szCs w:val="18"/>
              </w:rPr>
            </w:pPr>
            <w:r w:rsidRPr="00500850">
              <w:rPr>
                <w:sz w:val="18"/>
                <w:szCs w:val="18"/>
              </w:rPr>
              <w:t>1.30 (1.12, 1.52)</w:t>
            </w:r>
          </w:p>
        </w:tc>
        <w:tc>
          <w:tcPr>
            <w:tcW w:w="2043" w:type="dxa"/>
            <w:hideMark/>
          </w:tcPr>
          <w:p w14:paraId="1460F000" w14:textId="77777777" w:rsidR="00CC25E2" w:rsidRPr="00500850" w:rsidRDefault="00CC25E2" w:rsidP="009E1879">
            <w:pPr>
              <w:pStyle w:val="NormalWeb"/>
              <w:jc w:val="center"/>
              <w:rPr>
                <w:sz w:val="18"/>
                <w:szCs w:val="18"/>
              </w:rPr>
            </w:pPr>
            <w:r w:rsidRPr="00500850">
              <w:rPr>
                <w:sz w:val="18"/>
                <w:szCs w:val="18"/>
              </w:rPr>
              <w:t>0.001</w:t>
            </w:r>
          </w:p>
        </w:tc>
        <w:tc>
          <w:tcPr>
            <w:tcW w:w="2043" w:type="dxa"/>
            <w:hideMark/>
          </w:tcPr>
          <w:p w14:paraId="65E3F7B4" w14:textId="77777777" w:rsidR="00CC25E2" w:rsidRPr="00500850" w:rsidRDefault="00CC25E2" w:rsidP="009E1879">
            <w:pPr>
              <w:pStyle w:val="NormalWeb"/>
              <w:jc w:val="center"/>
              <w:rPr>
                <w:sz w:val="18"/>
                <w:szCs w:val="18"/>
              </w:rPr>
            </w:pPr>
            <w:r w:rsidRPr="00500850">
              <w:rPr>
                <w:sz w:val="18"/>
                <w:szCs w:val="18"/>
              </w:rPr>
              <w:t>1.11 (0.98, 1.26)</w:t>
            </w:r>
          </w:p>
        </w:tc>
        <w:tc>
          <w:tcPr>
            <w:tcW w:w="2043" w:type="dxa"/>
            <w:hideMark/>
          </w:tcPr>
          <w:p w14:paraId="75A2AE12" w14:textId="77777777" w:rsidR="00CC25E2" w:rsidRPr="00500850" w:rsidRDefault="00CC25E2" w:rsidP="009E1879">
            <w:pPr>
              <w:pStyle w:val="NormalWeb"/>
              <w:jc w:val="center"/>
              <w:rPr>
                <w:sz w:val="18"/>
                <w:szCs w:val="18"/>
              </w:rPr>
            </w:pPr>
            <w:r w:rsidRPr="00500850">
              <w:rPr>
                <w:sz w:val="18"/>
                <w:szCs w:val="18"/>
              </w:rPr>
              <w:t>0.089</w:t>
            </w:r>
          </w:p>
        </w:tc>
      </w:tr>
      <w:tr w:rsidR="00CC25E2" w:rsidRPr="00500850" w14:paraId="26BA1BCA" w14:textId="77777777" w:rsidTr="009E1879">
        <w:trPr>
          <w:cnfStyle w:val="000000010000" w:firstRow="0" w:lastRow="0" w:firstColumn="0" w:lastColumn="0" w:oddVBand="0" w:evenVBand="0" w:oddHBand="0" w:evenHBand="1" w:firstRowFirstColumn="0" w:firstRowLastColumn="0" w:lastRowFirstColumn="0" w:lastRowLastColumn="0"/>
        </w:trPr>
        <w:tc>
          <w:tcPr>
            <w:tcW w:w="2268" w:type="dxa"/>
            <w:hideMark/>
          </w:tcPr>
          <w:p w14:paraId="0D6293CF" w14:textId="77777777" w:rsidR="00CC25E2" w:rsidRPr="00500850" w:rsidRDefault="00CC25E2">
            <w:pPr>
              <w:pStyle w:val="NormalWeb"/>
              <w:rPr>
                <w:sz w:val="18"/>
                <w:szCs w:val="18"/>
              </w:rPr>
            </w:pPr>
            <w:r w:rsidRPr="00500850">
              <w:rPr>
                <w:sz w:val="18"/>
                <w:szCs w:val="18"/>
              </w:rPr>
              <w:t>received ≥48h of onset</w:t>
            </w:r>
          </w:p>
        </w:tc>
        <w:tc>
          <w:tcPr>
            <w:tcW w:w="2043" w:type="dxa"/>
            <w:hideMark/>
          </w:tcPr>
          <w:p w14:paraId="19CD20E0" w14:textId="77777777" w:rsidR="00CC25E2" w:rsidRPr="00500850" w:rsidRDefault="00CC25E2" w:rsidP="009E1879">
            <w:pPr>
              <w:pStyle w:val="NormalWeb"/>
              <w:jc w:val="center"/>
              <w:rPr>
                <w:sz w:val="18"/>
                <w:szCs w:val="18"/>
              </w:rPr>
            </w:pPr>
            <w:r w:rsidRPr="00500850">
              <w:rPr>
                <w:sz w:val="18"/>
                <w:szCs w:val="18"/>
              </w:rPr>
              <w:t>1.54 (1.26, 1.89)</w:t>
            </w:r>
          </w:p>
        </w:tc>
        <w:tc>
          <w:tcPr>
            <w:tcW w:w="2043" w:type="dxa"/>
            <w:hideMark/>
          </w:tcPr>
          <w:p w14:paraId="6D72FF73" w14:textId="77777777" w:rsidR="00CC25E2" w:rsidRPr="00500850" w:rsidRDefault="00CC25E2" w:rsidP="009E1879">
            <w:pPr>
              <w:pStyle w:val="NormalWeb"/>
              <w:jc w:val="center"/>
              <w:rPr>
                <w:sz w:val="18"/>
                <w:szCs w:val="18"/>
              </w:rPr>
            </w:pPr>
            <w:r w:rsidRPr="00500850">
              <w:rPr>
                <w:sz w:val="18"/>
                <w:szCs w:val="18"/>
              </w:rPr>
              <w:t>&lt;0.001</w:t>
            </w:r>
          </w:p>
        </w:tc>
        <w:tc>
          <w:tcPr>
            <w:tcW w:w="2043" w:type="dxa"/>
            <w:hideMark/>
          </w:tcPr>
          <w:p w14:paraId="6FBEC2F4" w14:textId="77777777" w:rsidR="00CC25E2" w:rsidRPr="00500850" w:rsidRDefault="00CC25E2" w:rsidP="009E1879">
            <w:pPr>
              <w:pStyle w:val="NormalWeb"/>
              <w:jc w:val="center"/>
              <w:rPr>
                <w:sz w:val="18"/>
                <w:szCs w:val="18"/>
              </w:rPr>
            </w:pPr>
            <w:r w:rsidRPr="00500850">
              <w:rPr>
                <w:sz w:val="18"/>
                <w:szCs w:val="18"/>
              </w:rPr>
              <w:t>1.21 (1.02, 1.44)</w:t>
            </w:r>
          </w:p>
        </w:tc>
        <w:tc>
          <w:tcPr>
            <w:tcW w:w="2043" w:type="dxa"/>
            <w:hideMark/>
          </w:tcPr>
          <w:p w14:paraId="044A054D" w14:textId="77777777" w:rsidR="00CC25E2" w:rsidRPr="00500850" w:rsidRDefault="00CC25E2" w:rsidP="009E1879">
            <w:pPr>
              <w:pStyle w:val="NormalWeb"/>
              <w:jc w:val="center"/>
              <w:rPr>
                <w:sz w:val="18"/>
                <w:szCs w:val="18"/>
              </w:rPr>
            </w:pPr>
            <w:r w:rsidRPr="00500850">
              <w:rPr>
                <w:sz w:val="18"/>
                <w:szCs w:val="18"/>
              </w:rPr>
              <w:t>0.028</w:t>
            </w:r>
          </w:p>
        </w:tc>
      </w:tr>
      <w:tr w:rsidR="00336890" w:rsidRPr="00336890" w14:paraId="59E87CF8" w14:textId="77777777" w:rsidTr="009E1879">
        <w:tc>
          <w:tcPr>
            <w:tcW w:w="2268" w:type="dxa"/>
            <w:shd w:val="clear" w:color="auto" w:fill="808080" w:themeFill="background1" w:themeFillShade="80"/>
            <w:hideMark/>
          </w:tcPr>
          <w:p w14:paraId="4CC8CC6E" w14:textId="77777777" w:rsidR="00CC25E2" w:rsidRPr="00336890" w:rsidRDefault="00CC25E2">
            <w:pPr>
              <w:pStyle w:val="NormalWeb"/>
              <w:rPr>
                <w:b/>
                <w:color w:val="FFFFFF" w:themeColor="background1"/>
                <w:sz w:val="18"/>
                <w:szCs w:val="18"/>
              </w:rPr>
            </w:pPr>
            <w:r w:rsidRPr="00336890">
              <w:rPr>
                <w:b/>
                <w:color w:val="FFFFFF" w:themeColor="background1"/>
                <w:sz w:val="18"/>
                <w:szCs w:val="18"/>
              </w:rPr>
              <w:t>Age group</w:t>
            </w:r>
          </w:p>
        </w:tc>
        <w:tc>
          <w:tcPr>
            <w:tcW w:w="2043" w:type="dxa"/>
            <w:shd w:val="clear" w:color="auto" w:fill="808080" w:themeFill="background1" w:themeFillShade="80"/>
            <w:hideMark/>
          </w:tcPr>
          <w:p w14:paraId="4E576CB4" w14:textId="77777777" w:rsidR="00CC25E2" w:rsidRPr="00336890" w:rsidRDefault="00CC25E2" w:rsidP="009E1879">
            <w:pPr>
              <w:jc w:val="center"/>
              <w:rPr>
                <w:b/>
                <w:color w:val="FFFFFF" w:themeColor="background1"/>
                <w:sz w:val="18"/>
                <w:szCs w:val="18"/>
              </w:rPr>
            </w:pPr>
          </w:p>
        </w:tc>
        <w:tc>
          <w:tcPr>
            <w:tcW w:w="2043" w:type="dxa"/>
            <w:shd w:val="clear" w:color="auto" w:fill="808080" w:themeFill="background1" w:themeFillShade="80"/>
            <w:hideMark/>
          </w:tcPr>
          <w:p w14:paraId="0AF21FF1" w14:textId="77777777" w:rsidR="00CC25E2" w:rsidRPr="00336890" w:rsidRDefault="00CC25E2" w:rsidP="009E1879">
            <w:pPr>
              <w:jc w:val="center"/>
              <w:rPr>
                <w:rFonts w:eastAsia="Times New Roman"/>
                <w:b/>
                <w:color w:val="FFFFFF" w:themeColor="background1"/>
                <w:sz w:val="18"/>
                <w:szCs w:val="18"/>
              </w:rPr>
            </w:pPr>
          </w:p>
        </w:tc>
        <w:tc>
          <w:tcPr>
            <w:tcW w:w="2043" w:type="dxa"/>
            <w:shd w:val="clear" w:color="auto" w:fill="808080" w:themeFill="background1" w:themeFillShade="80"/>
            <w:hideMark/>
          </w:tcPr>
          <w:p w14:paraId="05C01F45" w14:textId="77777777" w:rsidR="00CC25E2" w:rsidRPr="00336890" w:rsidRDefault="00CC25E2" w:rsidP="009E1879">
            <w:pPr>
              <w:jc w:val="center"/>
              <w:rPr>
                <w:rFonts w:eastAsia="Times New Roman"/>
                <w:b/>
                <w:color w:val="FFFFFF" w:themeColor="background1"/>
                <w:sz w:val="18"/>
                <w:szCs w:val="18"/>
              </w:rPr>
            </w:pPr>
          </w:p>
        </w:tc>
        <w:tc>
          <w:tcPr>
            <w:tcW w:w="2043" w:type="dxa"/>
            <w:shd w:val="clear" w:color="auto" w:fill="808080" w:themeFill="background1" w:themeFillShade="80"/>
            <w:hideMark/>
          </w:tcPr>
          <w:p w14:paraId="367C4ED1" w14:textId="77777777" w:rsidR="00CC25E2" w:rsidRPr="00336890" w:rsidRDefault="00CC25E2" w:rsidP="009E1879">
            <w:pPr>
              <w:jc w:val="center"/>
              <w:rPr>
                <w:rFonts w:eastAsia="Times New Roman"/>
                <w:b/>
                <w:color w:val="FFFFFF" w:themeColor="background1"/>
                <w:sz w:val="18"/>
                <w:szCs w:val="18"/>
              </w:rPr>
            </w:pPr>
          </w:p>
        </w:tc>
      </w:tr>
      <w:tr w:rsidR="00CC25E2" w:rsidRPr="00500850" w14:paraId="329AEA81" w14:textId="77777777" w:rsidTr="009E1879">
        <w:trPr>
          <w:cnfStyle w:val="000000010000" w:firstRow="0" w:lastRow="0" w:firstColumn="0" w:lastColumn="0" w:oddVBand="0" w:evenVBand="0" w:oddHBand="0" w:evenHBand="1" w:firstRowFirstColumn="0" w:firstRowLastColumn="0" w:lastRowFirstColumn="0" w:lastRowLastColumn="0"/>
        </w:trPr>
        <w:tc>
          <w:tcPr>
            <w:tcW w:w="2268" w:type="dxa"/>
            <w:hideMark/>
          </w:tcPr>
          <w:p w14:paraId="470F1627" w14:textId="77777777" w:rsidR="00CC25E2" w:rsidRPr="00500850" w:rsidRDefault="00CC25E2">
            <w:pPr>
              <w:pStyle w:val="NormalWeb"/>
              <w:rPr>
                <w:sz w:val="18"/>
                <w:szCs w:val="18"/>
              </w:rPr>
            </w:pPr>
            <w:r w:rsidRPr="00500850">
              <w:rPr>
                <w:sz w:val="18"/>
                <w:szCs w:val="18"/>
              </w:rPr>
              <w:t>&lt;16 years</w:t>
            </w:r>
          </w:p>
        </w:tc>
        <w:tc>
          <w:tcPr>
            <w:tcW w:w="2043" w:type="dxa"/>
            <w:hideMark/>
          </w:tcPr>
          <w:p w14:paraId="28D1AAC4" w14:textId="77777777" w:rsidR="00CC25E2" w:rsidRPr="00500850" w:rsidRDefault="00CC25E2" w:rsidP="009E1879">
            <w:pPr>
              <w:pStyle w:val="NormalWeb"/>
              <w:jc w:val="center"/>
              <w:rPr>
                <w:sz w:val="18"/>
                <w:szCs w:val="18"/>
              </w:rPr>
            </w:pPr>
            <w:r w:rsidRPr="00500850">
              <w:rPr>
                <w:sz w:val="18"/>
                <w:szCs w:val="18"/>
              </w:rPr>
              <w:t>0.69 (0.45, 1.05)</w:t>
            </w:r>
          </w:p>
        </w:tc>
        <w:tc>
          <w:tcPr>
            <w:tcW w:w="2043" w:type="dxa"/>
            <w:hideMark/>
          </w:tcPr>
          <w:p w14:paraId="0E90D774" w14:textId="77777777" w:rsidR="00CC25E2" w:rsidRPr="00500850" w:rsidRDefault="00CC25E2" w:rsidP="009E1879">
            <w:pPr>
              <w:pStyle w:val="NormalWeb"/>
              <w:jc w:val="center"/>
              <w:rPr>
                <w:sz w:val="18"/>
                <w:szCs w:val="18"/>
              </w:rPr>
            </w:pPr>
            <w:r w:rsidRPr="00500850">
              <w:rPr>
                <w:sz w:val="18"/>
                <w:szCs w:val="18"/>
              </w:rPr>
              <w:t>0.085</w:t>
            </w:r>
          </w:p>
        </w:tc>
        <w:tc>
          <w:tcPr>
            <w:tcW w:w="2043" w:type="dxa"/>
            <w:hideMark/>
          </w:tcPr>
          <w:p w14:paraId="65A64419" w14:textId="77777777" w:rsidR="00CC25E2" w:rsidRPr="00500850" w:rsidRDefault="00CC25E2" w:rsidP="009E1879">
            <w:pPr>
              <w:pStyle w:val="NormalWeb"/>
              <w:jc w:val="center"/>
              <w:rPr>
                <w:sz w:val="18"/>
                <w:szCs w:val="18"/>
              </w:rPr>
            </w:pPr>
            <w:r w:rsidRPr="00500850">
              <w:rPr>
                <w:sz w:val="18"/>
                <w:szCs w:val="18"/>
              </w:rPr>
              <w:t>0.78 (0.57, 1.06)</w:t>
            </w:r>
          </w:p>
        </w:tc>
        <w:tc>
          <w:tcPr>
            <w:tcW w:w="2043" w:type="dxa"/>
            <w:hideMark/>
          </w:tcPr>
          <w:p w14:paraId="368F4D72" w14:textId="77777777" w:rsidR="00CC25E2" w:rsidRPr="00500850" w:rsidRDefault="00CC25E2" w:rsidP="009E1879">
            <w:pPr>
              <w:pStyle w:val="NormalWeb"/>
              <w:jc w:val="center"/>
              <w:rPr>
                <w:sz w:val="18"/>
                <w:szCs w:val="18"/>
              </w:rPr>
            </w:pPr>
            <w:r w:rsidRPr="00500850">
              <w:rPr>
                <w:sz w:val="18"/>
                <w:szCs w:val="18"/>
              </w:rPr>
              <w:t>0.112</w:t>
            </w:r>
          </w:p>
        </w:tc>
      </w:tr>
      <w:tr w:rsidR="00CC25E2" w:rsidRPr="00500850" w14:paraId="5F285B6E" w14:textId="77777777" w:rsidTr="009E1879">
        <w:tc>
          <w:tcPr>
            <w:tcW w:w="2268" w:type="dxa"/>
            <w:hideMark/>
          </w:tcPr>
          <w:p w14:paraId="7C231367" w14:textId="77777777" w:rsidR="00CC25E2" w:rsidRPr="00500850" w:rsidRDefault="00CC25E2">
            <w:pPr>
              <w:pStyle w:val="NormalWeb"/>
              <w:rPr>
                <w:sz w:val="18"/>
                <w:szCs w:val="18"/>
              </w:rPr>
            </w:pPr>
            <w:r w:rsidRPr="00500850">
              <w:rPr>
                <w:sz w:val="18"/>
                <w:szCs w:val="18"/>
              </w:rPr>
              <w:t>16–64 years</w:t>
            </w:r>
          </w:p>
        </w:tc>
        <w:tc>
          <w:tcPr>
            <w:tcW w:w="2043" w:type="dxa"/>
            <w:hideMark/>
          </w:tcPr>
          <w:p w14:paraId="68AC4DA0" w14:textId="77777777" w:rsidR="00CC25E2" w:rsidRPr="00500850" w:rsidRDefault="00CC25E2" w:rsidP="009E1879">
            <w:pPr>
              <w:pStyle w:val="NormalWeb"/>
              <w:jc w:val="center"/>
              <w:rPr>
                <w:sz w:val="18"/>
                <w:szCs w:val="18"/>
              </w:rPr>
            </w:pPr>
            <w:r w:rsidRPr="00500850">
              <w:rPr>
                <w:sz w:val="18"/>
                <w:szCs w:val="18"/>
              </w:rPr>
              <w:t>1 (referent)</w:t>
            </w:r>
          </w:p>
        </w:tc>
        <w:tc>
          <w:tcPr>
            <w:tcW w:w="2043" w:type="dxa"/>
            <w:hideMark/>
          </w:tcPr>
          <w:p w14:paraId="352AF307" w14:textId="77777777" w:rsidR="00CC25E2" w:rsidRPr="00500850" w:rsidRDefault="00CC25E2" w:rsidP="009E1879">
            <w:pPr>
              <w:jc w:val="center"/>
              <w:rPr>
                <w:sz w:val="18"/>
                <w:szCs w:val="18"/>
              </w:rPr>
            </w:pPr>
          </w:p>
        </w:tc>
        <w:tc>
          <w:tcPr>
            <w:tcW w:w="2043" w:type="dxa"/>
            <w:hideMark/>
          </w:tcPr>
          <w:p w14:paraId="4BBA2FB4" w14:textId="77777777" w:rsidR="00CC25E2" w:rsidRPr="00500850" w:rsidRDefault="00CC25E2" w:rsidP="009E1879">
            <w:pPr>
              <w:pStyle w:val="NormalWeb"/>
              <w:jc w:val="center"/>
              <w:rPr>
                <w:sz w:val="18"/>
                <w:szCs w:val="18"/>
              </w:rPr>
            </w:pPr>
            <w:r w:rsidRPr="00500850">
              <w:rPr>
                <w:sz w:val="18"/>
                <w:szCs w:val="18"/>
              </w:rPr>
              <w:t>1 (referent)</w:t>
            </w:r>
          </w:p>
        </w:tc>
        <w:tc>
          <w:tcPr>
            <w:tcW w:w="2043" w:type="dxa"/>
            <w:hideMark/>
          </w:tcPr>
          <w:p w14:paraId="40C4F644" w14:textId="77777777" w:rsidR="00CC25E2" w:rsidRPr="00500850" w:rsidRDefault="00CC25E2" w:rsidP="009E1879">
            <w:pPr>
              <w:jc w:val="center"/>
              <w:rPr>
                <w:sz w:val="18"/>
                <w:szCs w:val="18"/>
              </w:rPr>
            </w:pPr>
          </w:p>
        </w:tc>
      </w:tr>
      <w:tr w:rsidR="00CC25E2" w:rsidRPr="00500850" w14:paraId="3CBDD2CA" w14:textId="77777777" w:rsidTr="009E1879">
        <w:trPr>
          <w:cnfStyle w:val="000000010000" w:firstRow="0" w:lastRow="0" w:firstColumn="0" w:lastColumn="0" w:oddVBand="0" w:evenVBand="0" w:oddHBand="0" w:evenHBand="1" w:firstRowFirstColumn="0" w:firstRowLastColumn="0" w:lastRowFirstColumn="0" w:lastRowLastColumn="0"/>
        </w:trPr>
        <w:tc>
          <w:tcPr>
            <w:tcW w:w="2268" w:type="dxa"/>
            <w:hideMark/>
          </w:tcPr>
          <w:p w14:paraId="2A4864CD" w14:textId="77777777" w:rsidR="00CC25E2" w:rsidRPr="00500850" w:rsidRDefault="00CC25E2">
            <w:pPr>
              <w:pStyle w:val="NormalWeb"/>
              <w:rPr>
                <w:sz w:val="18"/>
                <w:szCs w:val="18"/>
              </w:rPr>
            </w:pPr>
            <w:r w:rsidRPr="00500850">
              <w:rPr>
                <w:sz w:val="18"/>
                <w:szCs w:val="18"/>
              </w:rPr>
              <w:t>65+ years</w:t>
            </w:r>
          </w:p>
        </w:tc>
        <w:tc>
          <w:tcPr>
            <w:tcW w:w="2043" w:type="dxa"/>
            <w:hideMark/>
          </w:tcPr>
          <w:p w14:paraId="364FDE25" w14:textId="77777777" w:rsidR="00CC25E2" w:rsidRPr="00500850" w:rsidRDefault="00CC25E2" w:rsidP="009E1879">
            <w:pPr>
              <w:pStyle w:val="NormalWeb"/>
              <w:jc w:val="center"/>
              <w:rPr>
                <w:sz w:val="18"/>
                <w:szCs w:val="18"/>
              </w:rPr>
            </w:pPr>
            <w:r w:rsidRPr="00500850">
              <w:rPr>
                <w:sz w:val="18"/>
                <w:szCs w:val="18"/>
              </w:rPr>
              <w:t>1.28 (1.09, 1.50)</w:t>
            </w:r>
          </w:p>
        </w:tc>
        <w:tc>
          <w:tcPr>
            <w:tcW w:w="2043" w:type="dxa"/>
            <w:hideMark/>
          </w:tcPr>
          <w:p w14:paraId="310A0AD5" w14:textId="77777777" w:rsidR="00CC25E2" w:rsidRPr="00500850" w:rsidRDefault="00CC25E2" w:rsidP="009E1879">
            <w:pPr>
              <w:pStyle w:val="NormalWeb"/>
              <w:jc w:val="center"/>
              <w:rPr>
                <w:sz w:val="18"/>
                <w:szCs w:val="18"/>
              </w:rPr>
            </w:pPr>
            <w:r w:rsidRPr="00500850">
              <w:rPr>
                <w:sz w:val="18"/>
                <w:szCs w:val="18"/>
              </w:rPr>
              <w:t>0.003</w:t>
            </w:r>
          </w:p>
        </w:tc>
        <w:tc>
          <w:tcPr>
            <w:tcW w:w="2043" w:type="dxa"/>
            <w:hideMark/>
          </w:tcPr>
          <w:p w14:paraId="694E5B9A" w14:textId="77777777" w:rsidR="00CC25E2" w:rsidRPr="00500850" w:rsidRDefault="00CC25E2" w:rsidP="009E1879">
            <w:pPr>
              <w:pStyle w:val="NormalWeb"/>
              <w:jc w:val="center"/>
              <w:rPr>
                <w:sz w:val="18"/>
                <w:szCs w:val="18"/>
              </w:rPr>
            </w:pPr>
            <w:r w:rsidRPr="00500850">
              <w:rPr>
                <w:sz w:val="18"/>
                <w:szCs w:val="18"/>
              </w:rPr>
              <w:t>1.30 (1.14, 1.49)</w:t>
            </w:r>
          </w:p>
        </w:tc>
        <w:tc>
          <w:tcPr>
            <w:tcW w:w="2043" w:type="dxa"/>
            <w:hideMark/>
          </w:tcPr>
          <w:p w14:paraId="7E1D150F" w14:textId="77777777" w:rsidR="00CC25E2" w:rsidRPr="00500850" w:rsidRDefault="00CC25E2" w:rsidP="009E1879">
            <w:pPr>
              <w:pStyle w:val="NormalWeb"/>
              <w:jc w:val="center"/>
              <w:rPr>
                <w:sz w:val="18"/>
                <w:szCs w:val="18"/>
              </w:rPr>
            </w:pPr>
            <w:r w:rsidRPr="00500850">
              <w:rPr>
                <w:sz w:val="18"/>
                <w:szCs w:val="18"/>
              </w:rPr>
              <w:t>&lt;0.001</w:t>
            </w:r>
          </w:p>
        </w:tc>
      </w:tr>
      <w:tr w:rsidR="008A4161" w:rsidRPr="008A4161" w14:paraId="4A7651CB" w14:textId="77777777" w:rsidTr="009E1879">
        <w:tc>
          <w:tcPr>
            <w:tcW w:w="2268" w:type="dxa"/>
            <w:shd w:val="clear" w:color="auto" w:fill="808080" w:themeFill="background1" w:themeFillShade="80"/>
            <w:hideMark/>
          </w:tcPr>
          <w:p w14:paraId="594C706A" w14:textId="77777777" w:rsidR="00CC25E2" w:rsidRPr="008A4161" w:rsidRDefault="00CC25E2">
            <w:pPr>
              <w:pStyle w:val="NormalWeb"/>
              <w:rPr>
                <w:b/>
                <w:color w:val="FFFFFF" w:themeColor="background1"/>
                <w:sz w:val="18"/>
                <w:szCs w:val="18"/>
              </w:rPr>
            </w:pPr>
            <w:r w:rsidRPr="008A4161">
              <w:rPr>
                <w:b/>
                <w:color w:val="FFFFFF" w:themeColor="background1"/>
                <w:sz w:val="18"/>
                <w:szCs w:val="18"/>
              </w:rPr>
              <w:t>Comorbidities</w:t>
            </w:r>
          </w:p>
        </w:tc>
        <w:tc>
          <w:tcPr>
            <w:tcW w:w="2043" w:type="dxa"/>
            <w:shd w:val="clear" w:color="auto" w:fill="808080" w:themeFill="background1" w:themeFillShade="80"/>
            <w:hideMark/>
          </w:tcPr>
          <w:p w14:paraId="648174F6" w14:textId="77777777" w:rsidR="00CC25E2" w:rsidRPr="008A4161" w:rsidRDefault="00CC25E2" w:rsidP="009E1879">
            <w:pPr>
              <w:pStyle w:val="NormalWeb"/>
              <w:jc w:val="center"/>
              <w:rPr>
                <w:b/>
                <w:color w:val="FFFFFF" w:themeColor="background1"/>
                <w:sz w:val="18"/>
                <w:szCs w:val="18"/>
              </w:rPr>
            </w:pPr>
            <w:r w:rsidRPr="008A4161">
              <w:rPr>
                <w:b/>
                <w:color w:val="FFFFFF" w:themeColor="background1"/>
                <w:sz w:val="18"/>
                <w:szCs w:val="18"/>
              </w:rPr>
              <w:t>1.70 (1.43, 2.03)</w:t>
            </w:r>
          </w:p>
        </w:tc>
        <w:tc>
          <w:tcPr>
            <w:tcW w:w="2043" w:type="dxa"/>
            <w:shd w:val="clear" w:color="auto" w:fill="808080" w:themeFill="background1" w:themeFillShade="80"/>
            <w:hideMark/>
          </w:tcPr>
          <w:p w14:paraId="5570F521" w14:textId="77777777" w:rsidR="00CC25E2" w:rsidRPr="008A4161" w:rsidRDefault="00CC25E2" w:rsidP="009E1879">
            <w:pPr>
              <w:pStyle w:val="NormalWeb"/>
              <w:jc w:val="center"/>
              <w:rPr>
                <w:b/>
                <w:color w:val="FFFFFF" w:themeColor="background1"/>
                <w:sz w:val="18"/>
                <w:szCs w:val="18"/>
              </w:rPr>
            </w:pPr>
            <w:r w:rsidRPr="008A4161">
              <w:rPr>
                <w:b/>
                <w:color w:val="FFFFFF" w:themeColor="background1"/>
                <w:sz w:val="18"/>
                <w:szCs w:val="18"/>
              </w:rPr>
              <w:t>&lt;0.001</w:t>
            </w:r>
          </w:p>
        </w:tc>
        <w:tc>
          <w:tcPr>
            <w:tcW w:w="2043" w:type="dxa"/>
            <w:shd w:val="clear" w:color="auto" w:fill="808080" w:themeFill="background1" w:themeFillShade="80"/>
            <w:hideMark/>
          </w:tcPr>
          <w:p w14:paraId="6978E52D" w14:textId="77777777" w:rsidR="00CC25E2" w:rsidRPr="008A4161" w:rsidRDefault="00CC25E2" w:rsidP="009E1879">
            <w:pPr>
              <w:pStyle w:val="NormalWeb"/>
              <w:jc w:val="center"/>
              <w:rPr>
                <w:b/>
                <w:color w:val="FFFFFF" w:themeColor="background1"/>
                <w:sz w:val="18"/>
                <w:szCs w:val="18"/>
              </w:rPr>
            </w:pPr>
            <w:r w:rsidRPr="008A4161">
              <w:rPr>
                <w:b/>
                <w:color w:val="FFFFFF" w:themeColor="background1"/>
                <w:sz w:val="18"/>
                <w:szCs w:val="18"/>
              </w:rPr>
              <w:t>1.43 (1.24, 1.66)</w:t>
            </w:r>
          </w:p>
        </w:tc>
        <w:tc>
          <w:tcPr>
            <w:tcW w:w="2043" w:type="dxa"/>
            <w:shd w:val="clear" w:color="auto" w:fill="808080" w:themeFill="background1" w:themeFillShade="80"/>
            <w:hideMark/>
          </w:tcPr>
          <w:p w14:paraId="5DFCE8A8" w14:textId="77777777" w:rsidR="00CC25E2" w:rsidRPr="008A4161" w:rsidRDefault="00CC25E2" w:rsidP="009E1879">
            <w:pPr>
              <w:pStyle w:val="NormalWeb"/>
              <w:jc w:val="center"/>
              <w:rPr>
                <w:b/>
                <w:color w:val="FFFFFF" w:themeColor="background1"/>
                <w:sz w:val="18"/>
                <w:szCs w:val="18"/>
              </w:rPr>
            </w:pPr>
            <w:r w:rsidRPr="008A4161">
              <w:rPr>
                <w:b/>
                <w:color w:val="FFFFFF" w:themeColor="background1"/>
                <w:sz w:val="18"/>
                <w:szCs w:val="18"/>
              </w:rPr>
              <w:t>&lt;0.001</w:t>
            </w:r>
          </w:p>
        </w:tc>
      </w:tr>
      <w:tr w:rsidR="00CC25E2" w:rsidRPr="00500850" w14:paraId="7F7A320B" w14:textId="77777777" w:rsidTr="009E1879">
        <w:trPr>
          <w:cnfStyle w:val="000000010000" w:firstRow="0" w:lastRow="0" w:firstColumn="0" w:lastColumn="0" w:oddVBand="0" w:evenVBand="0" w:oddHBand="0" w:evenHBand="1" w:firstRowFirstColumn="0" w:firstRowLastColumn="0" w:lastRowFirstColumn="0" w:lastRowLastColumn="0"/>
        </w:trPr>
        <w:tc>
          <w:tcPr>
            <w:tcW w:w="2268" w:type="dxa"/>
            <w:hideMark/>
          </w:tcPr>
          <w:p w14:paraId="382CADA4" w14:textId="77777777" w:rsidR="00CC25E2" w:rsidRPr="00500850" w:rsidRDefault="00CC25E2">
            <w:pPr>
              <w:pStyle w:val="NormalWeb"/>
              <w:rPr>
                <w:sz w:val="18"/>
                <w:szCs w:val="18"/>
              </w:rPr>
            </w:pPr>
            <w:r w:rsidRPr="00500850">
              <w:rPr>
                <w:sz w:val="18"/>
                <w:szCs w:val="18"/>
              </w:rPr>
              <w:t>ICU admission</w:t>
            </w:r>
          </w:p>
        </w:tc>
        <w:tc>
          <w:tcPr>
            <w:tcW w:w="2043" w:type="dxa"/>
            <w:hideMark/>
          </w:tcPr>
          <w:p w14:paraId="250E3EB4" w14:textId="77777777" w:rsidR="00CC25E2" w:rsidRPr="00500850" w:rsidRDefault="00CC25E2" w:rsidP="009E1879">
            <w:pPr>
              <w:pStyle w:val="NormalWeb"/>
              <w:jc w:val="center"/>
              <w:rPr>
                <w:sz w:val="18"/>
                <w:szCs w:val="18"/>
              </w:rPr>
            </w:pPr>
            <w:r w:rsidRPr="00500850">
              <w:rPr>
                <w:sz w:val="18"/>
                <w:szCs w:val="18"/>
              </w:rPr>
              <w:t>2.27 (1.82, 2.83)</w:t>
            </w:r>
          </w:p>
        </w:tc>
        <w:tc>
          <w:tcPr>
            <w:tcW w:w="2043" w:type="dxa"/>
            <w:hideMark/>
          </w:tcPr>
          <w:p w14:paraId="2E8835DD" w14:textId="77777777" w:rsidR="00CC25E2" w:rsidRPr="00500850" w:rsidRDefault="00CC25E2" w:rsidP="009E1879">
            <w:pPr>
              <w:pStyle w:val="NormalWeb"/>
              <w:jc w:val="center"/>
              <w:rPr>
                <w:sz w:val="18"/>
                <w:szCs w:val="18"/>
              </w:rPr>
            </w:pPr>
            <w:r w:rsidRPr="00500850">
              <w:rPr>
                <w:sz w:val="18"/>
                <w:szCs w:val="18"/>
              </w:rPr>
              <w:t>&lt;0.001</w:t>
            </w:r>
          </w:p>
        </w:tc>
        <w:tc>
          <w:tcPr>
            <w:tcW w:w="2043" w:type="dxa"/>
            <w:hideMark/>
          </w:tcPr>
          <w:p w14:paraId="3A873B26" w14:textId="77777777" w:rsidR="00CC25E2" w:rsidRPr="00500850" w:rsidRDefault="00CC25E2" w:rsidP="009E1879">
            <w:pPr>
              <w:pStyle w:val="NormalWeb"/>
              <w:jc w:val="center"/>
              <w:rPr>
                <w:sz w:val="18"/>
                <w:szCs w:val="18"/>
              </w:rPr>
            </w:pPr>
            <w:r w:rsidRPr="00500850">
              <w:rPr>
                <w:sz w:val="18"/>
                <w:szCs w:val="18"/>
              </w:rPr>
              <w:t>2.38 (1.91, 2.96)</w:t>
            </w:r>
          </w:p>
        </w:tc>
        <w:tc>
          <w:tcPr>
            <w:tcW w:w="2043" w:type="dxa"/>
            <w:hideMark/>
          </w:tcPr>
          <w:p w14:paraId="70F4EECD" w14:textId="77777777" w:rsidR="00CC25E2" w:rsidRPr="00500850" w:rsidRDefault="00CC25E2" w:rsidP="009E1879">
            <w:pPr>
              <w:pStyle w:val="NormalWeb"/>
              <w:jc w:val="center"/>
              <w:rPr>
                <w:sz w:val="18"/>
                <w:szCs w:val="18"/>
              </w:rPr>
            </w:pPr>
            <w:r w:rsidRPr="00500850">
              <w:rPr>
                <w:sz w:val="18"/>
                <w:szCs w:val="18"/>
              </w:rPr>
              <w:t>&lt;0.001</w:t>
            </w:r>
          </w:p>
        </w:tc>
      </w:tr>
    </w:tbl>
    <w:p w14:paraId="0DDECEB4" w14:textId="77777777" w:rsidR="00CC25E2" w:rsidRDefault="00CC25E2" w:rsidP="004028DE">
      <w:pPr>
        <w:pStyle w:val="CDIfootnotes"/>
      </w:pPr>
      <w:r>
        <w:t>a</w:t>
      </w:r>
      <w:r>
        <w:tab/>
        <w:t>Represents relative difference in length of stay; RR&gt;1 indicates longer stay associated with factor</w:t>
      </w:r>
    </w:p>
    <w:p w14:paraId="37AC88DD" w14:textId="77777777" w:rsidR="00CC25E2" w:rsidRDefault="00CC25E2" w:rsidP="004028DE">
      <w:r>
        <w:lastRenderedPageBreak/>
        <w:t>In the 3,669 patients where date of onset of illness and mortality status were reported, mortality was similar in patients that did not receive oseltamivir (44/1,566; 2.8%), those that received oseltamivir within 2 days (28/765; 3.7%) and those that received oseltamivir more than 2 days after onset (42/1,338; 3.14%).</w:t>
      </w:r>
    </w:p>
    <w:p w14:paraId="710B45F9" w14:textId="77777777" w:rsidR="00CC25E2" w:rsidRPr="004028DE" w:rsidRDefault="00CC25E2" w:rsidP="004028DE">
      <w:pPr>
        <w:pStyle w:val="Heading2"/>
      </w:pPr>
      <w:r w:rsidRPr="004028DE">
        <w:t>Vaccine coverage and effectiveness</w:t>
      </w:r>
    </w:p>
    <w:p w14:paraId="58884A6E" w14:textId="77777777" w:rsidR="00CC25E2" w:rsidRDefault="00CC25E2" w:rsidP="004028DE">
      <w:r>
        <w:t>Vaccination status was ascertained in 3,082 of 4,259 cases (72 %) and 1,240 of 1,533 test-negative control patients (81%). Estimated vaccine coverage was 72 % (377/521) in the elderly (≥65 years), 50% (161/321) in non-elderly adults with medical comorbidities and 24% (33/140) in children (&lt;16 years) with medical comorbidities. In the target population, the crude odds ratio of vaccination in cases vs controls was 0.81 (95% CI: 0.67, 0.97) and the adjusted odds ratio of vaccination was 0.77 (95% CI: 0.64, 0.93). The estimated vaccine effectiveness in the target population was therefore 23% (95% CI: 7%, 36%). In the elderly (&gt;65 years), there was no evidence of vaccine effectiveness (estimated VE 8%; 95% CI: -19%, 30%)</w:t>
      </w:r>
    </w:p>
    <w:p w14:paraId="7F9C4A3B" w14:textId="77777777" w:rsidR="00CC25E2" w:rsidRPr="004028DE" w:rsidRDefault="00CC25E2" w:rsidP="004028DE">
      <w:pPr>
        <w:pStyle w:val="Heading1"/>
      </w:pPr>
      <w:r w:rsidRPr="004028DE">
        <w:t>Discussion</w:t>
      </w:r>
    </w:p>
    <w:p w14:paraId="29D8A555" w14:textId="77777777" w:rsidR="00CC25E2" w:rsidRDefault="00CC25E2" w:rsidP="004028DE">
      <w:r>
        <w:t>In the 2017 season, we have documented 4,259 cases of severe influenza, which represents more than twice the number of admissions in each of 2014 (n=2,097), 2015 (n=2,070) and 2016 (n=1,952). Based on the bed capacity of sentinel hospitals, this represents around 31,000 admissions with confirmed influenza nationally. However, as influenza testing is not performed on all patients with acute respiratory presentations, and influenza may also trigger delayed respiratory presentations (</w:t>
      </w:r>
      <w:r w:rsidR="00887A3E">
        <w:t>e.g.</w:t>
      </w:r>
      <w:r>
        <w:t xml:space="preserve"> secondary bacterial pneumonia) and non-respiratory complications (</w:t>
      </w:r>
      <w:proofErr w:type="spellStart"/>
      <w:r>
        <w:t>eg</w:t>
      </w:r>
      <w:proofErr w:type="spellEnd"/>
      <w:r>
        <w:t xml:space="preserve"> acute myocardial infarction), this should be regarded as a minimum estimate. Estimates of the indirect burden of influenza complications, based on methods that examine excess admissions correlated with influenza activity, suggest that this gap is large.</w:t>
      </w:r>
      <w:r>
        <w:rPr>
          <w:vertAlign w:val="superscript"/>
        </w:rPr>
        <w:t>2,</w:t>
      </w:r>
      <w:proofErr w:type="gramStart"/>
      <w:r>
        <w:rPr>
          <w:vertAlign w:val="superscript"/>
        </w:rPr>
        <w:t>7</w:t>
      </w:r>
      <w:proofErr w:type="gramEnd"/>
      <w:r>
        <w:t xml:space="preserve"> </w:t>
      </w:r>
    </w:p>
    <w:p w14:paraId="774B76EE" w14:textId="77777777" w:rsidR="00CC25E2" w:rsidRDefault="00CC25E2" w:rsidP="004028DE">
      <w:r>
        <w:t>The peak rate of influenza hospitalisations relative to hospital size provides a measure of impact. Based on the mean duration of hospital stay (6.2 days) and the peak incidence (5.9 per 100 hospital beds per week), we estimate that at the peak of the season, around 5.2% of Australian hospital beds were occupied by patients with confirmed influenza. At Royal Hobart Hospital, where the peak rate of admissions was 14.5 per 100 beds/week, around 12.8% of hospital beds were occupied by patients with confirmed influenza.</w:t>
      </w:r>
    </w:p>
    <w:p w14:paraId="251E8C7D" w14:textId="77777777" w:rsidR="00CC25E2" w:rsidRDefault="00CC25E2" w:rsidP="004028DE">
      <w:r>
        <w:t>Our estimates of vaccine coverage have been similar over several years,</w:t>
      </w:r>
      <w:r>
        <w:rPr>
          <w:vertAlign w:val="superscript"/>
        </w:rPr>
        <w:t>8–11</w:t>
      </w:r>
      <w:r>
        <w:t xml:space="preserve"> and consistent with other studies estimating vaccine coverage in the Australian population.</w:t>
      </w:r>
      <w:r>
        <w:rPr>
          <w:vertAlign w:val="superscript"/>
        </w:rPr>
        <w:t>12,13</w:t>
      </w:r>
      <w:r>
        <w:t xml:space="preserve"> Of interest in 2018 will be the impact of new state-based pre-school influenza vaccination programs in Queensland, New South Wales, Victoria, Tasmania, South Australia and the Australian Capital Territory, in addition to the existing program in Western Australia and the national program for Indigenous children. The utility of an immunisation program for young children is reinforced by the high rate of hospitalisation in this age group</w:t>
      </w:r>
      <w:r>
        <w:rPr>
          <w:vertAlign w:val="superscript"/>
        </w:rPr>
        <w:t>14</w:t>
      </w:r>
      <w:r>
        <w:t xml:space="preserve"> and rare but clinically significant complications.</w:t>
      </w:r>
      <w:r>
        <w:rPr>
          <w:vertAlign w:val="superscript"/>
        </w:rPr>
        <w:t>15</w:t>
      </w:r>
      <w:r>
        <w:t xml:space="preserve"> Current programs that provide free vaccine for children with chronic comorbidities would not cover the majority of admissions that occur in otherwise healthy children (58% of the 287 children aged between 6 months and 5 years reported to FluCAN in 2017). Additionally, modelling studies in the UK suggest that the influenza campaigns targeting 2–3 year olds resulted in a reduction of 6.1–10.7% in influenza-attributable respiratory hospitalisations, and 5.7–9.4% in influenza-attributable deaths in all age groups.</w:t>
      </w:r>
      <w:r>
        <w:rPr>
          <w:vertAlign w:val="superscript"/>
        </w:rPr>
        <w:t>16</w:t>
      </w:r>
      <w:r>
        <w:t xml:space="preserve"> </w:t>
      </w:r>
    </w:p>
    <w:p w14:paraId="20004CFC" w14:textId="77777777" w:rsidR="00CC25E2" w:rsidRDefault="00CC25E2" w:rsidP="004028DE">
      <w:r>
        <w:t xml:space="preserve">Our estimates of vaccine effectiveness were again relatively low in the target population (point estimate VE 23%) and in the elderly (VE 8%). By comparison, we estimated vaccine effectiveness in the target population in 2016 at 13% (95% CI: -4.7%, 27%), and in the elderly (&gt;65 years) at -19% (95% CI: -52%, 8.0%). This is lower than interim estimates reported from Australian primary care surveillance systems (33%) but notably these systems focus on younger adults, and our estimates are more consistent with the primary care estimates of VE against A/H3 which </w:t>
      </w:r>
      <w:r>
        <w:lastRenderedPageBreak/>
        <w:t>was the predominant subtype in the elderly.</w:t>
      </w:r>
      <w:r>
        <w:rPr>
          <w:vertAlign w:val="superscript"/>
        </w:rPr>
        <w:t>17</w:t>
      </w:r>
      <w:r>
        <w:t xml:space="preserve"> Primary care surveillance in United States have made interim VE estimates for the 2017/18 season in the elderly at 18% (95% CI: -25% to 47%).</w:t>
      </w:r>
      <w:r>
        <w:rPr>
          <w:vertAlign w:val="superscript"/>
        </w:rPr>
        <w:t>18</w:t>
      </w:r>
      <w:r>
        <w:t xml:space="preserve"> Vaccine effectiveness against A/H3 in all population groups was estimated at 25% (13% to 36%) in US primary care, similar to Canadian interim estimates of 17% (95% CI: −14% to 40%).</w:t>
      </w:r>
      <w:r>
        <w:rPr>
          <w:vertAlign w:val="superscript"/>
        </w:rPr>
        <w:t>18,19</w:t>
      </w:r>
      <w:r>
        <w:t xml:space="preserve"> </w:t>
      </w:r>
    </w:p>
    <w:p w14:paraId="46963484" w14:textId="77777777" w:rsidR="00CC25E2" w:rsidRDefault="00CC25E2" w:rsidP="004028DE">
      <w:r>
        <w:t>A confluence of factors may be contributing to this finding; it has long been known that influenza vaccines are less immunogenic in the elderly,</w:t>
      </w:r>
      <w:r>
        <w:rPr>
          <w:vertAlign w:val="superscript"/>
        </w:rPr>
        <w:t>20</w:t>
      </w:r>
      <w:r>
        <w:t xml:space="preserve"> and this group is disproportionately infected with A/H3N2 influenza subtypes, which are more genetically diverse.</w:t>
      </w:r>
      <w:r>
        <w:rPr>
          <w:vertAlign w:val="superscript"/>
        </w:rPr>
        <w:t>17</w:t>
      </w:r>
      <w:r>
        <w:t xml:space="preserve"> Compounding this problem are the well-documented problems associated with egg adaptation of A/H3N2 vaccine strains, which was unchanged from the 2016 vaccine.</w:t>
      </w:r>
      <w:r>
        <w:rPr>
          <w:vertAlign w:val="superscript"/>
        </w:rPr>
        <w:t>21–</w:t>
      </w:r>
      <w:proofErr w:type="gramStart"/>
      <w:r>
        <w:rPr>
          <w:vertAlign w:val="superscript"/>
        </w:rPr>
        <w:t>23</w:t>
      </w:r>
      <w:proofErr w:type="gramEnd"/>
      <w:r>
        <w:t xml:space="preserve"> </w:t>
      </w:r>
    </w:p>
    <w:p w14:paraId="0B69850C" w14:textId="77777777" w:rsidR="00CC25E2" w:rsidRDefault="00CC25E2" w:rsidP="004028DE">
      <w:r>
        <w:t>The Australian government has recently announced access to two new vaccine formulations in the elderly for 2018. The high dose vaccine has been shown to be more immunogenic, and provide greater protection than standard inactivated influenza vaccine in clinical trials.</w:t>
      </w:r>
      <w:r>
        <w:rPr>
          <w:vertAlign w:val="superscript"/>
        </w:rPr>
        <w:t>24,25</w:t>
      </w:r>
      <w:r>
        <w:t xml:space="preserve"> However, estimates of incremental benefit over standard vaccines in vaccine effectiveness studies have been mixed and may depend on the circulating strains and the degree of match.</w:t>
      </w:r>
      <w:r>
        <w:rPr>
          <w:vertAlign w:val="superscript"/>
        </w:rPr>
        <w:t>26</w:t>
      </w:r>
      <w:r>
        <w:t xml:space="preserve"> The MF-59 adjuvanted vaccine has also been shown to be more immunogenic in the elderly,</w:t>
      </w:r>
      <w:r>
        <w:rPr>
          <w:vertAlign w:val="superscript"/>
        </w:rPr>
        <w:t>27</w:t>
      </w:r>
      <w:r>
        <w:t xml:space="preserve"> and one observational study suggests greater protection over several seasons against hospitalisations with influenza and pneumonia.</w:t>
      </w:r>
      <w:r>
        <w:rPr>
          <w:vertAlign w:val="superscript"/>
        </w:rPr>
        <w:t>28</w:t>
      </w:r>
      <w:r>
        <w:t xml:space="preserve"> While the missing B strain in these trivalent vaccines would have been expected to have minimal impact in the 2017 season where other surveillance suggested that B/Yamagata lineage predominated, mismatch or co-circulation of B lineage strains has occurred previously, most recently in 2015 where more than half of admissions were due to influenza B and both Victorian and Yamagata lineages circulated.</w:t>
      </w:r>
    </w:p>
    <w:p w14:paraId="6A21CFB5" w14:textId="77777777" w:rsidR="00CC25E2" w:rsidRDefault="00CC25E2" w:rsidP="004028DE">
      <w:r>
        <w:t>The effectiveness of neuraminidase inhibitors in hospitalised patients remains a controversial topic. Current national guidelines recommend the use of oseltamivir in patients with severe influenza, and this is supported by systematic reviews of observational studies.</w:t>
      </w:r>
      <w:r>
        <w:rPr>
          <w:vertAlign w:val="superscript"/>
        </w:rPr>
        <w:t>29</w:t>
      </w:r>
      <w:r>
        <w:t xml:space="preserve"> While we did not have sufficient statistical power to detect any impact of oseltamivir on the duration of hospitalisation or mortality, the clinical impact of oseltamivir is likely to be hampered by both under-utilisation and late administration (in turn attributable to late presentation to hospital). A trial of early oseltamivir in high risk patients in primary care (the ALIC4E trial)</w:t>
      </w:r>
      <w:r>
        <w:rPr>
          <w:vertAlign w:val="superscript"/>
        </w:rPr>
        <w:t>30</w:t>
      </w:r>
      <w:r>
        <w:t xml:space="preserve"> has recently commenced in the UK and will provide more definitive evidence on the effectiveness of this strategy.</w:t>
      </w:r>
    </w:p>
    <w:p w14:paraId="2E2A555B" w14:textId="77777777" w:rsidR="00CC25E2" w:rsidRDefault="00CC25E2" w:rsidP="004028DE">
      <w:r>
        <w:t>There are several limitations to the surveillance system used in the present work. Under-ascertainment of influenza cases may result from the lack of use of influenza laboratory testing or from poor quality sample collection. Delayed presentations or secondary bacterial pneumonia may be associated with false negative influenza tests as the influenza infection may be cleared by the time of presentation. Ascertainment in tropical regions is limited by surveillance in the winter/dry season only. Estimates of vaccine effectiveness may be biased if an unmeasured confounder disproportionately affects the probability of influenza, compared to non-influenza respiratory illnesses.</w:t>
      </w:r>
      <w:r>
        <w:rPr>
          <w:vertAlign w:val="superscript"/>
        </w:rPr>
        <w:t>31</w:t>
      </w:r>
      <w:r>
        <w:t xml:space="preserve"> </w:t>
      </w:r>
    </w:p>
    <w:p w14:paraId="29194E8A" w14:textId="77777777" w:rsidR="00CC25E2" w:rsidRDefault="00CC25E2" w:rsidP="004028DE">
      <w:r>
        <w:t>In summary, we detected a large number of hospital admissions with laboratory-confirmed influenza in a national observational study in 2017, which was much larger than in any previous season under surveillance since 2010. A consistent finding over several years is that a high proportion of patients with severe influenza, and almost all deaths, occurred in patients with chronic comorbidities.</w:t>
      </w:r>
    </w:p>
    <w:p w14:paraId="4AE6CCBD" w14:textId="77777777" w:rsidR="00CC25E2" w:rsidRPr="004028DE" w:rsidRDefault="00CC25E2" w:rsidP="004028DE">
      <w:pPr>
        <w:pStyle w:val="Heading1"/>
      </w:pPr>
      <w:r w:rsidRPr="004028DE">
        <w:t>Acknowledgements</w:t>
      </w:r>
    </w:p>
    <w:p w14:paraId="134948E0" w14:textId="77777777" w:rsidR="00CC25E2" w:rsidRDefault="00CC25E2" w:rsidP="004028DE">
      <w:r>
        <w:t xml:space="preserve">We thank Neela Joshi Rai, </w:t>
      </w:r>
      <w:proofErr w:type="spellStart"/>
      <w:r>
        <w:t>Ristilla</w:t>
      </w:r>
      <w:proofErr w:type="spellEnd"/>
      <w:r>
        <w:t xml:space="preserve"> Ram, Jo-Anne Thompson, Janette Taylor (Westmead Hospital); </w:t>
      </w:r>
      <w:proofErr w:type="spellStart"/>
      <w:r>
        <w:t>Cazz</w:t>
      </w:r>
      <w:proofErr w:type="spellEnd"/>
      <w:r>
        <w:t xml:space="preserve"> Finucane, Camille Gibson (Princess Margaret Hospital; Telethon Institute); Janine Roney, Jill Garlick, Virginia Cable, Amy Peachey, Nigel Pratt, Jess Costa (The Alfred Hospital); Kristof Boot, Megan Martin (Mater Hospital); Michelle Thompson, Casey McLeod, Adam </w:t>
      </w:r>
      <w:proofErr w:type="spellStart"/>
      <w:r>
        <w:t>Kadmon</w:t>
      </w:r>
      <w:proofErr w:type="spellEnd"/>
      <w:r>
        <w:t xml:space="preserve">, Stewart </w:t>
      </w:r>
      <w:proofErr w:type="spellStart"/>
      <w:r>
        <w:t>Duncum</w:t>
      </w:r>
      <w:proofErr w:type="spellEnd"/>
      <w:r>
        <w:t xml:space="preserve">, Gerri </w:t>
      </w:r>
      <w:proofErr w:type="spellStart"/>
      <w:r>
        <w:t>Shandler</w:t>
      </w:r>
      <w:proofErr w:type="spellEnd"/>
      <w:r>
        <w:t xml:space="preserve">, Sarah Mclean (Royal Melbourne </w:t>
      </w:r>
      <w:r>
        <w:lastRenderedPageBreak/>
        <w:t xml:space="preserve">Hospital); </w:t>
      </w:r>
      <w:proofErr w:type="spellStart"/>
      <w:r>
        <w:t>Jocelynne</w:t>
      </w:r>
      <w:proofErr w:type="spellEnd"/>
      <w:r>
        <w:t xml:space="preserve"> McRae, Laura </w:t>
      </w:r>
      <w:proofErr w:type="spellStart"/>
      <w:r>
        <w:t>Rost</w:t>
      </w:r>
      <w:proofErr w:type="spellEnd"/>
      <w:r>
        <w:t xml:space="preserve">, Nicole Dinsmore, Gemma </w:t>
      </w:r>
      <w:proofErr w:type="spellStart"/>
      <w:r>
        <w:t>Saravanos</w:t>
      </w:r>
      <w:proofErr w:type="spellEnd"/>
      <w:r>
        <w:t xml:space="preserve">, Kathy Meredith (Children’s Hospital at Westmead); Wendy </w:t>
      </w:r>
      <w:proofErr w:type="spellStart"/>
      <w:r>
        <w:t>Beckingham</w:t>
      </w:r>
      <w:proofErr w:type="spellEnd"/>
      <w:r>
        <w:t xml:space="preserve">, Sandra Root, Michelle Gordon, Gabriela </w:t>
      </w:r>
      <w:proofErr w:type="spellStart"/>
      <w:r>
        <w:t>Defries</w:t>
      </w:r>
      <w:proofErr w:type="spellEnd"/>
      <w:r>
        <w:t xml:space="preserve">, Kris </w:t>
      </w:r>
      <w:proofErr w:type="spellStart"/>
      <w:r>
        <w:t>Farrelly</w:t>
      </w:r>
      <w:proofErr w:type="spellEnd"/>
      <w:r>
        <w:t xml:space="preserve"> (Canberra and Calvary Hospitals); Stella Green, Sue Richmond, Donna </w:t>
      </w:r>
      <w:proofErr w:type="spellStart"/>
      <w:r>
        <w:t>Kreuter</w:t>
      </w:r>
      <w:proofErr w:type="spellEnd"/>
      <w:r>
        <w:t xml:space="preserve"> (Cairns Base Hospital); Irene O’Meara, Sharon </w:t>
      </w:r>
      <w:proofErr w:type="spellStart"/>
      <w:r>
        <w:t>Troncoso</w:t>
      </w:r>
      <w:proofErr w:type="spellEnd"/>
      <w:r>
        <w:t xml:space="preserve">, Maya Swift (Alice Springs Hospital; Menzies School of Health Research); Tina Collins, Michelle Towers (Princess Alexandra Hospital); Susan Wagg (Royal Hobart Hospital); Tiffany Perkins (University Hospital Geelong, Barwon Health); Doug </w:t>
      </w:r>
      <w:proofErr w:type="spellStart"/>
      <w:r>
        <w:t>Dorahy</w:t>
      </w:r>
      <w:proofErr w:type="spellEnd"/>
      <w:r>
        <w:t xml:space="preserve">, </w:t>
      </w:r>
      <w:proofErr w:type="spellStart"/>
      <w:r>
        <w:t>Lorissa</w:t>
      </w:r>
      <w:proofErr w:type="spellEnd"/>
      <w:r>
        <w:t xml:space="preserve"> Hopkins, Jasmine </w:t>
      </w:r>
      <w:proofErr w:type="spellStart"/>
      <w:r>
        <w:t>Wark</w:t>
      </w:r>
      <w:proofErr w:type="spellEnd"/>
      <w:r>
        <w:t xml:space="preserve"> (John Hunter Hospital); Jenny McGrath, Louise Milazzo, Sarah Richards, Cathy Short, Cate Green, Mary McAlister, Eve </w:t>
      </w:r>
      <w:proofErr w:type="spellStart"/>
      <w:r>
        <w:t>Boxhall</w:t>
      </w:r>
      <w:proofErr w:type="spellEnd"/>
      <w:r>
        <w:t xml:space="preserve">, Ashleigh Richardson, Catriona Doran, Nicole </w:t>
      </w:r>
      <w:proofErr w:type="spellStart"/>
      <w:r>
        <w:t>Gurrey</w:t>
      </w:r>
      <w:proofErr w:type="spellEnd"/>
      <w:r>
        <w:t xml:space="preserve">, Sophie Whitehead, </w:t>
      </w:r>
      <w:proofErr w:type="spellStart"/>
      <w:r>
        <w:t>Jiayas</w:t>
      </w:r>
      <w:proofErr w:type="spellEnd"/>
      <w:r>
        <w:t xml:space="preserve"> Lin, Rebecca Glover, Segun Kandel, </w:t>
      </w:r>
      <w:proofErr w:type="spellStart"/>
      <w:r>
        <w:t>Monima</w:t>
      </w:r>
      <w:proofErr w:type="spellEnd"/>
      <w:r>
        <w:t xml:space="preserve"> </w:t>
      </w:r>
      <w:proofErr w:type="spellStart"/>
      <w:r>
        <w:t>Pamang</w:t>
      </w:r>
      <w:proofErr w:type="spellEnd"/>
      <w:r>
        <w:t xml:space="preserve">, Kate Shelton (Royal Adelaide Hospital); Ellen MacDonald, Sophie </w:t>
      </w:r>
      <w:proofErr w:type="spellStart"/>
      <w:r>
        <w:t>Damianopoulos</w:t>
      </w:r>
      <w:proofErr w:type="spellEnd"/>
      <w:r>
        <w:t xml:space="preserve">, Helen Hammersley and Fiona </w:t>
      </w:r>
      <w:proofErr w:type="spellStart"/>
      <w:r>
        <w:t>Seroney</w:t>
      </w:r>
      <w:proofErr w:type="spellEnd"/>
      <w:r>
        <w:t xml:space="preserve"> (Royal Perth Hospital). We also thank Rebecca Doyle, Sara Cook, Sonia Dougherty (Lady Cilento Children’s Hospital); Chris Heath, Mary Walker (Women &amp; Childrens Hospital Adelaide); Laura Francis (Royal Darwin Hospital); Gowri Selvaraj and Karen Bellamy (Monash Children’s Hospital). We acknowledge the support of the Australian Government Department of Health for funding this system. </w:t>
      </w:r>
    </w:p>
    <w:p w14:paraId="7D7D8786" w14:textId="77777777" w:rsidR="00CC25E2" w:rsidRPr="004028DE" w:rsidRDefault="00CC25E2" w:rsidP="004028DE">
      <w:pPr>
        <w:pStyle w:val="Heading1"/>
      </w:pPr>
      <w:r w:rsidRPr="004028DE">
        <w:t>Author details</w:t>
      </w:r>
    </w:p>
    <w:p w14:paraId="53C50AD4" w14:textId="77777777" w:rsidR="00607FED" w:rsidRDefault="00CC25E2" w:rsidP="0002648D">
      <w:pPr>
        <w:pStyle w:val="NoSpacing"/>
        <w:rPr>
          <w:rFonts w:eastAsia="Times New Roman"/>
        </w:rPr>
      </w:pPr>
      <w:r>
        <w:rPr>
          <w:rFonts w:eastAsia="Times New Roman"/>
        </w:rPr>
        <w:t>Prof Allen C Cheng</w:t>
      </w:r>
      <w:r>
        <w:rPr>
          <w:rFonts w:eastAsia="Times New Roman"/>
          <w:vertAlign w:val="superscript"/>
        </w:rPr>
        <w:t>1</w:t>
      </w:r>
    </w:p>
    <w:p w14:paraId="493D3743" w14:textId="77777777" w:rsidR="00607FED" w:rsidRDefault="00CC25E2" w:rsidP="0002648D">
      <w:pPr>
        <w:pStyle w:val="NoSpacing"/>
        <w:rPr>
          <w:rFonts w:eastAsia="Times New Roman"/>
        </w:rPr>
      </w:pPr>
      <w:r>
        <w:rPr>
          <w:rFonts w:eastAsia="Times New Roman"/>
        </w:rPr>
        <w:t>Prof Mark Holmes</w:t>
      </w:r>
      <w:r>
        <w:rPr>
          <w:rFonts w:eastAsia="Times New Roman"/>
          <w:vertAlign w:val="superscript"/>
        </w:rPr>
        <w:t>2</w:t>
      </w:r>
    </w:p>
    <w:p w14:paraId="4C7DF3C9" w14:textId="77777777" w:rsidR="00607FED" w:rsidRDefault="00CC25E2" w:rsidP="0002648D">
      <w:pPr>
        <w:pStyle w:val="NoSpacing"/>
        <w:rPr>
          <w:rFonts w:eastAsia="Times New Roman"/>
        </w:rPr>
      </w:pPr>
      <w:r>
        <w:rPr>
          <w:rFonts w:eastAsia="Times New Roman"/>
        </w:rPr>
        <w:t>Prof Dominic E Dwyer</w:t>
      </w:r>
      <w:r>
        <w:rPr>
          <w:rFonts w:eastAsia="Times New Roman"/>
          <w:vertAlign w:val="superscript"/>
        </w:rPr>
        <w:t>3</w:t>
      </w:r>
    </w:p>
    <w:p w14:paraId="16FE35D2" w14:textId="77777777" w:rsidR="00607FED" w:rsidRDefault="00CC25E2" w:rsidP="0002648D">
      <w:pPr>
        <w:pStyle w:val="NoSpacing"/>
        <w:rPr>
          <w:rFonts w:eastAsia="Times New Roman"/>
        </w:rPr>
      </w:pPr>
      <w:r>
        <w:rPr>
          <w:rFonts w:eastAsia="Times New Roman"/>
        </w:rPr>
        <w:t>A/Prof Sanjaya Senenayake</w:t>
      </w:r>
      <w:r>
        <w:rPr>
          <w:rFonts w:eastAsia="Times New Roman"/>
          <w:vertAlign w:val="superscript"/>
        </w:rPr>
        <w:t>4</w:t>
      </w:r>
    </w:p>
    <w:p w14:paraId="31637DED" w14:textId="77777777" w:rsidR="00607FED" w:rsidRDefault="00CC25E2" w:rsidP="0002648D">
      <w:pPr>
        <w:pStyle w:val="NoSpacing"/>
        <w:rPr>
          <w:rFonts w:eastAsia="Times New Roman"/>
        </w:rPr>
      </w:pPr>
      <w:r>
        <w:rPr>
          <w:rFonts w:eastAsia="Times New Roman"/>
        </w:rPr>
        <w:t>Dr Louise Cooley</w:t>
      </w:r>
      <w:r>
        <w:rPr>
          <w:rFonts w:eastAsia="Times New Roman"/>
          <w:vertAlign w:val="superscript"/>
        </w:rPr>
        <w:t>5</w:t>
      </w:r>
    </w:p>
    <w:p w14:paraId="50E2AF42" w14:textId="77777777" w:rsidR="00607FED" w:rsidRDefault="00CC25E2" w:rsidP="0002648D">
      <w:pPr>
        <w:pStyle w:val="NoSpacing"/>
        <w:rPr>
          <w:rFonts w:eastAsia="Times New Roman"/>
        </w:rPr>
      </w:pPr>
      <w:r>
        <w:rPr>
          <w:rFonts w:eastAsia="Times New Roman"/>
        </w:rPr>
        <w:t>A/Prof Louis Irving</w:t>
      </w:r>
      <w:r>
        <w:rPr>
          <w:rFonts w:eastAsia="Times New Roman"/>
          <w:vertAlign w:val="superscript"/>
        </w:rPr>
        <w:t>6</w:t>
      </w:r>
    </w:p>
    <w:p w14:paraId="236A5FBA" w14:textId="77777777" w:rsidR="00607FED" w:rsidRDefault="00CC25E2" w:rsidP="0002648D">
      <w:pPr>
        <w:pStyle w:val="NoSpacing"/>
        <w:rPr>
          <w:rFonts w:eastAsia="Times New Roman"/>
        </w:rPr>
      </w:pPr>
      <w:r>
        <w:rPr>
          <w:rFonts w:eastAsia="Times New Roman"/>
        </w:rPr>
        <w:t>Dr Graham Simpson</w:t>
      </w:r>
      <w:r>
        <w:rPr>
          <w:rFonts w:eastAsia="Times New Roman"/>
          <w:vertAlign w:val="superscript"/>
        </w:rPr>
        <w:t>7</w:t>
      </w:r>
    </w:p>
    <w:p w14:paraId="42E739DD" w14:textId="77777777" w:rsidR="00607FED" w:rsidRDefault="00CC25E2" w:rsidP="0002648D">
      <w:pPr>
        <w:pStyle w:val="NoSpacing"/>
        <w:rPr>
          <w:rFonts w:eastAsia="Times New Roman"/>
        </w:rPr>
      </w:pPr>
      <w:r>
        <w:rPr>
          <w:rFonts w:eastAsia="Times New Roman"/>
        </w:rPr>
        <w:t>A/Prof Tony Korman</w:t>
      </w:r>
      <w:r>
        <w:rPr>
          <w:rFonts w:eastAsia="Times New Roman"/>
          <w:vertAlign w:val="superscript"/>
        </w:rPr>
        <w:t>8</w:t>
      </w:r>
    </w:p>
    <w:p w14:paraId="3BA39E37" w14:textId="77777777" w:rsidR="00607FED" w:rsidRDefault="00CC25E2" w:rsidP="0002648D">
      <w:pPr>
        <w:pStyle w:val="NoSpacing"/>
        <w:rPr>
          <w:rFonts w:eastAsia="Times New Roman"/>
        </w:rPr>
      </w:pPr>
      <w:r>
        <w:rPr>
          <w:rFonts w:eastAsia="Times New Roman"/>
        </w:rPr>
        <w:t>Prof Kristine Macartney</w:t>
      </w:r>
      <w:r>
        <w:rPr>
          <w:rFonts w:eastAsia="Times New Roman"/>
          <w:vertAlign w:val="superscript"/>
        </w:rPr>
        <w:t>9</w:t>
      </w:r>
    </w:p>
    <w:p w14:paraId="0EF97009" w14:textId="77777777" w:rsidR="00607FED" w:rsidRDefault="00CC25E2" w:rsidP="0002648D">
      <w:pPr>
        <w:pStyle w:val="NoSpacing"/>
        <w:rPr>
          <w:rFonts w:eastAsia="Times New Roman"/>
        </w:rPr>
      </w:pPr>
      <w:r>
        <w:rPr>
          <w:rFonts w:eastAsia="Times New Roman"/>
        </w:rPr>
        <w:t>A/Prof N. Deborah Friedman</w:t>
      </w:r>
      <w:r>
        <w:rPr>
          <w:rFonts w:eastAsia="Times New Roman"/>
          <w:vertAlign w:val="superscript"/>
        </w:rPr>
        <w:t>10</w:t>
      </w:r>
    </w:p>
    <w:p w14:paraId="124BCAC3" w14:textId="77777777" w:rsidR="00607FED" w:rsidRDefault="00CC25E2" w:rsidP="0002648D">
      <w:pPr>
        <w:pStyle w:val="NoSpacing"/>
        <w:rPr>
          <w:rFonts w:eastAsia="Times New Roman"/>
        </w:rPr>
      </w:pPr>
      <w:r>
        <w:rPr>
          <w:rFonts w:eastAsia="Times New Roman"/>
        </w:rPr>
        <w:t>Prof Peter Wark</w:t>
      </w:r>
      <w:r>
        <w:rPr>
          <w:rFonts w:eastAsia="Times New Roman"/>
          <w:vertAlign w:val="superscript"/>
        </w:rPr>
        <w:t>11</w:t>
      </w:r>
    </w:p>
    <w:p w14:paraId="00AE44E1" w14:textId="77777777" w:rsidR="00607FED" w:rsidRDefault="00CC25E2" w:rsidP="0002648D">
      <w:pPr>
        <w:pStyle w:val="NoSpacing"/>
        <w:rPr>
          <w:rFonts w:eastAsia="Times New Roman"/>
        </w:rPr>
      </w:pPr>
      <w:r>
        <w:rPr>
          <w:rFonts w:eastAsia="Times New Roman"/>
        </w:rPr>
        <w:t>Dr Anna Holwell</w:t>
      </w:r>
      <w:r>
        <w:rPr>
          <w:rFonts w:eastAsia="Times New Roman"/>
          <w:vertAlign w:val="superscript"/>
        </w:rPr>
        <w:t>12</w:t>
      </w:r>
    </w:p>
    <w:p w14:paraId="38951B65" w14:textId="77777777" w:rsidR="00607FED" w:rsidRDefault="00CC25E2" w:rsidP="0002648D">
      <w:pPr>
        <w:pStyle w:val="NoSpacing"/>
        <w:rPr>
          <w:rFonts w:eastAsia="Times New Roman"/>
        </w:rPr>
      </w:pPr>
      <w:r>
        <w:rPr>
          <w:rFonts w:eastAsia="Times New Roman"/>
        </w:rPr>
        <w:t>A/Prof Christopher Blyth</w:t>
      </w:r>
      <w:r>
        <w:rPr>
          <w:rFonts w:eastAsia="Times New Roman"/>
          <w:vertAlign w:val="superscript"/>
        </w:rPr>
        <w:t>13</w:t>
      </w:r>
    </w:p>
    <w:p w14:paraId="4B48B940" w14:textId="77777777" w:rsidR="00607FED" w:rsidRDefault="00CC25E2" w:rsidP="0002648D">
      <w:pPr>
        <w:pStyle w:val="NoSpacing"/>
        <w:rPr>
          <w:rFonts w:eastAsia="Times New Roman"/>
        </w:rPr>
      </w:pPr>
      <w:r>
        <w:rPr>
          <w:rFonts w:eastAsia="Times New Roman"/>
        </w:rPr>
        <w:t>Dr Simon Bowler</w:t>
      </w:r>
      <w:r>
        <w:rPr>
          <w:rFonts w:eastAsia="Times New Roman"/>
          <w:vertAlign w:val="superscript"/>
        </w:rPr>
        <w:t>14</w:t>
      </w:r>
    </w:p>
    <w:p w14:paraId="3FF79D19" w14:textId="77777777" w:rsidR="00607FED" w:rsidRDefault="00CC25E2" w:rsidP="0002648D">
      <w:pPr>
        <w:pStyle w:val="NoSpacing"/>
        <w:rPr>
          <w:rFonts w:eastAsia="Times New Roman"/>
        </w:rPr>
      </w:pPr>
      <w:r>
        <w:rPr>
          <w:rFonts w:eastAsia="Times New Roman"/>
        </w:rPr>
        <w:t>Prof John Upham</w:t>
      </w:r>
      <w:r>
        <w:rPr>
          <w:rFonts w:eastAsia="Times New Roman"/>
          <w:vertAlign w:val="superscript"/>
        </w:rPr>
        <w:t>15</w:t>
      </w:r>
    </w:p>
    <w:p w14:paraId="1952A18D" w14:textId="77777777" w:rsidR="00607FED" w:rsidRDefault="00CC25E2" w:rsidP="0002648D">
      <w:pPr>
        <w:pStyle w:val="NoSpacing"/>
        <w:rPr>
          <w:rFonts w:eastAsia="Times New Roman"/>
        </w:rPr>
      </w:pPr>
      <w:r>
        <w:rPr>
          <w:rFonts w:eastAsia="Times New Roman"/>
        </w:rPr>
        <w:t>Prof Grant Waterer</w:t>
      </w:r>
      <w:r>
        <w:rPr>
          <w:rFonts w:eastAsia="Times New Roman"/>
          <w:vertAlign w:val="superscript"/>
        </w:rPr>
        <w:t>16</w:t>
      </w:r>
    </w:p>
    <w:p w14:paraId="120C4D0E" w14:textId="77777777" w:rsidR="00607FED" w:rsidRDefault="00CC25E2" w:rsidP="0002648D">
      <w:pPr>
        <w:pStyle w:val="NoSpacing"/>
        <w:rPr>
          <w:rFonts w:eastAsia="Times New Roman"/>
        </w:rPr>
      </w:pPr>
      <w:r>
        <w:rPr>
          <w:rFonts w:eastAsia="Times New Roman"/>
        </w:rPr>
        <w:t>A/Prof Tom Kotsimbos</w:t>
      </w:r>
      <w:r>
        <w:rPr>
          <w:rFonts w:eastAsia="Times New Roman"/>
          <w:vertAlign w:val="superscript"/>
        </w:rPr>
        <w:t>17</w:t>
      </w:r>
    </w:p>
    <w:p w14:paraId="7CF4D9B7" w14:textId="77777777" w:rsidR="00607FED" w:rsidRDefault="00CC25E2" w:rsidP="0002648D">
      <w:pPr>
        <w:pStyle w:val="NoSpacing"/>
        <w:rPr>
          <w:rFonts w:eastAsia="Times New Roman"/>
          <w:vertAlign w:val="superscript"/>
        </w:rPr>
      </w:pPr>
      <w:r>
        <w:rPr>
          <w:rFonts w:eastAsia="Times New Roman"/>
        </w:rPr>
        <w:t>Adjunct Prof Paul Kelly</w:t>
      </w:r>
      <w:r>
        <w:rPr>
          <w:rFonts w:eastAsia="Times New Roman"/>
          <w:vertAlign w:val="superscript"/>
        </w:rPr>
        <w:t>18</w:t>
      </w:r>
    </w:p>
    <w:p w14:paraId="58513432" w14:textId="77777777" w:rsidR="0064404C" w:rsidRDefault="0064404C" w:rsidP="0002648D">
      <w:pPr>
        <w:pStyle w:val="NoSpacing"/>
        <w:rPr>
          <w:rFonts w:eastAsia="Times New Roman"/>
        </w:rPr>
      </w:pPr>
    </w:p>
    <w:p w14:paraId="3E4C3F9A" w14:textId="77777777" w:rsidR="00607FED" w:rsidRPr="000B7C20" w:rsidRDefault="00CC25E2" w:rsidP="000B7C20">
      <w:pPr>
        <w:pStyle w:val="ListParagraph"/>
        <w:numPr>
          <w:ilvl w:val="0"/>
          <w:numId w:val="9"/>
        </w:numPr>
        <w:rPr>
          <w:rFonts w:eastAsia="Times New Roman"/>
        </w:rPr>
      </w:pPr>
      <w:r w:rsidRPr="000B7C20">
        <w:rPr>
          <w:rFonts w:eastAsia="Times New Roman"/>
        </w:rPr>
        <w:t>A</w:t>
      </w:r>
      <w:r w:rsidR="00607FED" w:rsidRPr="000B7C20">
        <w:rPr>
          <w:rFonts w:eastAsia="Times New Roman"/>
        </w:rPr>
        <w:t>lfred Health; Monash University</w:t>
      </w:r>
    </w:p>
    <w:p w14:paraId="0E30BDD5" w14:textId="77777777" w:rsidR="00607FED" w:rsidRPr="000B7C20" w:rsidRDefault="00CC25E2" w:rsidP="000B7C20">
      <w:pPr>
        <w:pStyle w:val="ListParagraph"/>
        <w:numPr>
          <w:ilvl w:val="0"/>
          <w:numId w:val="9"/>
        </w:numPr>
        <w:rPr>
          <w:rFonts w:eastAsia="Times New Roman"/>
        </w:rPr>
      </w:pPr>
      <w:r w:rsidRPr="000B7C20">
        <w:rPr>
          <w:rFonts w:eastAsia="Times New Roman"/>
        </w:rPr>
        <w:t>University of Ad</w:t>
      </w:r>
      <w:r w:rsidR="00607FED" w:rsidRPr="000B7C20">
        <w:rPr>
          <w:rFonts w:eastAsia="Times New Roman"/>
        </w:rPr>
        <w:t>elaide, Royal Adelaide Hospital</w:t>
      </w:r>
    </w:p>
    <w:p w14:paraId="7EEF4168" w14:textId="77777777" w:rsidR="00607FED" w:rsidRPr="000B7C20" w:rsidRDefault="00CC25E2" w:rsidP="000B7C20">
      <w:pPr>
        <w:pStyle w:val="ListParagraph"/>
        <w:numPr>
          <w:ilvl w:val="0"/>
          <w:numId w:val="9"/>
        </w:numPr>
        <w:rPr>
          <w:rFonts w:eastAsia="Times New Roman"/>
        </w:rPr>
      </w:pPr>
      <w:r w:rsidRPr="000B7C20">
        <w:rPr>
          <w:rFonts w:eastAsia="Times New Roman"/>
        </w:rPr>
        <w:t xml:space="preserve">University of Sydney, Westmead Hospital </w:t>
      </w:r>
      <w:r w:rsidR="00607FED" w:rsidRPr="000B7C20">
        <w:rPr>
          <w:rFonts w:eastAsia="Times New Roman"/>
        </w:rPr>
        <w:t>Australian National University</w:t>
      </w:r>
    </w:p>
    <w:p w14:paraId="3BAD395A" w14:textId="77777777" w:rsidR="00607FED" w:rsidRPr="000B7C20" w:rsidRDefault="00607FED" w:rsidP="000B7C20">
      <w:pPr>
        <w:pStyle w:val="ListParagraph"/>
        <w:numPr>
          <w:ilvl w:val="0"/>
          <w:numId w:val="9"/>
        </w:numPr>
        <w:rPr>
          <w:rFonts w:eastAsia="Times New Roman"/>
        </w:rPr>
      </w:pPr>
      <w:r w:rsidRPr="000B7C20">
        <w:rPr>
          <w:rFonts w:eastAsia="Times New Roman"/>
        </w:rPr>
        <w:t>The Canberra Hospital</w:t>
      </w:r>
    </w:p>
    <w:p w14:paraId="7F7E1439" w14:textId="77777777" w:rsidR="00607FED" w:rsidRPr="000B7C20" w:rsidRDefault="00607FED" w:rsidP="000B7C20">
      <w:pPr>
        <w:pStyle w:val="ListParagraph"/>
        <w:numPr>
          <w:ilvl w:val="0"/>
          <w:numId w:val="9"/>
        </w:numPr>
        <w:rPr>
          <w:rFonts w:eastAsia="Times New Roman"/>
        </w:rPr>
      </w:pPr>
      <w:r w:rsidRPr="000B7C20">
        <w:rPr>
          <w:rFonts w:eastAsia="Times New Roman"/>
        </w:rPr>
        <w:t>Royal Hobart Hospital</w:t>
      </w:r>
    </w:p>
    <w:p w14:paraId="22DAC971" w14:textId="77777777" w:rsidR="00607FED" w:rsidRPr="000B7C20" w:rsidRDefault="00607FED" w:rsidP="000B7C20">
      <w:pPr>
        <w:pStyle w:val="ListParagraph"/>
        <w:numPr>
          <w:ilvl w:val="0"/>
          <w:numId w:val="9"/>
        </w:numPr>
        <w:rPr>
          <w:rFonts w:eastAsia="Times New Roman"/>
        </w:rPr>
      </w:pPr>
      <w:r w:rsidRPr="000B7C20">
        <w:rPr>
          <w:rFonts w:eastAsia="Times New Roman"/>
        </w:rPr>
        <w:t>Royal Melbourne Hospital, University of Melbourne</w:t>
      </w:r>
    </w:p>
    <w:p w14:paraId="3E6EBBE8" w14:textId="77777777" w:rsidR="00607FED" w:rsidRPr="000B7C20" w:rsidRDefault="00607FED" w:rsidP="000B7C20">
      <w:pPr>
        <w:pStyle w:val="ListParagraph"/>
        <w:numPr>
          <w:ilvl w:val="0"/>
          <w:numId w:val="9"/>
        </w:numPr>
        <w:rPr>
          <w:rFonts w:eastAsia="Times New Roman"/>
        </w:rPr>
      </w:pPr>
      <w:r w:rsidRPr="000B7C20">
        <w:rPr>
          <w:rFonts w:eastAsia="Times New Roman"/>
        </w:rPr>
        <w:t>Cairns Base Hospital</w:t>
      </w:r>
    </w:p>
    <w:p w14:paraId="392B948A" w14:textId="77777777" w:rsidR="00607FED" w:rsidRPr="000B7C20" w:rsidRDefault="00CC25E2" w:rsidP="000B7C20">
      <w:pPr>
        <w:pStyle w:val="ListParagraph"/>
        <w:numPr>
          <w:ilvl w:val="0"/>
          <w:numId w:val="9"/>
        </w:numPr>
        <w:rPr>
          <w:rFonts w:eastAsia="Times New Roman"/>
        </w:rPr>
      </w:pPr>
      <w:r w:rsidRPr="000B7C20">
        <w:rPr>
          <w:rFonts w:eastAsia="Times New Roman"/>
        </w:rPr>
        <w:t>Monash Medical Centre;</w:t>
      </w:r>
      <w:r w:rsidR="00607FED" w:rsidRPr="000B7C20">
        <w:rPr>
          <w:rFonts w:eastAsia="Times New Roman"/>
        </w:rPr>
        <w:t xml:space="preserve"> Monash University</w:t>
      </w:r>
    </w:p>
    <w:p w14:paraId="57EE4321" w14:textId="77777777" w:rsidR="00607FED" w:rsidRPr="000B7C20" w:rsidRDefault="00607FED" w:rsidP="000B7C20">
      <w:pPr>
        <w:pStyle w:val="ListParagraph"/>
        <w:numPr>
          <w:ilvl w:val="0"/>
          <w:numId w:val="9"/>
        </w:numPr>
        <w:rPr>
          <w:rFonts w:eastAsia="Times New Roman"/>
        </w:rPr>
      </w:pPr>
      <w:r w:rsidRPr="000B7C20">
        <w:rPr>
          <w:rFonts w:eastAsia="Times New Roman"/>
        </w:rPr>
        <w:t>Children’s Hospital at Westmead</w:t>
      </w:r>
    </w:p>
    <w:p w14:paraId="6A923063" w14:textId="77777777" w:rsidR="00607FED" w:rsidRPr="000B7C20" w:rsidRDefault="00607FED" w:rsidP="000B7C20">
      <w:pPr>
        <w:pStyle w:val="ListParagraph"/>
        <w:numPr>
          <w:ilvl w:val="0"/>
          <w:numId w:val="9"/>
        </w:numPr>
        <w:rPr>
          <w:rFonts w:eastAsia="Times New Roman"/>
        </w:rPr>
      </w:pPr>
      <w:r w:rsidRPr="000B7C20">
        <w:rPr>
          <w:rFonts w:eastAsia="Times New Roman"/>
        </w:rPr>
        <w:t>University Hospital Geelong</w:t>
      </w:r>
    </w:p>
    <w:p w14:paraId="05573949" w14:textId="77777777" w:rsidR="00607FED" w:rsidRPr="000B7C20" w:rsidRDefault="00CC25E2" w:rsidP="000B7C20">
      <w:pPr>
        <w:pStyle w:val="ListParagraph"/>
        <w:numPr>
          <w:ilvl w:val="0"/>
          <w:numId w:val="9"/>
        </w:numPr>
        <w:rPr>
          <w:rFonts w:eastAsia="Times New Roman"/>
        </w:rPr>
      </w:pPr>
      <w:r w:rsidRPr="000B7C20">
        <w:rPr>
          <w:rFonts w:eastAsia="Times New Roman"/>
        </w:rPr>
        <w:t xml:space="preserve">University of </w:t>
      </w:r>
      <w:r w:rsidR="00607FED" w:rsidRPr="000B7C20">
        <w:rPr>
          <w:rFonts w:eastAsia="Times New Roman"/>
        </w:rPr>
        <w:t>Newcastle, John Hunter Hospital</w:t>
      </w:r>
    </w:p>
    <w:p w14:paraId="7E3D4789" w14:textId="77777777" w:rsidR="00607FED" w:rsidRPr="000B7C20" w:rsidRDefault="00607FED" w:rsidP="000B7C20">
      <w:pPr>
        <w:pStyle w:val="ListParagraph"/>
        <w:numPr>
          <w:ilvl w:val="0"/>
          <w:numId w:val="9"/>
        </w:numPr>
        <w:rPr>
          <w:rFonts w:eastAsia="Times New Roman"/>
        </w:rPr>
      </w:pPr>
      <w:r w:rsidRPr="000B7C20">
        <w:rPr>
          <w:rFonts w:eastAsia="Times New Roman"/>
        </w:rPr>
        <w:t>Alice Springs Hospital</w:t>
      </w:r>
    </w:p>
    <w:p w14:paraId="0FEE3E72" w14:textId="77777777" w:rsidR="00607FED" w:rsidRPr="000B7C20" w:rsidRDefault="00CC25E2" w:rsidP="000B7C20">
      <w:pPr>
        <w:pStyle w:val="ListParagraph"/>
        <w:numPr>
          <w:ilvl w:val="0"/>
          <w:numId w:val="9"/>
        </w:numPr>
        <w:rPr>
          <w:rFonts w:eastAsia="Times New Roman"/>
        </w:rPr>
      </w:pPr>
      <w:r w:rsidRPr="000B7C20">
        <w:rPr>
          <w:rFonts w:eastAsia="Times New Roman"/>
        </w:rPr>
        <w:t>Princess Margaret Hospital, University of Western Aus</w:t>
      </w:r>
      <w:r w:rsidR="00607FED" w:rsidRPr="000B7C20">
        <w:rPr>
          <w:rFonts w:eastAsia="Times New Roman"/>
        </w:rPr>
        <w:t>tralia, Telethon Kids Institute</w:t>
      </w:r>
    </w:p>
    <w:p w14:paraId="41DE4FA4" w14:textId="77777777" w:rsidR="00607FED" w:rsidRPr="000B7C20" w:rsidRDefault="00607FED" w:rsidP="000B7C20">
      <w:pPr>
        <w:pStyle w:val="ListParagraph"/>
        <w:numPr>
          <w:ilvl w:val="0"/>
          <w:numId w:val="9"/>
        </w:numPr>
        <w:rPr>
          <w:rFonts w:eastAsia="Times New Roman"/>
        </w:rPr>
      </w:pPr>
      <w:r w:rsidRPr="000B7C20">
        <w:rPr>
          <w:rFonts w:eastAsia="Times New Roman"/>
        </w:rPr>
        <w:lastRenderedPageBreak/>
        <w:t>Mater Hospitals</w:t>
      </w:r>
    </w:p>
    <w:p w14:paraId="08A21136" w14:textId="77777777" w:rsidR="004F1C08" w:rsidRPr="000B7C20" w:rsidRDefault="00CC25E2" w:rsidP="000B7C20">
      <w:pPr>
        <w:pStyle w:val="ListParagraph"/>
        <w:numPr>
          <w:ilvl w:val="0"/>
          <w:numId w:val="9"/>
        </w:numPr>
        <w:rPr>
          <w:rFonts w:eastAsia="Times New Roman"/>
        </w:rPr>
      </w:pPr>
      <w:r w:rsidRPr="000B7C20">
        <w:rPr>
          <w:rFonts w:eastAsia="Times New Roman"/>
        </w:rPr>
        <w:t>Princess Alexandra Hos</w:t>
      </w:r>
      <w:r w:rsidR="004F1C08" w:rsidRPr="000B7C20">
        <w:rPr>
          <w:rFonts w:eastAsia="Times New Roman"/>
        </w:rPr>
        <w:t>pital, University of Queensland</w:t>
      </w:r>
    </w:p>
    <w:p w14:paraId="4C7AF4CC" w14:textId="77777777" w:rsidR="003C2A52" w:rsidRPr="000B7C20" w:rsidRDefault="00CC25E2" w:rsidP="000B7C20">
      <w:pPr>
        <w:pStyle w:val="ListParagraph"/>
        <w:numPr>
          <w:ilvl w:val="0"/>
          <w:numId w:val="9"/>
        </w:numPr>
        <w:rPr>
          <w:rFonts w:eastAsia="Times New Roman"/>
        </w:rPr>
      </w:pPr>
      <w:r w:rsidRPr="000B7C20">
        <w:rPr>
          <w:rFonts w:eastAsia="Times New Roman"/>
        </w:rPr>
        <w:t xml:space="preserve">University of Western </w:t>
      </w:r>
      <w:r w:rsidR="003C2A52" w:rsidRPr="000B7C20">
        <w:rPr>
          <w:rFonts w:eastAsia="Times New Roman"/>
        </w:rPr>
        <w:t>Australia, Royal Perth Hospital</w:t>
      </w:r>
    </w:p>
    <w:p w14:paraId="240E0815" w14:textId="77777777" w:rsidR="00AD1050" w:rsidRPr="000B7C20" w:rsidRDefault="00CC25E2" w:rsidP="000B7C20">
      <w:pPr>
        <w:pStyle w:val="ListParagraph"/>
        <w:numPr>
          <w:ilvl w:val="0"/>
          <w:numId w:val="9"/>
        </w:numPr>
        <w:rPr>
          <w:rFonts w:eastAsia="Times New Roman"/>
        </w:rPr>
      </w:pPr>
      <w:r w:rsidRPr="000B7C20">
        <w:rPr>
          <w:rFonts w:eastAsia="Times New Roman"/>
        </w:rPr>
        <w:t>A</w:t>
      </w:r>
      <w:r w:rsidR="00AD1050" w:rsidRPr="000B7C20">
        <w:rPr>
          <w:rFonts w:eastAsia="Times New Roman"/>
        </w:rPr>
        <w:t>lfred Health; Monash University</w:t>
      </w:r>
    </w:p>
    <w:p w14:paraId="4958DC87" w14:textId="77777777" w:rsidR="00CC25E2" w:rsidRPr="000B7C20" w:rsidRDefault="00CC25E2" w:rsidP="000B7C20">
      <w:pPr>
        <w:pStyle w:val="ListParagraph"/>
        <w:numPr>
          <w:ilvl w:val="0"/>
          <w:numId w:val="9"/>
        </w:numPr>
        <w:rPr>
          <w:rFonts w:eastAsia="Times New Roman"/>
        </w:rPr>
      </w:pPr>
      <w:r w:rsidRPr="000B7C20">
        <w:rPr>
          <w:rFonts w:eastAsia="Times New Roman"/>
        </w:rPr>
        <w:t xml:space="preserve">ACT Government Health Directorate; Australian National University Medical School </w:t>
      </w:r>
    </w:p>
    <w:p w14:paraId="71110B25" w14:textId="77777777" w:rsidR="00CC25E2" w:rsidRPr="004028DE" w:rsidRDefault="00CC25E2" w:rsidP="004028DE">
      <w:pPr>
        <w:pStyle w:val="Heading2"/>
      </w:pPr>
      <w:r w:rsidRPr="004028DE">
        <w:rPr>
          <w:rStyle w:val="Strong"/>
          <w:b/>
          <w:bCs/>
        </w:rPr>
        <w:t>Corresponding author</w:t>
      </w:r>
      <w:r w:rsidRPr="004028DE">
        <w:t xml:space="preserve"> </w:t>
      </w:r>
    </w:p>
    <w:p w14:paraId="35E57E0F" w14:textId="2B36027D" w:rsidR="00CC25E2" w:rsidRDefault="00CC25E2" w:rsidP="004028DE">
      <w:r>
        <w:t xml:space="preserve">Prof Allen Cheng, Department of Epidemiology and Preventive Medicine, Monash University, Commercial Road, Melbourne Vic 3004. Email: </w:t>
      </w:r>
      <w:hyperlink r:id="rId17" w:history="1">
        <w:r w:rsidR="00AA01A6" w:rsidRPr="00D55468">
          <w:rPr>
            <w:rStyle w:val="Hyperlink"/>
          </w:rPr>
          <w:t>allen.cheng@monash.edu</w:t>
        </w:r>
      </w:hyperlink>
      <w:r w:rsidR="00AA01A6">
        <w:t xml:space="preserve"> </w:t>
      </w:r>
    </w:p>
    <w:p w14:paraId="4021C36A" w14:textId="77777777" w:rsidR="00CC25E2" w:rsidRPr="00272B2D" w:rsidRDefault="00CC25E2" w:rsidP="00272B2D">
      <w:pPr>
        <w:pStyle w:val="Heading1"/>
      </w:pPr>
      <w:r w:rsidRPr="00272B2D">
        <w:t>References</w:t>
      </w:r>
    </w:p>
    <w:p w14:paraId="6A529BA9"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Kuster</w:t>
      </w:r>
      <w:proofErr w:type="spellEnd"/>
      <w:r w:rsidRPr="00272B2D">
        <w:rPr>
          <w:rFonts w:eastAsia="Times New Roman"/>
        </w:rPr>
        <w:t xml:space="preserve"> SP, Coleman BL, </w:t>
      </w:r>
      <w:proofErr w:type="spellStart"/>
      <w:r w:rsidRPr="00272B2D">
        <w:rPr>
          <w:rFonts w:eastAsia="Times New Roman"/>
        </w:rPr>
        <w:t>Raboud</w:t>
      </w:r>
      <w:proofErr w:type="spellEnd"/>
      <w:r w:rsidRPr="00272B2D">
        <w:rPr>
          <w:rFonts w:eastAsia="Times New Roman"/>
        </w:rPr>
        <w:t xml:space="preserve"> J, McNeil S, De Serres G, Gubbay J, et al. Risk factors for influenza among health care workers during 2009 pandemic, Toronto, Ontario, Canada. </w:t>
      </w:r>
      <w:proofErr w:type="spellStart"/>
      <w:r w:rsidRPr="00F43A73">
        <w:rPr>
          <w:rStyle w:val="Emphasis"/>
          <w:rFonts w:eastAsia="Times New Roman"/>
          <w:b w:val="0"/>
        </w:rPr>
        <w:t>Emerg</w:t>
      </w:r>
      <w:proofErr w:type="spellEnd"/>
      <w:r w:rsidRPr="00F43A73">
        <w:rPr>
          <w:rStyle w:val="Emphasis"/>
          <w:rFonts w:eastAsia="Times New Roman"/>
          <w:b w:val="0"/>
        </w:rPr>
        <w:t xml:space="preserve"> Infect Dis</w:t>
      </w:r>
      <w:r w:rsidRPr="00272B2D">
        <w:rPr>
          <w:rFonts w:eastAsia="Times New Roman"/>
        </w:rPr>
        <w:t>. 2013;19(4):606–15.</w:t>
      </w:r>
    </w:p>
    <w:p w14:paraId="7E2AA0A5"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Newall AT, Wood JG, Macintyre CR. Influenza-related hospitalisation and death in Australians aged 50 years and older. </w:t>
      </w:r>
      <w:r w:rsidRPr="00F43A73">
        <w:rPr>
          <w:rStyle w:val="Emphasis"/>
          <w:rFonts w:eastAsia="Times New Roman"/>
          <w:b w:val="0"/>
        </w:rPr>
        <w:t>Vaccine</w:t>
      </w:r>
      <w:r w:rsidRPr="00272B2D">
        <w:rPr>
          <w:rFonts w:eastAsia="Times New Roman"/>
        </w:rPr>
        <w:t>. 2008;26(17):2135–41.</w:t>
      </w:r>
    </w:p>
    <w:p w14:paraId="4461DC9E"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Iuliano</w:t>
      </w:r>
      <w:proofErr w:type="spellEnd"/>
      <w:r w:rsidRPr="00272B2D">
        <w:rPr>
          <w:rFonts w:eastAsia="Times New Roman"/>
        </w:rPr>
        <w:t xml:space="preserve"> AD, Roguski KM, Chang HH, </w:t>
      </w:r>
      <w:proofErr w:type="spellStart"/>
      <w:r w:rsidRPr="00272B2D">
        <w:rPr>
          <w:rFonts w:eastAsia="Times New Roman"/>
        </w:rPr>
        <w:t>Muscatello</w:t>
      </w:r>
      <w:proofErr w:type="spellEnd"/>
      <w:r w:rsidRPr="00272B2D">
        <w:rPr>
          <w:rFonts w:eastAsia="Times New Roman"/>
        </w:rPr>
        <w:t xml:space="preserve"> DJ, Palekar R, </w:t>
      </w:r>
      <w:proofErr w:type="spellStart"/>
      <w:r w:rsidRPr="00272B2D">
        <w:rPr>
          <w:rFonts w:eastAsia="Times New Roman"/>
        </w:rPr>
        <w:t>Tempia</w:t>
      </w:r>
      <w:proofErr w:type="spellEnd"/>
      <w:r w:rsidRPr="00272B2D">
        <w:rPr>
          <w:rFonts w:eastAsia="Times New Roman"/>
        </w:rPr>
        <w:t xml:space="preserve"> S, et al. Estimates of global seasonal influenza-associated respiratory mortality: a modelling study. </w:t>
      </w:r>
      <w:r w:rsidRPr="00F43A73">
        <w:rPr>
          <w:rStyle w:val="Emphasis"/>
          <w:rFonts w:eastAsia="Times New Roman"/>
          <w:b w:val="0"/>
        </w:rPr>
        <w:t>Lancet</w:t>
      </w:r>
      <w:r w:rsidRPr="00272B2D">
        <w:rPr>
          <w:rFonts w:eastAsia="Times New Roman"/>
        </w:rPr>
        <w:t>. 2018;391(10127):1285–1300.</w:t>
      </w:r>
    </w:p>
    <w:p w14:paraId="79596AD8"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Kelly PM, </w:t>
      </w:r>
      <w:proofErr w:type="spellStart"/>
      <w:r w:rsidRPr="00272B2D">
        <w:rPr>
          <w:rFonts w:eastAsia="Times New Roman"/>
        </w:rPr>
        <w:t>Kotsimbos</w:t>
      </w:r>
      <w:proofErr w:type="spellEnd"/>
      <w:r w:rsidRPr="00272B2D">
        <w:rPr>
          <w:rFonts w:eastAsia="Times New Roman"/>
        </w:rPr>
        <w:t xml:space="preserve"> T, Reynolds A, Wood-Baker R, </w:t>
      </w:r>
      <w:proofErr w:type="spellStart"/>
      <w:r w:rsidRPr="00272B2D">
        <w:rPr>
          <w:rFonts w:eastAsia="Times New Roman"/>
        </w:rPr>
        <w:t>Hancox</w:t>
      </w:r>
      <w:proofErr w:type="spellEnd"/>
      <w:r w:rsidRPr="00272B2D">
        <w:rPr>
          <w:rFonts w:eastAsia="Times New Roman"/>
        </w:rPr>
        <w:t xml:space="preserve"> B, Brown SGA, et al. FluCAN 2009: initial results from sentinel surveillance for adult influenza and pneumonia in eight Australian hospitals. </w:t>
      </w:r>
      <w:r w:rsidRPr="00F43A73">
        <w:rPr>
          <w:rStyle w:val="Emphasis"/>
          <w:rFonts w:eastAsia="Times New Roman"/>
          <w:b w:val="0"/>
        </w:rPr>
        <w:t>Med J Aust</w:t>
      </w:r>
      <w:r w:rsidRPr="00272B2D">
        <w:rPr>
          <w:rFonts w:eastAsia="Times New Roman"/>
        </w:rPr>
        <w:t>. 2011;194(4):169–74.</w:t>
      </w:r>
    </w:p>
    <w:p w14:paraId="7664CB50" w14:textId="77777777" w:rsidR="00CC25E2" w:rsidRPr="00272B2D" w:rsidRDefault="00CC25E2" w:rsidP="00272B2D">
      <w:pPr>
        <w:pStyle w:val="ListParagraph"/>
        <w:numPr>
          <w:ilvl w:val="0"/>
          <w:numId w:val="8"/>
        </w:numPr>
        <w:rPr>
          <w:rFonts w:eastAsia="Times New Roman"/>
        </w:rPr>
      </w:pPr>
      <w:r w:rsidRPr="00272B2D">
        <w:rPr>
          <w:rFonts w:eastAsia="Times New Roman"/>
        </w:rPr>
        <w:t>AIHW. Hospital resources 2015–16: Australian hospital statistics. Canberra; 2017. Available online: https://www.aihw.gov.au/reports/hospitals/ahs-2015-16-hospital-resources/contents/table-of-contents</w:t>
      </w:r>
    </w:p>
    <w:p w14:paraId="13D8BD2B"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Oken</w:t>
      </w:r>
      <w:proofErr w:type="spellEnd"/>
      <w:r w:rsidRPr="00272B2D">
        <w:rPr>
          <w:rFonts w:eastAsia="Times New Roman"/>
        </w:rPr>
        <w:t xml:space="preserve"> MM, Creech RH, </w:t>
      </w:r>
      <w:proofErr w:type="spellStart"/>
      <w:r w:rsidRPr="00272B2D">
        <w:rPr>
          <w:rFonts w:eastAsia="Times New Roman"/>
        </w:rPr>
        <w:t>Tormey</w:t>
      </w:r>
      <w:proofErr w:type="spellEnd"/>
      <w:r w:rsidRPr="00272B2D">
        <w:rPr>
          <w:rFonts w:eastAsia="Times New Roman"/>
        </w:rPr>
        <w:t xml:space="preserve"> DC, Horton J, Davis TE, McFadden ET, et al. Toxicity and response criteria of the Eastern Cooperative Oncology Group. </w:t>
      </w:r>
      <w:r w:rsidRPr="00F43A73">
        <w:rPr>
          <w:rStyle w:val="Emphasis"/>
          <w:rFonts w:eastAsia="Times New Roman"/>
          <w:b w:val="0"/>
        </w:rPr>
        <w:t>Am J Clin Oncol</w:t>
      </w:r>
      <w:r w:rsidRPr="00272B2D">
        <w:rPr>
          <w:rFonts w:eastAsia="Times New Roman"/>
        </w:rPr>
        <w:t>. 1982;5(6):649–55.</w:t>
      </w:r>
    </w:p>
    <w:p w14:paraId="7CDDCCE5"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Beard F, McIntyre P, Gidding H, Watson M. Influenza related hospitalisations in Sydney, New South Wales, Australia. </w:t>
      </w:r>
      <w:r w:rsidRPr="00F43A73">
        <w:rPr>
          <w:rStyle w:val="Emphasis"/>
          <w:rFonts w:eastAsia="Times New Roman"/>
          <w:b w:val="0"/>
        </w:rPr>
        <w:t>Arch Dis Child</w:t>
      </w:r>
      <w:r w:rsidRPr="00272B2D">
        <w:rPr>
          <w:rFonts w:eastAsia="Times New Roman"/>
        </w:rPr>
        <w:t>. 2006;91(1):20–5.</w:t>
      </w:r>
    </w:p>
    <w:p w14:paraId="640A68D2"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Cheng AC, </w:t>
      </w:r>
      <w:proofErr w:type="spellStart"/>
      <w:r w:rsidRPr="00272B2D">
        <w:rPr>
          <w:rFonts w:eastAsia="Times New Roman"/>
        </w:rPr>
        <w:t>Kotsimbos</w:t>
      </w:r>
      <w:proofErr w:type="spellEnd"/>
      <w:r w:rsidRPr="00272B2D">
        <w:rPr>
          <w:rFonts w:eastAsia="Times New Roman"/>
        </w:rPr>
        <w:t xml:space="preserve"> T, Kelly PM; FluCAN Investigators. Influenza vaccine effectiveness against hospitalisation with influenza in adults in Australia in 2014. </w:t>
      </w:r>
      <w:r w:rsidRPr="00F43A73">
        <w:rPr>
          <w:rStyle w:val="Emphasis"/>
          <w:rFonts w:eastAsia="Times New Roman"/>
          <w:b w:val="0"/>
        </w:rPr>
        <w:t>Vaccine</w:t>
      </w:r>
      <w:r w:rsidRPr="00272B2D">
        <w:rPr>
          <w:rFonts w:eastAsia="Times New Roman"/>
        </w:rPr>
        <w:t>. 2015;33(51):7352–6.</w:t>
      </w:r>
    </w:p>
    <w:p w14:paraId="7E643566"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Cheng AC, Dwyer DE, Holmes M, Irving LB, Brown SG, Waterer GW, et al. Influenza epidemiology, vaccine coverage and vaccine effectiveness in sentinel Australian hospitals in 2013: the Influenza Complications Alert Network. </w:t>
      </w:r>
      <w:r w:rsidRPr="00F43A73">
        <w:rPr>
          <w:rStyle w:val="Emphasis"/>
          <w:rFonts w:eastAsia="Times New Roman"/>
          <w:b w:val="0"/>
        </w:rPr>
        <w:t>Commun Dis Intell Q Rep</w:t>
      </w:r>
      <w:r w:rsidRPr="00272B2D">
        <w:rPr>
          <w:rFonts w:eastAsia="Times New Roman"/>
        </w:rPr>
        <w:t>. 2014;38(2):E143–9.</w:t>
      </w:r>
    </w:p>
    <w:p w14:paraId="65618695"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Cheng AC, Holmes M, Dwyer DE, Irving LB, </w:t>
      </w:r>
      <w:proofErr w:type="spellStart"/>
      <w:r w:rsidRPr="00272B2D">
        <w:rPr>
          <w:rFonts w:eastAsia="Times New Roman"/>
        </w:rPr>
        <w:t>Korman</w:t>
      </w:r>
      <w:proofErr w:type="spellEnd"/>
      <w:r w:rsidRPr="00272B2D">
        <w:rPr>
          <w:rFonts w:eastAsia="Times New Roman"/>
        </w:rPr>
        <w:t xml:space="preserve"> TM, </w:t>
      </w:r>
      <w:proofErr w:type="spellStart"/>
      <w:r w:rsidRPr="00272B2D">
        <w:rPr>
          <w:rFonts w:eastAsia="Times New Roman"/>
        </w:rPr>
        <w:t>Senenayake</w:t>
      </w:r>
      <w:proofErr w:type="spellEnd"/>
      <w:r w:rsidRPr="00272B2D">
        <w:rPr>
          <w:rFonts w:eastAsia="Times New Roman"/>
        </w:rPr>
        <w:t xml:space="preserve"> S, et al. Influenza epidemiology in patients admitted to sentinel Australian hospitals in 2015: the Influenza Complications Alert Network. </w:t>
      </w:r>
      <w:r w:rsidRPr="00F43A73">
        <w:rPr>
          <w:rStyle w:val="Emphasis"/>
          <w:rFonts w:eastAsia="Times New Roman"/>
          <w:b w:val="0"/>
        </w:rPr>
        <w:t>Commun Dis Intell Q Rep</w:t>
      </w:r>
      <w:r w:rsidRPr="00272B2D">
        <w:rPr>
          <w:rFonts w:eastAsia="Times New Roman"/>
        </w:rPr>
        <w:t>. 2016;40(4):E521–6.</w:t>
      </w:r>
    </w:p>
    <w:p w14:paraId="6974FE22"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Blyth CC, Macartney KK, </w:t>
      </w:r>
      <w:proofErr w:type="spellStart"/>
      <w:r w:rsidRPr="00272B2D">
        <w:rPr>
          <w:rFonts w:eastAsia="Times New Roman"/>
        </w:rPr>
        <w:t>Hewagama</w:t>
      </w:r>
      <w:proofErr w:type="spellEnd"/>
      <w:r w:rsidRPr="00272B2D">
        <w:rPr>
          <w:rFonts w:eastAsia="Times New Roman"/>
        </w:rPr>
        <w:t xml:space="preserve"> S, </w:t>
      </w:r>
      <w:proofErr w:type="spellStart"/>
      <w:r w:rsidRPr="00272B2D">
        <w:rPr>
          <w:rFonts w:eastAsia="Times New Roman"/>
        </w:rPr>
        <w:t>Senenayake</w:t>
      </w:r>
      <w:proofErr w:type="spellEnd"/>
      <w:r w:rsidRPr="00272B2D">
        <w:rPr>
          <w:rFonts w:eastAsia="Times New Roman"/>
        </w:rPr>
        <w:t xml:space="preserve"> S, Friedman ND, Simpson G, et al. Influenza epidemiology, vaccine coverage and vaccine effectiveness in children admitted to sentinel Australian hospitals in 2014: the Influenza Complications Alert Network (FluCAN). </w:t>
      </w:r>
      <w:r w:rsidRPr="00F43A73">
        <w:rPr>
          <w:rStyle w:val="Emphasis"/>
          <w:rFonts w:eastAsia="Times New Roman"/>
          <w:b w:val="0"/>
        </w:rPr>
        <w:t xml:space="preserve">Euro </w:t>
      </w:r>
      <w:proofErr w:type="spellStart"/>
      <w:r w:rsidRPr="00F43A73">
        <w:rPr>
          <w:rStyle w:val="Emphasis"/>
          <w:rFonts w:eastAsia="Times New Roman"/>
          <w:b w:val="0"/>
        </w:rPr>
        <w:t>Surveill</w:t>
      </w:r>
      <w:proofErr w:type="spellEnd"/>
      <w:r w:rsidRPr="00272B2D">
        <w:rPr>
          <w:rFonts w:eastAsia="Times New Roman"/>
        </w:rPr>
        <w:t>. 2016;21(30). https://doi.org/10.2807/1560-7917.ES.2016.21.30.30301</w:t>
      </w:r>
    </w:p>
    <w:p w14:paraId="48464FCB"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Dyda</w:t>
      </w:r>
      <w:proofErr w:type="spellEnd"/>
      <w:r w:rsidRPr="00272B2D">
        <w:rPr>
          <w:rFonts w:eastAsia="Times New Roman"/>
        </w:rPr>
        <w:t xml:space="preserve"> A, Karki S, </w:t>
      </w:r>
      <w:proofErr w:type="spellStart"/>
      <w:r w:rsidRPr="00272B2D">
        <w:rPr>
          <w:rFonts w:eastAsia="Times New Roman"/>
        </w:rPr>
        <w:t>Hayen</w:t>
      </w:r>
      <w:proofErr w:type="spellEnd"/>
      <w:r w:rsidRPr="00272B2D">
        <w:rPr>
          <w:rFonts w:eastAsia="Times New Roman"/>
        </w:rPr>
        <w:t xml:space="preserve"> A, </w:t>
      </w:r>
      <w:proofErr w:type="spellStart"/>
      <w:r w:rsidRPr="00272B2D">
        <w:rPr>
          <w:rFonts w:eastAsia="Times New Roman"/>
        </w:rPr>
        <w:t>MacIntyre</w:t>
      </w:r>
      <w:proofErr w:type="spellEnd"/>
      <w:r w:rsidRPr="00272B2D">
        <w:rPr>
          <w:rFonts w:eastAsia="Times New Roman"/>
        </w:rPr>
        <w:t xml:space="preserve"> CR, Menzies R, Banks E, et al. Influenza and pneumococcal vaccination in Australian adults: a systematic review of coverage and factors associated with uptake. </w:t>
      </w:r>
      <w:r w:rsidRPr="00F43A73">
        <w:rPr>
          <w:rStyle w:val="Emphasis"/>
          <w:rFonts w:eastAsia="Times New Roman"/>
          <w:b w:val="0"/>
        </w:rPr>
        <w:t>BMC Infect Dis</w:t>
      </w:r>
      <w:r w:rsidRPr="00272B2D">
        <w:rPr>
          <w:rFonts w:eastAsia="Times New Roman"/>
        </w:rPr>
        <w:t>. 2016;16(1):515.</w:t>
      </w:r>
    </w:p>
    <w:p w14:paraId="4C6FF8BC"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Coghlan B, Kelly HA, Carlson SJ, Grant KA, </w:t>
      </w:r>
      <w:proofErr w:type="spellStart"/>
      <w:r w:rsidRPr="00272B2D">
        <w:rPr>
          <w:rFonts w:eastAsia="Times New Roman"/>
        </w:rPr>
        <w:t>Leder</w:t>
      </w:r>
      <w:proofErr w:type="spellEnd"/>
      <w:r w:rsidRPr="00272B2D">
        <w:rPr>
          <w:rFonts w:eastAsia="Times New Roman"/>
        </w:rPr>
        <w:t xml:space="preserve"> K, Dalton CB, et al. Estimates of influenza vaccine coverage from Victorian surveillance systems based in the community, primary care and hospitals. </w:t>
      </w:r>
      <w:r w:rsidRPr="00F43A73">
        <w:rPr>
          <w:rStyle w:val="Emphasis"/>
          <w:rFonts w:eastAsia="Times New Roman"/>
          <w:b w:val="0"/>
        </w:rPr>
        <w:t>Commun Dis Intell Q Rep</w:t>
      </w:r>
      <w:r w:rsidRPr="00272B2D">
        <w:rPr>
          <w:rFonts w:eastAsia="Times New Roman"/>
        </w:rPr>
        <w:t>. 2016;40(2):E204–6.</w:t>
      </w:r>
    </w:p>
    <w:p w14:paraId="7EA623E7" w14:textId="77777777" w:rsidR="00CC25E2" w:rsidRPr="00272B2D" w:rsidRDefault="00CC25E2" w:rsidP="00272B2D">
      <w:pPr>
        <w:pStyle w:val="ListParagraph"/>
        <w:numPr>
          <w:ilvl w:val="0"/>
          <w:numId w:val="8"/>
        </w:numPr>
        <w:rPr>
          <w:rFonts w:eastAsia="Times New Roman"/>
        </w:rPr>
      </w:pPr>
      <w:r w:rsidRPr="00272B2D">
        <w:rPr>
          <w:rFonts w:eastAsia="Times New Roman"/>
        </w:rPr>
        <w:lastRenderedPageBreak/>
        <w:t xml:space="preserve">Li-Kim-Moy J, Yin JK, Patel C, Beard FH, Chiu C, Macartney KK, et al. Australian vaccine preventable disease epidemiological review series: Influenza 2006 to 2015. </w:t>
      </w:r>
      <w:r w:rsidRPr="00F43A73">
        <w:rPr>
          <w:rStyle w:val="Emphasis"/>
          <w:rFonts w:eastAsia="Times New Roman"/>
          <w:b w:val="0"/>
        </w:rPr>
        <w:t>Commun Dis Intell Q Rep</w:t>
      </w:r>
      <w:r w:rsidRPr="00272B2D">
        <w:rPr>
          <w:rFonts w:eastAsia="Times New Roman"/>
        </w:rPr>
        <w:t>. 2016;40(4):E482–95.</w:t>
      </w:r>
    </w:p>
    <w:p w14:paraId="46BC4C6E"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Britton PN, Blyth CC, Macartney K, Dale RC, Li-Kim-Moy J, Khandaker G, et al. The spectrum and burden of influenza-associated neurological disease in children: combined encephalitis and influenza sentinel site surveillance from Australia, 2013–2015. </w:t>
      </w:r>
      <w:r w:rsidRPr="00F43A73">
        <w:rPr>
          <w:rStyle w:val="Emphasis"/>
          <w:rFonts w:eastAsia="Times New Roman"/>
          <w:b w:val="0"/>
        </w:rPr>
        <w:t>Clin Infect Dis</w:t>
      </w:r>
      <w:r w:rsidRPr="00272B2D">
        <w:rPr>
          <w:rFonts w:eastAsia="Times New Roman"/>
        </w:rPr>
        <w:t>. 2017;65(4):653–60.</w:t>
      </w:r>
    </w:p>
    <w:p w14:paraId="40CCE703"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Rajaram S, </w:t>
      </w:r>
      <w:proofErr w:type="spellStart"/>
      <w:r w:rsidRPr="00272B2D">
        <w:rPr>
          <w:rFonts w:eastAsia="Times New Roman"/>
        </w:rPr>
        <w:t>Wiecek</w:t>
      </w:r>
      <w:proofErr w:type="spellEnd"/>
      <w:r w:rsidRPr="00272B2D">
        <w:rPr>
          <w:rFonts w:eastAsia="Times New Roman"/>
        </w:rPr>
        <w:t xml:space="preserve"> W, Lawson R, Blak BT, Zhao Y, Hackett J, et al. Impact of increased influenza vaccination in 2–3-year-old children on disease burden within the general population: A Bayesian model-based approach. </w:t>
      </w:r>
      <w:proofErr w:type="spellStart"/>
      <w:r w:rsidRPr="00F43A73">
        <w:rPr>
          <w:rStyle w:val="Emphasis"/>
          <w:rFonts w:eastAsia="Times New Roman"/>
          <w:b w:val="0"/>
        </w:rPr>
        <w:t>PLoS</w:t>
      </w:r>
      <w:proofErr w:type="spellEnd"/>
      <w:r w:rsidRPr="00F43A73">
        <w:rPr>
          <w:rStyle w:val="Emphasis"/>
          <w:rFonts w:eastAsia="Times New Roman"/>
          <w:b w:val="0"/>
        </w:rPr>
        <w:t xml:space="preserve"> One</w:t>
      </w:r>
      <w:r w:rsidRPr="00272B2D">
        <w:rPr>
          <w:rFonts w:eastAsia="Times New Roman"/>
        </w:rPr>
        <w:t>. 2017;12(12):e0186739.</w:t>
      </w:r>
    </w:p>
    <w:p w14:paraId="0FC729C5"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Sullivan SG, Chilver MB, Carville KS, Deng YM, Grant KA, Higgins G, et al. Low interim influenza vaccine effectiveness, Australia, 1 May to 24 September 2017. </w:t>
      </w:r>
      <w:r w:rsidRPr="00F43A73">
        <w:rPr>
          <w:rStyle w:val="Emphasis"/>
          <w:rFonts w:eastAsia="Times New Roman"/>
          <w:b w:val="0"/>
        </w:rPr>
        <w:t xml:space="preserve">Euro </w:t>
      </w:r>
      <w:proofErr w:type="spellStart"/>
      <w:r w:rsidRPr="00F43A73">
        <w:rPr>
          <w:rStyle w:val="Emphasis"/>
          <w:rFonts w:eastAsia="Times New Roman"/>
          <w:b w:val="0"/>
        </w:rPr>
        <w:t>Surveill</w:t>
      </w:r>
      <w:proofErr w:type="spellEnd"/>
      <w:r w:rsidRPr="00272B2D">
        <w:rPr>
          <w:rFonts w:eastAsia="Times New Roman"/>
        </w:rPr>
        <w:t>. 2017;22(43). https://doi.org/10.2807/1560-7917.ES.2017.22.43.17-00707.</w:t>
      </w:r>
    </w:p>
    <w:p w14:paraId="669A2F93"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Flannery B, Chung JR, </w:t>
      </w:r>
      <w:proofErr w:type="spellStart"/>
      <w:r w:rsidRPr="00272B2D">
        <w:rPr>
          <w:rFonts w:eastAsia="Times New Roman"/>
        </w:rPr>
        <w:t>Belongia</w:t>
      </w:r>
      <w:proofErr w:type="spellEnd"/>
      <w:r w:rsidRPr="00272B2D">
        <w:rPr>
          <w:rFonts w:eastAsia="Times New Roman"/>
        </w:rPr>
        <w:t xml:space="preserve"> EA, McLean HQ, </w:t>
      </w:r>
      <w:proofErr w:type="spellStart"/>
      <w:r w:rsidRPr="00272B2D">
        <w:rPr>
          <w:rFonts w:eastAsia="Times New Roman"/>
        </w:rPr>
        <w:t>Gaglani</w:t>
      </w:r>
      <w:proofErr w:type="spellEnd"/>
      <w:r w:rsidRPr="00272B2D">
        <w:rPr>
          <w:rFonts w:eastAsia="Times New Roman"/>
        </w:rPr>
        <w:t xml:space="preserve"> M, Murthy K, et al. Interim estimates of 2017–18 seasonal influenza vaccine effectiveness – United States, February 2018. </w:t>
      </w:r>
      <w:r w:rsidRPr="00F43A73">
        <w:rPr>
          <w:rStyle w:val="Emphasis"/>
          <w:rFonts w:eastAsia="Times New Roman"/>
          <w:b w:val="0"/>
        </w:rPr>
        <w:t xml:space="preserve">MMWR </w:t>
      </w:r>
      <w:proofErr w:type="spellStart"/>
      <w:r w:rsidRPr="00F43A73">
        <w:rPr>
          <w:rStyle w:val="Emphasis"/>
          <w:rFonts w:eastAsia="Times New Roman"/>
          <w:b w:val="0"/>
        </w:rPr>
        <w:t>Morb</w:t>
      </w:r>
      <w:proofErr w:type="spellEnd"/>
      <w:r w:rsidRPr="00F43A73">
        <w:rPr>
          <w:rStyle w:val="Emphasis"/>
          <w:rFonts w:eastAsia="Times New Roman"/>
          <w:b w:val="0"/>
        </w:rPr>
        <w:t xml:space="preserve"> Mortal </w:t>
      </w:r>
      <w:proofErr w:type="spellStart"/>
      <w:r w:rsidRPr="00F43A73">
        <w:rPr>
          <w:rStyle w:val="Emphasis"/>
          <w:rFonts w:eastAsia="Times New Roman"/>
          <w:b w:val="0"/>
        </w:rPr>
        <w:t>Wkly</w:t>
      </w:r>
      <w:proofErr w:type="spellEnd"/>
      <w:r w:rsidRPr="00F43A73">
        <w:rPr>
          <w:rStyle w:val="Emphasis"/>
          <w:rFonts w:eastAsia="Times New Roman"/>
          <w:b w:val="0"/>
        </w:rPr>
        <w:t xml:space="preserve"> Rep</w:t>
      </w:r>
      <w:r w:rsidRPr="00272B2D">
        <w:rPr>
          <w:rFonts w:eastAsia="Times New Roman"/>
        </w:rPr>
        <w:t>. 2018;67(6):180–5.</w:t>
      </w:r>
    </w:p>
    <w:p w14:paraId="441FFF68"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Skowronski</w:t>
      </w:r>
      <w:proofErr w:type="spellEnd"/>
      <w:r w:rsidRPr="00272B2D">
        <w:rPr>
          <w:rFonts w:eastAsia="Times New Roman"/>
        </w:rPr>
        <w:t xml:space="preserve"> DM, Chambers C, De Serres G, Dickinson JA, Winter AL, Hickman R, et al. Early season co-circulation of influenza A(H3N2) and B(Yamagata): interim estimates of 2017/18 vaccine effectiveness, Canada, January 2018. </w:t>
      </w:r>
      <w:r w:rsidRPr="00F43A73">
        <w:rPr>
          <w:rStyle w:val="Emphasis"/>
          <w:rFonts w:eastAsia="Times New Roman"/>
          <w:b w:val="0"/>
        </w:rPr>
        <w:t xml:space="preserve">Euro </w:t>
      </w:r>
      <w:proofErr w:type="spellStart"/>
      <w:r w:rsidRPr="00F43A73">
        <w:rPr>
          <w:rStyle w:val="Emphasis"/>
          <w:rFonts w:eastAsia="Times New Roman"/>
          <w:b w:val="0"/>
        </w:rPr>
        <w:t>Surveill</w:t>
      </w:r>
      <w:proofErr w:type="spellEnd"/>
      <w:r w:rsidRPr="00272B2D">
        <w:rPr>
          <w:rFonts w:eastAsia="Times New Roman"/>
        </w:rPr>
        <w:t>. 2018;23(5). https://doi.org/10.2807/1560-7917.ES.2018.23.5.18-00035.</w:t>
      </w:r>
    </w:p>
    <w:p w14:paraId="1A960CEE"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Restivo V, Costantino C, Bono S, </w:t>
      </w:r>
      <w:proofErr w:type="spellStart"/>
      <w:r w:rsidRPr="00272B2D">
        <w:rPr>
          <w:rFonts w:eastAsia="Times New Roman"/>
        </w:rPr>
        <w:t>Maniglia</w:t>
      </w:r>
      <w:proofErr w:type="spellEnd"/>
      <w:r w:rsidRPr="00272B2D">
        <w:rPr>
          <w:rFonts w:eastAsia="Times New Roman"/>
        </w:rPr>
        <w:t xml:space="preserve"> M, Marchese V, Ventura G, et al. Influenza vaccine effectiveness among high-risk groups: a systematic literature review and meta-analysis of case-control and cohort studies. </w:t>
      </w:r>
      <w:r w:rsidRPr="00F43A73">
        <w:rPr>
          <w:rStyle w:val="Emphasis"/>
          <w:rFonts w:eastAsia="Times New Roman"/>
          <w:b w:val="0"/>
        </w:rPr>
        <w:t xml:space="preserve">Hum </w:t>
      </w:r>
      <w:proofErr w:type="spellStart"/>
      <w:r w:rsidRPr="00F43A73">
        <w:rPr>
          <w:rStyle w:val="Emphasis"/>
          <w:rFonts w:eastAsia="Times New Roman"/>
          <w:b w:val="0"/>
        </w:rPr>
        <w:t>Vaccin</w:t>
      </w:r>
      <w:proofErr w:type="spellEnd"/>
      <w:r w:rsidRPr="00F43A73">
        <w:rPr>
          <w:rStyle w:val="Emphasis"/>
          <w:rFonts w:eastAsia="Times New Roman"/>
          <w:b w:val="0"/>
        </w:rPr>
        <w:t xml:space="preserve"> </w:t>
      </w:r>
      <w:proofErr w:type="spellStart"/>
      <w:r w:rsidRPr="00F43A73">
        <w:rPr>
          <w:rStyle w:val="Emphasis"/>
          <w:rFonts w:eastAsia="Times New Roman"/>
          <w:b w:val="0"/>
        </w:rPr>
        <w:t>Immunother</w:t>
      </w:r>
      <w:proofErr w:type="spellEnd"/>
      <w:r w:rsidRPr="00272B2D">
        <w:rPr>
          <w:rFonts w:eastAsia="Times New Roman"/>
        </w:rPr>
        <w:t>. 2018;14(3):724–735.</w:t>
      </w:r>
    </w:p>
    <w:p w14:paraId="097AB944"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Skowronski</w:t>
      </w:r>
      <w:proofErr w:type="spellEnd"/>
      <w:r w:rsidRPr="00272B2D">
        <w:rPr>
          <w:rFonts w:eastAsia="Times New Roman"/>
        </w:rPr>
        <w:t xml:space="preserve"> DM, Chambers C, </w:t>
      </w:r>
      <w:proofErr w:type="spellStart"/>
      <w:r w:rsidRPr="00272B2D">
        <w:rPr>
          <w:rFonts w:eastAsia="Times New Roman"/>
        </w:rPr>
        <w:t>Sabaiduc</w:t>
      </w:r>
      <w:proofErr w:type="spellEnd"/>
      <w:r w:rsidRPr="00272B2D">
        <w:rPr>
          <w:rFonts w:eastAsia="Times New Roman"/>
        </w:rPr>
        <w:t xml:space="preserve"> S, De Serres G, Winter AL, Dickinson JA, et al. A perfect storm: impact of genomic variation and serial vaccination on low influenza vaccine effectiveness during the 2014–2015 season. </w:t>
      </w:r>
      <w:r w:rsidRPr="00F43A73">
        <w:rPr>
          <w:rStyle w:val="Emphasis"/>
          <w:rFonts w:eastAsia="Times New Roman"/>
          <w:b w:val="0"/>
        </w:rPr>
        <w:t>Clin Infect Dis</w:t>
      </w:r>
      <w:r w:rsidRPr="00272B2D">
        <w:rPr>
          <w:rFonts w:eastAsia="Times New Roman"/>
        </w:rPr>
        <w:t>. 2016;63(1):21–32.</w:t>
      </w:r>
    </w:p>
    <w:p w14:paraId="44221F06"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Flannery B, Zimmerman RK, </w:t>
      </w:r>
      <w:proofErr w:type="spellStart"/>
      <w:r w:rsidRPr="00272B2D">
        <w:rPr>
          <w:rFonts w:eastAsia="Times New Roman"/>
        </w:rPr>
        <w:t>Gubareva</w:t>
      </w:r>
      <w:proofErr w:type="spellEnd"/>
      <w:r w:rsidRPr="00272B2D">
        <w:rPr>
          <w:rFonts w:eastAsia="Times New Roman"/>
        </w:rPr>
        <w:t xml:space="preserve"> LV, Garten RJ, Chung JR, </w:t>
      </w:r>
      <w:proofErr w:type="spellStart"/>
      <w:r w:rsidRPr="00272B2D">
        <w:rPr>
          <w:rFonts w:eastAsia="Times New Roman"/>
        </w:rPr>
        <w:t>Nowalk</w:t>
      </w:r>
      <w:proofErr w:type="spellEnd"/>
      <w:r w:rsidRPr="00272B2D">
        <w:rPr>
          <w:rFonts w:eastAsia="Times New Roman"/>
        </w:rPr>
        <w:t xml:space="preserve"> MP, et al. Enhanced genetic characterization of influenza A(H3N2) viruses and vaccine effectiveness by genetic group, 2014–2015. </w:t>
      </w:r>
      <w:r w:rsidRPr="00F43A73">
        <w:rPr>
          <w:rStyle w:val="Emphasis"/>
          <w:rFonts w:eastAsia="Times New Roman"/>
          <w:b w:val="0"/>
        </w:rPr>
        <w:t>J Infect Dis</w:t>
      </w:r>
      <w:r w:rsidRPr="00272B2D">
        <w:rPr>
          <w:rFonts w:eastAsia="Times New Roman"/>
        </w:rPr>
        <w:t>. 2016;214(7):1010–9.</w:t>
      </w:r>
    </w:p>
    <w:p w14:paraId="6C0D014B"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Wu NC, </w:t>
      </w:r>
      <w:proofErr w:type="spellStart"/>
      <w:r w:rsidRPr="00272B2D">
        <w:rPr>
          <w:rFonts w:eastAsia="Times New Roman"/>
        </w:rPr>
        <w:t>Zost</w:t>
      </w:r>
      <w:proofErr w:type="spellEnd"/>
      <w:r w:rsidRPr="00272B2D">
        <w:rPr>
          <w:rFonts w:eastAsia="Times New Roman"/>
        </w:rPr>
        <w:t xml:space="preserve"> SJ, Thompson AJ, Oyen D, </w:t>
      </w:r>
      <w:proofErr w:type="spellStart"/>
      <w:r w:rsidRPr="00272B2D">
        <w:rPr>
          <w:rFonts w:eastAsia="Times New Roman"/>
        </w:rPr>
        <w:t>Nycholat</w:t>
      </w:r>
      <w:proofErr w:type="spellEnd"/>
      <w:r w:rsidRPr="00272B2D">
        <w:rPr>
          <w:rFonts w:eastAsia="Times New Roman"/>
        </w:rPr>
        <w:t xml:space="preserve"> CM, McBride R, et al. A structural explanation for the low effectiveness of the seasonal influenza H3N2 vaccine. </w:t>
      </w:r>
      <w:proofErr w:type="spellStart"/>
      <w:r w:rsidRPr="00F43A73">
        <w:rPr>
          <w:rStyle w:val="Emphasis"/>
          <w:rFonts w:eastAsia="Times New Roman"/>
          <w:b w:val="0"/>
        </w:rPr>
        <w:t>PLoS</w:t>
      </w:r>
      <w:proofErr w:type="spellEnd"/>
      <w:r w:rsidRPr="00F43A73">
        <w:rPr>
          <w:rStyle w:val="Emphasis"/>
          <w:rFonts w:eastAsia="Times New Roman"/>
          <w:b w:val="0"/>
        </w:rPr>
        <w:t xml:space="preserve"> </w:t>
      </w:r>
      <w:proofErr w:type="spellStart"/>
      <w:r w:rsidRPr="00F43A73">
        <w:rPr>
          <w:rStyle w:val="Emphasis"/>
          <w:rFonts w:eastAsia="Times New Roman"/>
          <w:b w:val="0"/>
        </w:rPr>
        <w:t>Pathog</w:t>
      </w:r>
      <w:proofErr w:type="spellEnd"/>
      <w:r w:rsidRPr="00272B2D">
        <w:rPr>
          <w:rFonts w:eastAsia="Times New Roman"/>
        </w:rPr>
        <w:t>. 2017;13(10):e1006682.</w:t>
      </w:r>
    </w:p>
    <w:p w14:paraId="49F78B76"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Tsang P, Gorse GJ, Strout CB, Sperling M, Greenberg DP, </w:t>
      </w:r>
      <w:proofErr w:type="spellStart"/>
      <w:r w:rsidRPr="00272B2D">
        <w:rPr>
          <w:rFonts w:eastAsia="Times New Roman"/>
        </w:rPr>
        <w:t>Ozol</w:t>
      </w:r>
      <w:proofErr w:type="spellEnd"/>
      <w:r w:rsidRPr="00272B2D">
        <w:rPr>
          <w:rFonts w:eastAsia="Times New Roman"/>
        </w:rPr>
        <w:t xml:space="preserve">-Godfrey A, et al. Immunogenicity and safety of </w:t>
      </w:r>
      <w:proofErr w:type="spellStart"/>
      <w:r w:rsidRPr="00272B2D">
        <w:rPr>
          <w:rFonts w:eastAsia="Times New Roman"/>
        </w:rPr>
        <w:t>Fluzone</w:t>
      </w:r>
      <w:proofErr w:type="spellEnd"/>
      <w:r w:rsidRPr="00272B2D">
        <w:rPr>
          <w:rFonts w:eastAsia="Times New Roman"/>
        </w:rPr>
        <w:t xml:space="preserve">(®) intradermal and high-dose influenza vaccines in older adults ≥65 years of age: a randomized, controlled, phase II trial. </w:t>
      </w:r>
      <w:r w:rsidRPr="00F43A73">
        <w:rPr>
          <w:rStyle w:val="Emphasis"/>
          <w:rFonts w:eastAsia="Times New Roman"/>
          <w:b w:val="0"/>
        </w:rPr>
        <w:t>Vaccine</w:t>
      </w:r>
      <w:r w:rsidRPr="00272B2D">
        <w:rPr>
          <w:rFonts w:eastAsia="Times New Roman"/>
        </w:rPr>
        <w:t>. 2014;32(21):2507–17.</w:t>
      </w:r>
    </w:p>
    <w:p w14:paraId="38AE1964"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DiazGranados</w:t>
      </w:r>
      <w:proofErr w:type="spellEnd"/>
      <w:r w:rsidRPr="00272B2D">
        <w:rPr>
          <w:rFonts w:eastAsia="Times New Roman"/>
        </w:rPr>
        <w:t xml:space="preserve"> CA, Dunning AJ, Kimmel M, Kirby D, Treanor J, Collins A, et al. Efficacy of high-dose versus standard-dose influenza vaccine in older adults. </w:t>
      </w:r>
      <w:r w:rsidRPr="00F43A73">
        <w:rPr>
          <w:rStyle w:val="Emphasis"/>
          <w:rFonts w:eastAsia="Times New Roman"/>
          <w:b w:val="0"/>
        </w:rPr>
        <w:t>N Engl J Med</w:t>
      </w:r>
      <w:r w:rsidRPr="00272B2D">
        <w:rPr>
          <w:rFonts w:eastAsia="Times New Roman"/>
        </w:rPr>
        <w:t>. 2014;371(7):635–45.</w:t>
      </w:r>
    </w:p>
    <w:p w14:paraId="0A10DDE9"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Shay DK, </w:t>
      </w:r>
      <w:proofErr w:type="spellStart"/>
      <w:r w:rsidRPr="00272B2D">
        <w:rPr>
          <w:rFonts w:eastAsia="Times New Roman"/>
        </w:rPr>
        <w:t>Chillarige</w:t>
      </w:r>
      <w:proofErr w:type="spellEnd"/>
      <w:r w:rsidRPr="00272B2D">
        <w:rPr>
          <w:rFonts w:eastAsia="Times New Roman"/>
        </w:rPr>
        <w:t xml:space="preserve"> Y, </w:t>
      </w:r>
      <w:proofErr w:type="spellStart"/>
      <w:r w:rsidRPr="00272B2D">
        <w:rPr>
          <w:rFonts w:eastAsia="Times New Roman"/>
        </w:rPr>
        <w:t>Kelman</w:t>
      </w:r>
      <w:proofErr w:type="spellEnd"/>
      <w:r w:rsidRPr="00272B2D">
        <w:rPr>
          <w:rFonts w:eastAsia="Times New Roman"/>
        </w:rPr>
        <w:t xml:space="preserve"> J, </w:t>
      </w:r>
      <w:proofErr w:type="spellStart"/>
      <w:r w:rsidRPr="00272B2D">
        <w:rPr>
          <w:rFonts w:eastAsia="Times New Roman"/>
        </w:rPr>
        <w:t>Forshee</w:t>
      </w:r>
      <w:proofErr w:type="spellEnd"/>
      <w:r w:rsidRPr="00272B2D">
        <w:rPr>
          <w:rFonts w:eastAsia="Times New Roman"/>
        </w:rPr>
        <w:t xml:space="preserve"> RA, </w:t>
      </w:r>
      <w:proofErr w:type="spellStart"/>
      <w:r w:rsidRPr="00272B2D">
        <w:rPr>
          <w:rFonts w:eastAsia="Times New Roman"/>
        </w:rPr>
        <w:t>Foppa</w:t>
      </w:r>
      <w:proofErr w:type="spellEnd"/>
      <w:r w:rsidRPr="00272B2D">
        <w:rPr>
          <w:rFonts w:eastAsia="Times New Roman"/>
        </w:rPr>
        <w:t xml:space="preserve"> IM, </w:t>
      </w:r>
      <w:proofErr w:type="spellStart"/>
      <w:r w:rsidRPr="00272B2D">
        <w:rPr>
          <w:rFonts w:eastAsia="Times New Roman"/>
        </w:rPr>
        <w:t>Wernecke</w:t>
      </w:r>
      <w:proofErr w:type="spellEnd"/>
      <w:r w:rsidRPr="00272B2D">
        <w:rPr>
          <w:rFonts w:eastAsia="Times New Roman"/>
        </w:rPr>
        <w:t xml:space="preserve"> M, et al. Comparative effectiveness of high-dose versus standard-dose influenza vaccines among US Medicare beneficiaries in preventing </w:t>
      </w:r>
      <w:proofErr w:type="spellStart"/>
      <w:r w:rsidRPr="00272B2D">
        <w:rPr>
          <w:rFonts w:eastAsia="Times New Roman"/>
        </w:rPr>
        <w:t>postinfluenza</w:t>
      </w:r>
      <w:proofErr w:type="spellEnd"/>
      <w:r w:rsidRPr="00272B2D">
        <w:rPr>
          <w:rFonts w:eastAsia="Times New Roman"/>
        </w:rPr>
        <w:t xml:space="preserve"> deaths during 2012–2013 and 2013–2014. </w:t>
      </w:r>
      <w:r w:rsidRPr="00F43A73">
        <w:rPr>
          <w:rStyle w:val="Emphasis"/>
          <w:rFonts w:eastAsia="Times New Roman"/>
          <w:b w:val="0"/>
        </w:rPr>
        <w:t>J Infect Dis</w:t>
      </w:r>
      <w:r w:rsidRPr="00272B2D">
        <w:rPr>
          <w:rFonts w:eastAsia="Times New Roman"/>
        </w:rPr>
        <w:t>. 2017;215(4):510–7.</w:t>
      </w:r>
    </w:p>
    <w:p w14:paraId="441DD92F"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Ansaldi</w:t>
      </w:r>
      <w:proofErr w:type="spellEnd"/>
      <w:r w:rsidRPr="00272B2D">
        <w:rPr>
          <w:rFonts w:eastAsia="Times New Roman"/>
        </w:rPr>
        <w:t xml:space="preserve"> F, </w:t>
      </w:r>
      <w:proofErr w:type="spellStart"/>
      <w:r w:rsidRPr="00272B2D">
        <w:rPr>
          <w:rFonts w:eastAsia="Times New Roman"/>
        </w:rPr>
        <w:t>Bacilieri</w:t>
      </w:r>
      <w:proofErr w:type="spellEnd"/>
      <w:r w:rsidRPr="00272B2D">
        <w:rPr>
          <w:rFonts w:eastAsia="Times New Roman"/>
        </w:rPr>
        <w:t xml:space="preserve"> S, Durando P, </w:t>
      </w:r>
      <w:proofErr w:type="spellStart"/>
      <w:r w:rsidRPr="00272B2D">
        <w:rPr>
          <w:rFonts w:eastAsia="Times New Roman"/>
        </w:rPr>
        <w:t>Sticchi</w:t>
      </w:r>
      <w:proofErr w:type="spellEnd"/>
      <w:r w:rsidRPr="00272B2D">
        <w:rPr>
          <w:rFonts w:eastAsia="Times New Roman"/>
        </w:rPr>
        <w:t xml:space="preserve"> L, Valle L, </w:t>
      </w:r>
      <w:proofErr w:type="spellStart"/>
      <w:r w:rsidRPr="00272B2D">
        <w:rPr>
          <w:rFonts w:eastAsia="Times New Roman"/>
        </w:rPr>
        <w:t>Montomoli</w:t>
      </w:r>
      <w:proofErr w:type="spellEnd"/>
      <w:r w:rsidRPr="00272B2D">
        <w:rPr>
          <w:rFonts w:eastAsia="Times New Roman"/>
        </w:rPr>
        <w:t xml:space="preserve"> E, et al. Cross-protection by MF59-adjuvanted influenza vaccine: neutralizing and haemagglutination-inhibiting antibody activity against A(H3N2) drifted influenza viruses. </w:t>
      </w:r>
      <w:r w:rsidRPr="00F43A73">
        <w:rPr>
          <w:rStyle w:val="Emphasis"/>
          <w:rFonts w:eastAsia="Times New Roman"/>
          <w:b w:val="0"/>
        </w:rPr>
        <w:t>Vaccine</w:t>
      </w:r>
      <w:r w:rsidRPr="00272B2D">
        <w:rPr>
          <w:rFonts w:eastAsia="Times New Roman"/>
        </w:rPr>
        <w:t>. 2008;26(12):1525–9.</w:t>
      </w:r>
    </w:p>
    <w:p w14:paraId="4821B9FD"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Mannino</w:t>
      </w:r>
      <w:proofErr w:type="spellEnd"/>
      <w:r w:rsidRPr="00272B2D">
        <w:rPr>
          <w:rFonts w:eastAsia="Times New Roman"/>
        </w:rPr>
        <w:t xml:space="preserve"> S, Villa M, </w:t>
      </w:r>
      <w:proofErr w:type="spellStart"/>
      <w:r w:rsidRPr="00272B2D">
        <w:rPr>
          <w:rFonts w:eastAsia="Times New Roman"/>
        </w:rPr>
        <w:t>Apolone</w:t>
      </w:r>
      <w:proofErr w:type="spellEnd"/>
      <w:r w:rsidRPr="00272B2D">
        <w:rPr>
          <w:rFonts w:eastAsia="Times New Roman"/>
        </w:rPr>
        <w:t xml:space="preserve"> G, Weiss NS, </w:t>
      </w:r>
      <w:proofErr w:type="spellStart"/>
      <w:r w:rsidRPr="00272B2D">
        <w:rPr>
          <w:rFonts w:eastAsia="Times New Roman"/>
        </w:rPr>
        <w:t>Groth</w:t>
      </w:r>
      <w:proofErr w:type="spellEnd"/>
      <w:r w:rsidRPr="00272B2D">
        <w:rPr>
          <w:rFonts w:eastAsia="Times New Roman"/>
        </w:rPr>
        <w:t xml:space="preserve"> N, Aquino I, et al. Effectiveness of adjuvanted influenza vaccination in elderly subjects in northern Italy. </w:t>
      </w:r>
      <w:r w:rsidRPr="00F43A73">
        <w:rPr>
          <w:rStyle w:val="Emphasis"/>
          <w:rFonts w:eastAsia="Times New Roman"/>
          <w:b w:val="0"/>
        </w:rPr>
        <w:t>Am J Epidemiol</w:t>
      </w:r>
      <w:r w:rsidRPr="00272B2D">
        <w:rPr>
          <w:rFonts w:eastAsia="Times New Roman"/>
        </w:rPr>
        <w:t>. 2012;176(6):527–33.</w:t>
      </w:r>
    </w:p>
    <w:p w14:paraId="50E8F78D" w14:textId="77777777" w:rsidR="00CC25E2" w:rsidRPr="00272B2D" w:rsidRDefault="00CC25E2" w:rsidP="00272B2D">
      <w:pPr>
        <w:pStyle w:val="ListParagraph"/>
        <w:numPr>
          <w:ilvl w:val="0"/>
          <w:numId w:val="8"/>
        </w:numPr>
        <w:rPr>
          <w:rFonts w:eastAsia="Times New Roman"/>
        </w:rPr>
      </w:pPr>
      <w:proofErr w:type="spellStart"/>
      <w:r w:rsidRPr="00272B2D">
        <w:rPr>
          <w:rFonts w:eastAsia="Times New Roman"/>
        </w:rPr>
        <w:t>Muthuri</w:t>
      </w:r>
      <w:proofErr w:type="spellEnd"/>
      <w:r w:rsidRPr="00272B2D">
        <w:rPr>
          <w:rFonts w:eastAsia="Times New Roman"/>
        </w:rPr>
        <w:t xml:space="preserve"> SG, Venkatesan S, Myles PR, Leonardi-Bee J, Al </w:t>
      </w:r>
      <w:proofErr w:type="spellStart"/>
      <w:r w:rsidRPr="00272B2D">
        <w:rPr>
          <w:rFonts w:eastAsia="Times New Roman"/>
        </w:rPr>
        <w:t>Khuwaitir</w:t>
      </w:r>
      <w:proofErr w:type="spellEnd"/>
      <w:r w:rsidRPr="00272B2D">
        <w:rPr>
          <w:rFonts w:eastAsia="Times New Roman"/>
        </w:rPr>
        <w:t xml:space="preserve"> TS, Al Mamun A, et al. Effectiveness of neuraminidase inhibitors in reducing mortality in patients admitted to hospital with influenza A H1N1pdm09 virus infection: a meta-analysis of individual participant data. </w:t>
      </w:r>
      <w:r w:rsidRPr="00F43A73">
        <w:rPr>
          <w:rStyle w:val="Emphasis"/>
          <w:rFonts w:eastAsia="Times New Roman"/>
          <w:b w:val="0"/>
        </w:rPr>
        <w:t>Lancet Respir Med</w:t>
      </w:r>
      <w:r w:rsidRPr="00272B2D">
        <w:rPr>
          <w:rFonts w:eastAsia="Times New Roman"/>
        </w:rPr>
        <w:t>. 2014;2(5):395–404.</w:t>
      </w:r>
    </w:p>
    <w:p w14:paraId="146DB17E" w14:textId="77777777" w:rsidR="00CC25E2" w:rsidRPr="00272B2D" w:rsidRDefault="00CC25E2" w:rsidP="00272B2D">
      <w:pPr>
        <w:pStyle w:val="ListParagraph"/>
        <w:numPr>
          <w:ilvl w:val="0"/>
          <w:numId w:val="8"/>
        </w:numPr>
        <w:rPr>
          <w:rFonts w:eastAsia="Times New Roman"/>
        </w:rPr>
      </w:pPr>
      <w:r w:rsidRPr="00272B2D">
        <w:rPr>
          <w:rFonts w:eastAsia="Times New Roman"/>
        </w:rPr>
        <w:lastRenderedPageBreak/>
        <w:t xml:space="preserve">Butler CC, </w:t>
      </w:r>
      <w:proofErr w:type="spellStart"/>
      <w:r w:rsidRPr="00272B2D">
        <w:rPr>
          <w:rFonts w:eastAsia="Times New Roman"/>
        </w:rPr>
        <w:t>Coenen</w:t>
      </w:r>
      <w:proofErr w:type="spellEnd"/>
      <w:r w:rsidRPr="00272B2D">
        <w:rPr>
          <w:rFonts w:eastAsia="Times New Roman"/>
        </w:rPr>
        <w:t xml:space="preserve"> S, Saville BR, Cook J, van der Velden A, Homes J, et al. A trial like ALIC4E: why design a platform, response-adaptive, open, randomised controlled trial of antivirals for influenza-like illness? </w:t>
      </w:r>
      <w:r w:rsidRPr="00F43A73">
        <w:rPr>
          <w:rStyle w:val="Emphasis"/>
          <w:rFonts w:eastAsia="Times New Roman"/>
          <w:b w:val="0"/>
        </w:rPr>
        <w:t>ERJ Open Res</w:t>
      </w:r>
      <w:r w:rsidRPr="00272B2D">
        <w:rPr>
          <w:rFonts w:eastAsia="Times New Roman"/>
        </w:rPr>
        <w:t xml:space="preserve">. 2018;4(2). </w:t>
      </w:r>
      <w:proofErr w:type="spellStart"/>
      <w:r w:rsidRPr="00272B2D">
        <w:rPr>
          <w:rFonts w:eastAsia="Times New Roman"/>
        </w:rPr>
        <w:t>pii</w:t>
      </w:r>
      <w:proofErr w:type="spellEnd"/>
      <w:r w:rsidRPr="00272B2D">
        <w:rPr>
          <w:rFonts w:eastAsia="Times New Roman"/>
        </w:rPr>
        <w:t>: 00046-2018.</w:t>
      </w:r>
    </w:p>
    <w:p w14:paraId="4F3EFD5F" w14:textId="77777777" w:rsidR="00CC25E2" w:rsidRPr="00272B2D" w:rsidRDefault="00CC25E2" w:rsidP="00272B2D">
      <w:pPr>
        <w:pStyle w:val="ListParagraph"/>
        <w:numPr>
          <w:ilvl w:val="0"/>
          <w:numId w:val="8"/>
        </w:numPr>
        <w:rPr>
          <w:rFonts w:eastAsia="Times New Roman"/>
        </w:rPr>
      </w:pPr>
      <w:r w:rsidRPr="00272B2D">
        <w:rPr>
          <w:rFonts w:eastAsia="Times New Roman"/>
        </w:rPr>
        <w:t xml:space="preserve">Ainslie KEC, Shi M, Haber M, Orenstein WA. On the bias of estimates of influenza vaccine effectiveness from test-negative studies. </w:t>
      </w:r>
      <w:r w:rsidRPr="00F43A73">
        <w:rPr>
          <w:rStyle w:val="Emphasis"/>
          <w:rFonts w:eastAsia="Times New Roman"/>
          <w:b w:val="0"/>
        </w:rPr>
        <w:t>Vaccine</w:t>
      </w:r>
      <w:r w:rsidRPr="00272B2D">
        <w:rPr>
          <w:rFonts w:eastAsia="Times New Roman"/>
        </w:rPr>
        <w:t>. 2017;35(52):7297–301.</w:t>
      </w:r>
    </w:p>
    <w:p w14:paraId="3E8B141B"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788F2D8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7D3104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72350AC" w14:textId="77777777" w:rsidR="000A5F42" w:rsidRPr="000606CC" w:rsidRDefault="000A5F42" w:rsidP="000A5F42">
      <w:pPr>
        <w:pStyle w:val="NoSpacing"/>
        <w:rPr>
          <w:rStyle w:val="URI"/>
          <w:rFonts w:cstheme="minorHAnsi"/>
          <w:sz w:val="20"/>
          <w:szCs w:val="18"/>
        </w:rPr>
      </w:pPr>
    </w:p>
    <w:p w14:paraId="50DAC62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3EFAC30" w14:textId="77777777" w:rsidR="000A5F42" w:rsidRPr="000606CC" w:rsidRDefault="000A5F42" w:rsidP="000A5F42">
      <w:pPr>
        <w:pStyle w:val="NoSpacing"/>
        <w:rPr>
          <w:rStyle w:val="Strong"/>
          <w:rFonts w:cstheme="minorHAnsi"/>
          <w:sz w:val="20"/>
          <w:szCs w:val="18"/>
        </w:rPr>
      </w:pPr>
    </w:p>
    <w:p w14:paraId="4CADA33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C5BB03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48477D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8F6339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8271D4C" w14:textId="77777777" w:rsidR="000A5F42" w:rsidRPr="000606CC" w:rsidRDefault="000A5F42" w:rsidP="000A5F42">
      <w:pPr>
        <w:pStyle w:val="NoSpacing"/>
        <w:rPr>
          <w:rStyle w:val="Strong"/>
          <w:rFonts w:cstheme="minorHAnsi"/>
          <w:sz w:val="20"/>
          <w:szCs w:val="18"/>
        </w:rPr>
      </w:pPr>
    </w:p>
    <w:p w14:paraId="3F9BD1D6" w14:textId="745FF84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7CDE7CA" w14:textId="77777777" w:rsidR="000A5F42" w:rsidRPr="000606CC" w:rsidRDefault="000A5F42" w:rsidP="000A5F42">
      <w:pPr>
        <w:pStyle w:val="NoSpacing"/>
        <w:rPr>
          <w:rStyle w:val="Strong"/>
          <w:rFonts w:cstheme="minorHAnsi"/>
          <w:sz w:val="20"/>
          <w:szCs w:val="18"/>
        </w:rPr>
      </w:pPr>
    </w:p>
    <w:p w14:paraId="1142238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15A92AB" w14:textId="77777777" w:rsidR="000A5F42" w:rsidRPr="000606CC" w:rsidRDefault="000A5F42" w:rsidP="000A5F42">
      <w:pPr>
        <w:pStyle w:val="NoSpacing"/>
        <w:rPr>
          <w:rStyle w:val="Strong"/>
          <w:rFonts w:cstheme="minorHAnsi"/>
          <w:sz w:val="20"/>
          <w:szCs w:val="18"/>
        </w:rPr>
      </w:pPr>
    </w:p>
    <w:p w14:paraId="7AB977AB" w14:textId="0DD2FB4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830DB40" w14:textId="77777777" w:rsidR="000A5F42" w:rsidRPr="000606CC" w:rsidRDefault="000A5F42" w:rsidP="000A5F42">
      <w:pPr>
        <w:pStyle w:val="NoSpacing"/>
        <w:rPr>
          <w:rStyle w:val="Strong"/>
          <w:rFonts w:cstheme="minorHAnsi"/>
          <w:sz w:val="20"/>
          <w:szCs w:val="18"/>
        </w:rPr>
      </w:pPr>
    </w:p>
    <w:p w14:paraId="4557F11A" w14:textId="30EF611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9C95DE4" w14:textId="061A126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1D23DFCD" w14:textId="77777777" w:rsidR="000A5F42" w:rsidRPr="000606CC" w:rsidRDefault="000A5F42" w:rsidP="000A5F42">
      <w:pPr>
        <w:pStyle w:val="NoSpacing"/>
        <w:pBdr>
          <w:bottom w:val="single" w:sz="6" w:space="1" w:color="auto"/>
        </w:pBdr>
        <w:rPr>
          <w:rStyle w:val="Strong"/>
          <w:rFonts w:cstheme="minorHAnsi"/>
          <w:sz w:val="12"/>
          <w:szCs w:val="18"/>
        </w:rPr>
      </w:pPr>
    </w:p>
    <w:p w14:paraId="044D8B80" w14:textId="77777777" w:rsidR="000A5F42" w:rsidRPr="000606CC" w:rsidRDefault="000A5F42" w:rsidP="000A5F42">
      <w:pPr>
        <w:pStyle w:val="NoSpacing"/>
        <w:rPr>
          <w:rFonts w:cstheme="minorHAnsi"/>
          <w:sz w:val="20"/>
          <w:szCs w:val="18"/>
        </w:rPr>
      </w:pPr>
    </w:p>
    <w:p w14:paraId="2DED60A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6A2A903" w14:textId="77777777" w:rsidR="000A5F42" w:rsidRPr="000606CC" w:rsidRDefault="000A5F42" w:rsidP="000A5F42">
      <w:pPr>
        <w:pStyle w:val="NoSpacing"/>
        <w:rPr>
          <w:rFonts w:cstheme="minorHAnsi"/>
          <w:sz w:val="20"/>
          <w:szCs w:val="18"/>
        </w:rPr>
      </w:pPr>
    </w:p>
    <w:p w14:paraId="293A9B9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8702FAC"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12E1B354" w14:textId="0A910ED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7A948D2" w14:textId="77777777" w:rsidR="000A5F42" w:rsidRPr="000606CC" w:rsidRDefault="000A5F42" w:rsidP="000A5F42">
      <w:pPr>
        <w:pStyle w:val="NoSpacing"/>
        <w:rPr>
          <w:rFonts w:cstheme="minorHAnsi"/>
          <w:sz w:val="20"/>
          <w:szCs w:val="18"/>
        </w:rPr>
      </w:pPr>
    </w:p>
    <w:p w14:paraId="345BA00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A17944C" w14:textId="717A0CC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5A0FA5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BB056B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6FC4B8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7EB57B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A919645" w14:textId="77777777" w:rsidR="000A5F42" w:rsidRPr="000606CC" w:rsidRDefault="000A5F42" w:rsidP="000A5F42">
      <w:pPr>
        <w:pStyle w:val="NoSpacing"/>
        <w:rPr>
          <w:rStyle w:val="Strong"/>
          <w:rFonts w:cstheme="minorHAnsi"/>
          <w:sz w:val="20"/>
          <w:szCs w:val="18"/>
        </w:rPr>
      </w:pPr>
    </w:p>
    <w:p w14:paraId="6E3EC02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85DEE34" w14:textId="77777777" w:rsidR="000A5F42" w:rsidRPr="000606CC" w:rsidRDefault="000A5F42" w:rsidP="000A5F42">
      <w:pPr>
        <w:pStyle w:val="NoSpacing"/>
        <w:rPr>
          <w:rStyle w:val="Strong"/>
          <w:rFonts w:cstheme="minorHAnsi"/>
          <w:sz w:val="20"/>
          <w:szCs w:val="18"/>
        </w:rPr>
      </w:pPr>
    </w:p>
    <w:p w14:paraId="46884BE2" w14:textId="329C9E0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5D3F4D7" w14:textId="77777777" w:rsidR="000A5F42" w:rsidRPr="000606CC" w:rsidRDefault="000A5F42" w:rsidP="000A5F42">
      <w:pPr>
        <w:pStyle w:val="NoSpacing"/>
        <w:rPr>
          <w:rStyle w:val="URI"/>
          <w:rFonts w:cstheme="minorHAnsi"/>
          <w:sz w:val="20"/>
          <w:szCs w:val="18"/>
        </w:rPr>
      </w:pPr>
    </w:p>
    <w:p w14:paraId="5F64D0D8" w14:textId="63F6644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39ACC84F" w14:textId="77777777" w:rsidR="001B37B8" w:rsidRPr="00E92237" w:rsidRDefault="001B37B8" w:rsidP="001B37B8">
      <w:pPr>
        <w:rPr>
          <w:rFonts w:cs="Myriad Pro"/>
          <w:color w:val="211D1E"/>
          <w:sz w:val="20"/>
          <w:szCs w:val="20"/>
        </w:rPr>
      </w:pPr>
    </w:p>
    <w:sectPr w:rsidR="001B37B8" w:rsidRPr="00E92237" w:rsidSect="002B75A9">
      <w:headerReference w:type="default" r:id="rId26"/>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C137" w14:textId="77777777" w:rsidR="00E53B9C" w:rsidRDefault="00E53B9C" w:rsidP="00E54DBA">
      <w:r>
        <w:separator/>
      </w:r>
    </w:p>
    <w:p w14:paraId="6F1F241C" w14:textId="77777777" w:rsidR="00E53B9C" w:rsidRDefault="00E53B9C"/>
    <w:p w14:paraId="18B92ACE" w14:textId="77777777" w:rsidR="00E53B9C" w:rsidRDefault="00E53B9C" w:rsidP="008714B0"/>
  </w:endnote>
  <w:endnote w:type="continuationSeparator" w:id="0">
    <w:p w14:paraId="64AC565B" w14:textId="77777777" w:rsidR="00E53B9C" w:rsidRDefault="00E53B9C" w:rsidP="00E54DBA">
      <w:r>
        <w:continuationSeparator/>
      </w:r>
    </w:p>
    <w:p w14:paraId="4279BABF" w14:textId="77777777" w:rsidR="00E53B9C" w:rsidRDefault="00E53B9C"/>
    <w:p w14:paraId="52FE1B7C" w14:textId="77777777" w:rsidR="00E53B9C" w:rsidRDefault="00E53B9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1DDD" w14:textId="77777777" w:rsidR="006D04C6" w:rsidRPr="0042435E" w:rsidRDefault="006D04C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D63AC">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D63AC">
      <w:rPr>
        <w:noProof/>
        <w:sz w:val="18"/>
      </w:rPr>
      <w:t>16</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F43A73">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934D5">
      <w:rPr>
        <w:sz w:val="18"/>
      </w:rPr>
      <w:t>https://doi.org/10.33321/cdi.2019.43.39</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D934D5">
      <w:rPr>
        <w:sz w:val="18"/>
      </w:rPr>
      <w:t>16/09/2019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C2D6" w14:textId="77777777" w:rsidR="006D04C6" w:rsidRPr="00BB5378" w:rsidRDefault="006D04C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D63AC">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D63AC">
      <w:rPr>
        <w:noProof/>
        <w:sz w:val="18"/>
      </w:rPr>
      <w:t>16</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F43A73">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934D5">
      <w:rPr>
        <w:sz w:val="18"/>
      </w:rPr>
      <w:t>https://doi.org/10.33321/cdi.2019.43.39</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D934D5">
      <w:rPr>
        <w:sz w:val="18"/>
      </w:rPr>
      <w:t>16/09/2019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DC7F6" w14:textId="77777777" w:rsidR="00E53B9C" w:rsidRDefault="00E53B9C" w:rsidP="00E54DBA">
      <w:r>
        <w:separator/>
      </w:r>
    </w:p>
    <w:p w14:paraId="356CFCE3" w14:textId="77777777" w:rsidR="00E53B9C" w:rsidRDefault="00E53B9C"/>
    <w:p w14:paraId="312E661C" w14:textId="77777777" w:rsidR="00E53B9C" w:rsidRDefault="00E53B9C" w:rsidP="008714B0"/>
  </w:footnote>
  <w:footnote w:type="continuationSeparator" w:id="0">
    <w:p w14:paraId="6E8C703D" w14:textId="77777777" w:rsidR="00E53B9C" w:rsidRDefault="00E53B9C" w:rsidP="00E54DBA">
      <w:r>
        <w:continuationSeparator/>
      </w:r>
    </w:p>
    <w:p w14:paraId="1CBAB3C5" w14:textId="77777777" w:rsidR="00E53B9C" w:rsidRDefault="00E53B9C"/>
    <w:p w14:paraId="418F5DB7" w14:textId="77777777" w:rsidR="00E53B9C" w:rsidRDefault="00E53B9C"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F1B1" w14:textId="77777777" w:rsidR="006D04C6" w:rsidRPr="00A153B6" w:rsidRDefault="00AD303A"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D04C6">
          <w:t>Annual report</w:t>
        </w:r>
      </w:sdtContent>
    </w:sdt>
    <w:r w:rsidR="006D04C6">
      <w:ptab w:relativeTo="margin" w:alignment="right" w:leader="none"/>
    </w:r>
    <w:r w:rsidR="006D04C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13D8" w14:textId="77777777" w:rsidR="006D04C6" w:rsidRPr="000A5F42" w:rsidRDefault="006D04C6" w:rsidP="000A5F42">
    <w:pPr>
      <w:pStyle w:val="Header"/>
      <w:jc w:val="center"/>
      <w:rPr>
        <w:b/>
      </w:rPr>
    </w:pPr>
    <w:r w:rsidRPr="00E810C5">
      <w:rPr>
        <w:rFonts w:cs="Myriad Pro"/>
        <w:noProof/>
        <w:color w:val="211D1E"/>
        <w:sz w:val="16"/>
      </w:rPr>
      <w:drawing>
        <wp:inline distT="0" distB="0" distL="0" distR="0" wp14:anchorId="4B321A2D"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0FED"/>
    <w:multiLevelType w:val="multilevel"/>
    <w:tmpl w:val="6C22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5519A"/>
    <w:multiLevelType w:val="hybridMultilevel"/>
    <w:tmpl w:val="8D047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C8300B"/>
    <w:multiLevelType w:val="hybridMultilevel"/>
    <w:tmpl w:val="8D1E3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0744825">
    <w:abstractNumId w:val="3"/>
  </w:num>
  <w:num w:numId="2" w16cid:durableId="701712349">
    <w:abstractNumId w:val="4"/>
  </w:num>
  <w:num w:numId="3" w16cid:durableId="1544828508">
    <w:abstractNumId w:val="5"/>
  </w:num>
  <w:num w:numId="4" w16cid:durableId="1941402956">
    <w:abstractNumId w:val="2"/>
  </w:num>
  <w:num w:numId="5" w16cid:durableId="1533609605">
    <w:abstractNumId w:val="6"/>
  </w:num>
  <w:num w:numId="6" w16cid:durableId="357505561">
    <w:abstractNumId w:val="7"/>
  </w:num>
  <w:num w:numId="7" w16cid:durableId="1154029893">
    <w:abstractNumId w:val="0"/>
  </w:num>
  <w:num w:numId="8" w16cid:durableId="662272299">
    <w:abstractNumId w:val="8"/>
  </w:num>
  <w:num w:numId="9" w16cid:durableId="57470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5A"/>
    <w:rsid w:val="00000B5B"/>
    <w:rsid w:val="00001611"/>
    <w:rsid w:val="000104A8"/>
    <w:rsid w:val="0001246E"/>
    <w:rsid w:val="000124B1"/>
    <w:rsid w:val="00016FE6"/>
    <w:rsid w:val="0002648D"/>
    <w:rsid w:val="00031064"/>
    <w:rsid w:val="00031692"/>
    <w:rsid w:val="00032531"/>
    <w:rsid w:val="000471BF"/>
    <w:rsid w:val="00047B68"/>
    <w:rsid w:val="00052600"/>
    <w:rsid w:val="0005643C"/>
    <w:rsid w:val="0006264A"/>
    <w:rsid w:val="00073D77"/>
    <w:rsid w:val="00077523"/>
    <w:rsid w:val="00081655"/>
    <w:rsid w:val="00085D7E"/>
    <w:rsid w:val="000864E0"/>
    <w:rsid w:val="000969B3"/>
    <w:rsid w:val="000A5F42"/>
    <w:rsid w:val="000B7C20"/>
    <w:rsid w:val="000C12B4"/>
    <w:rsid w:val="000D4B4D"/>
    <w:rsid w:val="00113D58"/>
    <w:rsid w:val="00115ED7"/>
    <w:rsid w:val="00136A33"/>
    <w:rsid w:val="001378A3"/>
    <w:rsid w:val="00155582"/>
    <w:rsid w:val="00157EFD"/>
    <w:rsid w:val="00161590"/>
    <w:rsid w:val="00165D46"/>
    <w:rsid w:val="00171CC0"/>
    <w:rsid w:val="00175494"/>
    <w:rsid w:val="00175629"/>
    <w:rsid w:val="001817F8"/>
    <w:rsid w:val="001830EC"/>
    <w:rsid w:val="00183534"/>
    <w:rsid w:val="001A4A96"/>
    <w:rsid w:val="001A5D05"/>
    <w:rsid w:val="001A796C"/>
    <w:rsid w:val="001B2614"/>
    <w:rsid w:val="001B37B8"/>
    <w:rsid w:val="001B552F"/>
    <w:rsid w:val="001C0893"/>
    <w:rsid w:val="001C1303"/>
    <w:rsid w:val="001C70B2"/>
    <w:rsid w:val="001D37C7"/>
    <w:rsid w:val="001D6888"/>
    <w:rsid w:val="00205B95"/>
    <w:rsid w:val="00210EAF"/>
    <w:rsid w:val="002276DC"/>
    <w:rsid w:val="00227E00"/>
    <w:rsid w:val="002307CB"/>
    <w:rsid w:val="00231046"/>
    <w:rsid w:val="00234F21"/>
    <w:rsid w:val="00242659"/>
    <w:rsid w:val="002428F7"/>
    <w:rsid w:val="0024315F"/>
    <w:rsid w:val="00252C9A"/>
    <w:rsid w:val="0025446D"/>
    <w:rsid w:val="00256309"/>
    <w:rsid w:val="00257484"/>
    <w:rsid w:val="00260636"/>
    <w:rsid w:val="00263CA4"/>
    <w:rsid w:val="00272B2D"/>
    <w:rsid w:val="00275208"/>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36890"/>
    <w:rsid w:val="00346D42"/>
    <w:rsid w:val="00346E11"/>
    <w:rsid w:val="003601C0"/>
    <w:rsid w:val="003635F5"/>
    <w:rsid w:val="00372A88"/>
    <w:rsid w:val="00375116"/>
    <w:rsid w:val="00381A0F"/>
    <w:rsid w:val="003A1B3A"/>
    <w:rsid w:val="003A27AD"/>
    <w:rsid w:val="003A40F5"/>
    <w:rsid w:val="003B2E7D"/>
    <w:rsid w:val="003B5B8C"/>
    <w:rsid w:val="003C2A52"/>
    <w:rsid w:val="003D79B1"/>
    <w:rsid w:val="003E74EE"/>
    <w:rsid w:val="003F0552"/>
    <w:rsid w:val="003F3BC2"/>
    <w:rsid w:val="00401ED1"/>
    <w:rsid w:val="0040224C"/>
    <w:rsid w:val="004028DE"/>
    <w:rsid w:val="004036D3"/>
    <w:rsid w:val="00413EE1"/>
    <w:rsid w:val="004164BB"/>
    <w:rsid w:val="00421ECE"/>
    <w:rsid w:val="00422FEB"/>
    <w:rsid w:val="0042435E"/>
    <w:rsid w:val="004315F5"/>
    <w:rsid w:val="00433456"/>
    <w:rsid w:val="00433DFA"/>
    <w:rsid w:val="00435D67"/>
    <w:rsid w:val="00453BCC"/>
    <w:rsid w:val="004557E2"/>
    <w:rsid w:val="00464A58"/>
    <w:rsid w:val="004739B2"/>
    <w:rsid w:val="00473D2D"/>
    <w:rsid w:val="00491592"/>
    <w:rsid w:val="004A2125"/>
    <w:rsid w:val="004A38F6"/>
    <w:rsid w:val="004A40C1"/>
    <w:rsid w:val="004B3A7F"/>
    <w:rsid w:val="004B4EB6"/>
    <w:rsid w:val="004C083C"/>
    <w:rsid w:val="004C2255"/>
    <w:rsid w:val="004C3ABF"/>
    <w:rsid w:val="004C67C6"/>
    <w:rsid w:val="004D29DE"/>
    <w:rsid w:val="004D63AC"/>
    <w:rsid w:val="004F1C08"/>
    <w:rsid w:val="00500850"/>
    <w:rsid w:val="00510EAC"/>
    <w:rsid w:val="005123B9"/>
    <w:rsid w:val="00542A57"/>
    <w:rsid w:val="005732C0"/>
    <w:rsid w:val="0057336D"/>
    <w:rsid w:val="0057489A"/>
    <w:rsid w:val="00574ACF"/>
    <w:rsid w:val="00581588"/>
    <w:rsid w:val="00581638"/>
    <w:rsid w:val="0058540B"/>
    <w:rsid w:val="00587C87"/>
    <w:rsid w:val="00590B80"/>
    <w:rsid w:val="005B08DE"/>
    <w:rsid w:val="005B3134"/>
    <w:rsid w:val="005B4E61"/>
    <w:rsid w:val="005B595A"/>
    <w:rsid w:val="005B66C2"/>
    <w:rsid w:val="005D2465"/>
    <w:rsid w:val="005E4229"/>
    <w:rsid w:val="005E540E"/>
    <w:rsid w:val="005E55FB"/>
    <w:rsid w:val="005F16BB"/>
    <w:rsid w:val="00607115"/>
    <w:rsid w:val="00607FED"/>
    <w:rsid w:val="00620768"/>
    <w:rsid w:val="00622B38"/>
    <w:rsid w:val="0062594B"/>
    <w:rsid w:val="00631406"/>
    <w:rsid w:val="006324FF"/>
    <w:rsid w:val="006351D6"/>
    <w:rsid w:val="00636E0D"/>
    <w:rsid w:val="0064142F"/>
    <w:rsid w:val="00643CB4"/>
    <w:rsid w:val="0064404C"/>
    <w:rsid w:val="00656427"/>
    <w:rsid w:val="00660255"/>
    <w:rsid w:val="006712B2"/>
    <w:rsid w:val="006971F3"/>
    <w:rsid w:val="006A43D4"/>
    <w:rsid w:val="006B49D0"/>
    <w:rsid w:val="006B762B"/>
    <w:rsid w:val="006C74A3"/>
    <w:rsid w:val="006D04C6"/>
    <w:rsid w:val="006D1381"/>
    <w:rsid w:val="006D31BC"/>
    <w:rsid w:val="006E48AB"/>
    <w:rsid w:val="006E7943"/>
    <w:rsid w:val="006F21D0"/>
    <w:rsid w:val="006F24EA"/>
    <w:rsid w:val="007034A1"/>
    <w:rsid w:val="00704CA9"/>
    <w:rsid w:val="0071048D"/>
    <w:rsid w:val="00710F86"/>
    <w:rsid w:val="007111A8"/>
    <w:rsid w:val="00731BC3"/>
    <w:rsid w:val="00737AD6"/>
    <w:rsid w:val="00741192"/>
    <w:rsid w:val="00743A33"/>
    <w:rsid w:val="00746080"/>
    <w:rsid w:val="0075121E"/>
    <w:rsid w:val="0075144A"/>
    <w:rsid w:val="007521A7"/>
    <w:rsid w:val="00780264"/>
    <w:rsid w:val="007812E9"/>
    <w:rsid w:val="00786329"/>
    <w:rsid w:val="00792C7D"/>
    <w:rsid w:val="00792C85"/>
    <w:rsid w:val="00792D69"/>
    <w:rsid w:val="00794A4D"/>
    <w:rsid w:val="007A4E29"/>
    <w:rsid w:val="007A5234"/>
    <w:rsid w:val="007B7854"/>
    <w:rsid w:val="007C3CF7"/>
    <w:rsid w:val="007C56A1"/>
    <w:rsid w:val="007C6454"/>
    <w:rsid w:val="007E01E0"/>
    <w:rsid w:val="007E408F"/>
    <w:rsid w:val="007E47AC"/>
    <w:rsid w:val="007F0B93"/>
    <w:rsid w:val="007F2ECA"/>
    <w:rsid w:val="00811708"/>
    <w:rsid w:val="00812924"/>
    <w:rsid w:val="00816B90"/>
    <w:rsid w:val="00817799"/>
    <w:rsid w:val="00822F5F"/>
    <w:rsid w:val="00824FD3"/>
    <w:rsid w:val="00826589"/>
    <w:rsid w:val="00834BCC"/>
    <w:rsid w:val="0083748B"/>
    <w:rsid w:val="00850D54"/>
    <w:rsid w:val="008714B0"/>
    <w:rsid w:val="00876331"/>
    <w:rsid w:val="00880726"/>
    <w:rsid w:val="00887A3E"/>
    <w:rsid w:val="00887FE3"/>
    <w:rsid w:val="00896407"/>
    <w:rsid w:val="008A3544"/>
    <w:rsid w:val="008A4161"/>
    <w:rsid w:val="008B48B8"/>
    <w:rsid w:val="008B5348"/>
    <w:rsid w:val="008B58F8"/>
    <w:rsid w:val="008C0712"/>
    <w:rsid w:val="008C4520"/>
    <w:rsid w:val="008C5F09"/>
    <w:rsid w:val="008D470F"/>
    <w:rsid w:val="008E1F8F"/>
    <w:rsid w:val="008E435A"/>
    <w:rsid w:val="008E4768"/>
    <w:rsid w:val="008E761E"/>
    <w:rsid w:val="008F77B3"/>
    <w:rsid w:val="009008F5"/>
    <w:rsid w:val="00904CC1"/>
    <w:rsid w:val="009066AF"/>
    <w:rsid w:val="00912050"/>
    <w:rsid w:val="00912E48"/>
    <w:rsid w:val="0092746F"/>
    <w:rsid w:val="00934BC1"/>
    <w:rsid w:val="00935DC9"/>
    <w:rsid w:val="009446C0"/>
    <w:rsid w:val="0096082E"/>
    <w:rsid w:val="00961347"/>
    <w:rsid w:val="00962F05"/>
    <w:rsid w:val="00967410"/>
    <w:rsid w:val="00967D73"/>
    <w:rsid w:val="0098119A"/>
    <w:rsid w:val="00984AAF"/>
    <w:rsid w:val="00984D1C"/>
    <w:rsid w:val="009861B3"/>
    <w:rsid w:val="00991B09"/>
    <w:rsid w:val="00993CB2"/>
    <w:rsid w:val="009A5166"/>
    <w:rsid w:val="009A76F8"/>
    <w:rsid w:val="009B2B83"/>
    <w:rsid w:val="009C453E"/>
    <w:rsid w:val="009C49F8"/>
    <w:rsid w:val="009D77CC"/>
    <w:rsid w:val="009E1879"/>
    <w:rsid w:val="009E2423"/>
    <w:rsid w:val="009E55D7"/>
    <w:rsid w:val="009F4150"/>
    <w:rsid w:val="009F5665"/>
    <w:rsid w:val="009F5DAD"/>
    <w:rsid w:val="00A01BCA"/>
    <w:rsid w:val="00A10458"/>
    <w:rsid w:val="00A153B6"/>
    <w:rsid w:val="00A164D5"/>
    <w:rsid w:val="00A21F0A"/>
    <w:rsid w:val="00A273C3"/>
    <w:rsid w:val="00A30C37"/>
    <w:rsid w:val="00A320A7"/>
    <w:rsid w:val="00A3673A"/>
    <w:rsid w:val="00A36C65"/>
    <w:rsid w:val="00A41BBE"/>
    <w:rsid w:val="00A45BDD"/>
    <w:rsid w:val="00A46A0A"/>
    <w:rsid w:val="00A553F8"/>
    <w:rsid w:val="00A6708F"/>
    <w:rsid w:val="00A71BF6"/>
    <w:rsid w:val="00A86F9A"/>
    <w:rsid w:val="00AA01A6"/>
    <w:rsid w:val="00AA045C"/>
    <w:rsid w:val="00AA35E6"/>
    <w:rsid w:val="00AA50B6"/>
    <w:rsid w:val="00AB3472"/>
    <w:rsid w:val="00AC4ED4"/>
    <w:rsid w:val="00AD0762"/>
    <w:rsid w:val="00AD1050"/>
    <w:rsid w:val="00AD303A"/>
    <w:rsid w:val="00AE2916"/>
    <w:rsid w:val="00AE4452"/>
    <w:rsid w:val="00AE7C38"/>
    <w:rsid w:val="00B000AF"/>
    <w:rsid w:val="00B01F99"/>
    <w:rsid w:val="00B02B37"/>
    <w:rsid w:val="00B05276"/>
    <w:rsid w:val="00B132DB"/>
    <w:rsid w:val="00B31427"/>
    <w:rsid w:val="00B33861"/>
    <w:rsid w:val="00B40DE2"/>
    <w:rsid w:val="00B4638A"/>
    <w:rsid w:val="00B50210"/>
    <w:rsid w:val="00B5383F"/>
    <w:rsid w:val="00B5384F"/>
    <w:rsid w:val="00B53955"/>
    <w:rsid w:val="00B60C6C"/>
    <w:rsid w:val="00B6408A"/>
    <w:rsid w:val="00B714B8"/>
    <w:rsid w:val="00B82C2C"/>
    <w:rsid w:val="00B8720B"/>
    <w:rsid w:val="00B876EF"/>
    <w:rsid w:val="00B91C7F"/>
    <w:rsid w:val="00B9313A"/>
    <w:rsid w:val="00B93359"/>
    <w:rsid w:val="00BA4697"/>
    <w:rsid w:val="00BB5378"/>
    <w:rsid w:val="00BC0BD3"/>
    <w:rsid w:val="00BD0107"/>
    <w:rsid w:val="00BE0C33"/>
    <w:rsid w:val="00BE262C"/>
    <w:rsid w:val="00BE6C3D"/>
    <w:rsid w:val="00C07606"/>
    <w:rsid w:val="00C07D6E"/>
    <w:rsid w:val="00C12542"/>
    <w:rsid w:val="00C172D0"/>
    <w:rsid w:val="00C24725"/>
    <w:rsid w:val="00C30BA9"/>
    <w:rsid w:val="00C3541E"/>
    <w:rsid w:val="00C36A8F"/>
    <w:rsid w:val="00C42FFA"/>
    <w:rsid w:val="00C507D8"/>
    <w:rsid w:val="00C613E1"/>
    <w:rsid w:val="00C62EAC"/>
    <w:rsid w:val="00C63F9F"/>
    <w:rsid w:val="00C7723C"/>
    <w:rsid w:val="00C838F5"/>
    <w:rsid w:val="00CA1AF4"/>
    <w:rsid w:val="00CA6068"/>
    <w:rsid w:val="00CB15E1"/>
    <w:rsid w:val="00CB3D46"/>
    <w:rsid w:val="00CC16B0"/>
    <w:rsid w:val="00CC25E2"/>
    <w:rsid w:val="00CC57DB"/>
    <w:rsid w:val="00CD1A87"/>
    <w:rsid w:val="00CD35F3"/>
    <w:rsid w:val="00CD4537"/>
    <w:rsid w:val="00CD5C93"/>
    <w:rsid w:val="00CE342B"/>
    <w:rsid w:val="00CF320C"/>
    <w:rsid w:val="00CF3A4B"/>
    <w:rsid w:val="00CF4001"/>
    <w:rsid w:val="00D04993"/>
    <w:rsid w:val="00D05837"/>
    <w:rsid w:val="00D12D8A"/>
    <w:rsid w:val="00D13E0C"/>
    <w:rsid w:val="00D220AA"/>
    <w:rsid w:val="00D24F69"/>
    <w:rsid w:val="00D25896"/>
    <w:rsid w:val="00D277DB"/>
    <w:rsid w:val="00D373A1"/>
    <w:rsid w:val="00D37C0F"/>
    <w:rsid w:val="00D45661"/>
    <w:rsid w:val="00D45943"/>
    <w:rsid w:val="00D473C8"/>
    <w:rsid w:val="00D47D22"/>
    <w:rsid w:val="00D51865"/>
    <w:rsid w:val="00D51D0C"/>
    <w:rsid w:val="00D74140"/>
    <w:rsid w:val="00D8256A"/>
    <w:rsid w:val="00D934D5"/>
    <w:rsid w:val="00DA6E56"/>
    <w:rsid w:val="00DC0063"/>
    <w:rsid w:val="00DC2FFA"/>
    <w:rsid w:val="00DC6705"/>
    <w:rsid w:val="00DD2DE8"/>
    <w:rsid w:val="00DE38B4"/>
    <w:rsid w:val="00DE5D02"/>
    <w:rsid w:val="00E005A9"/>
    <w:rsid w:val="00E1166E"/>
    <w:rsid w:val="00E24DC0"/>
    <w:rsid w:val="00E2519C"/>
    <w:rsid w:val="00E25F2A"/>
    <w:rsid w:val="00E41455"/>
    <w:rsid w:val="00E42AD2"/>
    <w:rsid w:val="00E50856"/>
    <w:rsid w:val="00E538CC"/>
    <w:rsid w:val="00E53B9C"/>
    <w:rsid w:val="00E54DBA"/>
    <w:rsid w:val="00E63D7C"/>
    <w:rsid w:val="00E640D5"/>
    <w:rsid w:val="00E67691"/>
    <w:rsid w:val="00E67C65"/>
    <w:rsid w:val="00E92237"/>
    <w:rsid w:val="00E951EF"/>
    <w:rsid w:val="00EA3D54"/>
    <w:rsid w:val="00EA56D9"/>
    <w:rsid w:val="00EA5CE3"/>
    <w:rsid w:val="00EB51C1"/>
    <w:rsid w:val="00EB5AE1"/>
    <w:rsid w:val="00EB5E0B"/>
    <w:rsid w:val="00EC2171"/>
    <w:rsid w:val="00ED442D"/>
    <w:rsid w:val="00ED70C2"/>
    <w:rsid w:val="00EE0E49"/>
    <w:rsid w:val="00EE18FF"/>
    <w:rsid w:val="00EE489F"/>
    <w:rsid w:val="00EF5498"/>
    <w:rsid w:val="00F053D7"/>
    <w:rsid w:val="00F0646A"/>
    <w:rsid w:val="00F0647F"/>
    <w:rsid w:val="00F1039D"/>
    <w:rsid w:val="00F10CE3"/>
    <w:rsid w:val="00F14F3B"/>
    <w:rsid w:val="00F16362"/>
    <w:rsid w:val="00F170D7"/>
    <w:rsid w:val="00F207C7"/>
    <w:rsid w:val="00F36B6D"/>
    <w:rsid w:val="00F43A73"/>
    <w:rsid w:val="00F43FA3"/>
    <w:rsid w:val="00F52025"/>
    <w:rsid w:val="00F55648"/>
    <w:rsid w:val="00F600DD"/>
    <w:rsid w:val="00F70046"/>
    <w:rsid w:val="00F748C2"/>
    <w:rsid w:val="00F74B9C"/>
    <w:rsid w:val="00F76C5C"/>
    <w:rsid w:val="00F81EF3"/>
    <w:rsid w:val="00F84496"/>
    <w:rsid w:val="00F85DCB"/>
    <w:rsid w:val="00F86F9C"/>
    <w:rsid w:val="00FA4CB9"/>
    <w:rsid w:val="00FB4CC9"/>
    <w:rsid w:val="00FC002E"/>
    <w:rsid w:val="00FC4C23"/>
    <w:rsid w:val="00FC642E"/>
    <w:rsid w:val="00FE2AE4"/>
    <w:rsid w:val="00FE5908"/>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09AC3"/>
  <w14:defaultImageDpi w14:val="330"/>
  <w15:docId w15:val="{0E0DDE04-2647-471A-AF82-D8E359D5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085D7E"/>
    <w:rPr>
      <w:sz w:val="16"/>
      <w:szCs w:val="16"/>
    </w:rPr>
  </w:style>
  <w:style w:type="paragraph" w:styleId="CommentText">
    <w:name w:val="annotation text"/>
    <w:basedOn w:val="Normal"/>
    <w:link w:val="CommentTextChar"/>
    <w:uiPriority w:val="99"/>
    <w:semiHidden/>
    <w:unhideWhenUsed/>
    <w:rsid w:val="00085D7E"/>
    <w:pPr>
      <w:spacing w:line="240" w:lineRule="auto"/>
    </w:pPr>
    <w:rPr>
      <w:sz w:val="20"/>
      <w:szCs w:val="20"/>
    </w:rPr>
  </w:style>
  <w:style w:type="character" w:customStyle="1" w:styleId="CommentTextChar">
    <w:name w:val="Comment Text Char"/>
    <w:basedOn w:val="DefaultParagraphFont"/>
    <w:link w:val="CommentText"/>
    <w:uiPriority w:val="99"/>
    <w:semiHidden/>
    <w:rsid w:val="00085D7E"/>
    <w:rPr>
      <w:sz w:val="20"/>
      <w:szCs w:val="20"/>
    </w:rPr>
  </w:style>
  <w:style w:type="paragraph" w:styleId="CommentSubject">
    <w:name w:val="annotation subject"/>
    <w:basedOn w:val="CommentText"/>
    <w:next w:val="CommentText"/>
    <w:link w:val="CommentSubjectChar"/>
    <w:uiPriority w:val="99"/>
    <w:semiHidden/>
    <w:unhideWhenUsed/>
    <w:rsid w:val="00085D7E"/>
    <w:rPr>
      <w:b/>
      <w:bCs/>
    </w:rPr>
  </w:style>
  <w:style w:type="character" w:customStyle="1" w:styleId="CommentSubjectChar">
    <w:name w:val="Comment Subject Char"/>
    <w:basedOn w:val="CommentTextChar"/>
    <w:link w:val="CommentSubject"/>
    <w:uiPriority w:val="99"/>
    <w:semiHidden/>
    <w:rsid w:val="00085D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allen.cheng@monash.edu" TargetMode="Externa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92FF57-178E-4B0E-96ED-0AB9A0BC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5482</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Communicable Diseases Intelligence 2019 - Influenza epidemiology in patients admitted to sentinel Australian hospitals in 2017: the Influenza Complications Alert Network (FluCAN)</vt:lpstr>
    </vt:vector>
  </TitlesOfParts>
  <Company>Australian Government, Department of Health</Company>
  <LinksUpToDate>false</LinksUpToDate>
  <CharactersWithSpaces>37534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Influenza epidemiology in patients admitted to sentinel Australian hospitals in 2017: the Influenza Complications Alert Network (FluCAN)</dc:title>
  <dc:subject>During the period 3 April to 31 October 2017 (the 2017 influenza season), 4359 patients were admitted with confirmed influenza to one of 17 FluCAN sentinel hospitals. Of these, 52% were elderly (≥65 years), 14% were children (&lt;16 years), 6.5% were Aboriginal and Torres Strait Islander peoples, 1.6% were pregnant and 78% had chronic co-morbidities.</dc:subject>
  <dc:creator>Allen C Cheng;Mark Holmes;Dominic E Dwyer;Sanjaya Senanayake;Louise Cooley;Louis B Irving;Graham Simpson;Tony Korman;Kristine Macartney;N Deborah Friedman;Peter Wark;Anna Holwell;Christopher C Blyth;Simon Bowler;John Upham;Grant W Waterer;Tom Kotsimbos and Paul M Kelly</dc:creator>
  <cp:keywords>; Influenza; public health surveillance; influenza vaccines; vaccination coverage; vaccine effectiveness</cp:keywords>
  <dc:description>© Commonwealth of Australia CC BY-NC-ND ISSN: 2209-6051 (Online)</dc:description>
  <cp:lastPrinted>2018-05-10T02:19:00Z</cp:lastPrinted>
  <dcterms:created xsi:type="dcterms:W3CDTF">2024-08-27T22:29:00Z</dcterms:created>
  <dcterms:modified xsi:type="dcterms:W3CDTF">2024-08-27T22:29:00Z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https://doi.org/10.33321/cdi.2019.43.39</vt:lpwstr>
  </property>
</Properties>
</file>