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46376" w14:textId="77777777" w:rsidR="006147C0" w:rsidRDefault="006147C0" w:rsidP="006147C0">
      <w:pPr>
        <w:pStyle w:val="Title"/>
        <w:rPr>
          <w:sz w:val="24"/>
          <w:szCs w:val="24"/>
        </w:rPr>
      </w:pPr>
      <w:r>
        <w:t>Australian Gonococcal Surveillance Programme, 1</w:t>
      </w:r>
      <w:r w:rsidR="00B96F73">
        <w:t> </w:t>
      </w:r>
      <w:r>
        <w:t>January to 31 March 2018</w:t>
      </w:r>
    </w:p>
    <w:p w14:paraId="2DB88361" w14:textId="77777777" w:rsidR="00155FD5" w:rsidRDefault="006147C0" w:rsidP="00155FD5">
      <w:pPr>
        <w:spacing w:after="0"/>
      </w:pPr>
      <w:r>
        <w:t xml:space="preserve">Monica M Lahra and Rodney P Enriquez </w:t>
      </w:r>
    </w:p>
    <w:p w14:paraId="1A94EE17" w14:textId="77777777" w:rsidR="006147C0" w:rsidRDefault="006147C0" w:rsidP="006147C0">
      <w:r>
        <w:t>The World Health Organisation Collaborating Centre for STI and AMR and Neisseria Reference Laboratory, New South Wales Health Pathology, Prince of Wales Hospital, Randwick, NSW, 2031 for The National Neisseria Network,</w:t>
      </w:r>
      <w:r w:rsidR="00BA1671">
        <w:t> </w:t>
      </w:r>
      <w:r>
        <w:t>Australia</w:t>
      </w:r>
    </w:p>
    <w:p w14:paraId="5E7EB7A1" w14:textId="77777777" w:rsidR="006147C0" w:rsidRPr="006147C0" w:rsidRDefault="006147C0" w:rsidP="006147C0">
      <w:pPr>
        <w:pStyle w:val="Heading1"/>
      </w:pPr>
      <w:r w:rsidRPr="006147C0">
        <w:t>Introduction</w:t>
      </w:r>
    </w:p>
    <w:p w14:paraId="3E577C12" w14:textId="77777777" w:rsidR="006147C0" w:rsidRDefault="006147C0" w:rsidP="006147C0">
      <w:r>
        <w:t xml:space="preserve">The National Neisseria Network (NNN), Australia, comprises reference laboratories in each </w:t>
      </w:r>
      <w:r w:rsidR="00155FD5">
        <w:t>s</w:t>
      </w:r>
      <w:r>
        <w:t xml:space="preserve">tate and </w:t>
      </w:r>
      <w:r w:rsidR="00155FD5">
        <w:t>t</w:t>
      </w:r>
      <w:r>
        <w:t>erritory that report data on sensitivity to an agreed group of antimicrobial agents for the Australian Gonococcal Surveillance Programme (AGSP). The antibiotics tested are penicillin, ceftriaxone, azithromycin and ciprofloxacin. These are current or potential agents used for the treatment of gonorrhoea. Azithromycin combined with ceftriaxone is the recommended treatment regimen for gonorrhoea in the majority of Australia. However, there are substantial geographic differences in susceptibility patterns in Australia and in certain remote regions of the Northern Territory and Western Australia gonococcal antimicrobial resistance rates are low, and an oral treatment regimen comprising amoxycillin, probenecid and azithromycin is recommended for the treatment of gonorrhoea. Additional data on other antibiotics are reported in the AGSP Annual Report. The AGSP has a programme-specific quality assurance process.</w:t>
      </w:r>
    </w:p>
    <w:p w14:paraId="3D3F9D8C" w14:textId="77777777" w:rsidR="006147C0" w:rsidRPr="006147C0" w:rsidRDefault="006147C0" w:rsidP="006147C0">
      <w:pPr>
        <w:pStyle w:val="Heading1"/>
      </w:pPr>
      <w:r w:rsidRPr="006147C0">
        <w:t>Results</w:t>
      </w:r>
    </w:p>
    <w:p w14:paraId="4C8BE9FC" w14:textId="77777777" w:rsidR="009C7303" w:rsidRDefault="006147C0" w:rsidP="006147C0">
      <w:pPr>
        <w:sectPr w:rsidR="009C7303"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r>
        <w:t>A summary of the proportion of isolates with decreased susceptibility (DS) to ceftriaxone, and the proportion resistant to azithromycin, penicillin, and ciprofloxacin for Quarter 1 2018 is shown in Table 1.</w:t>
      </w:r>
    </w:p>
    <w:p w14:paraId="2E9C587E" w14:textId="77777777" w:rsidR="006147C0" w:rsidRDefault="006147C0" w:rsidP="009C7303">
      <w:pPr>
        <w:pStyle w:val="CDIFigures"/>
      </w:pPr>
      <w:r>
        <w:lastRenderedPageBreak/>
        <w:t xml:space="preserve">Table 1: Gonococcal isolates showing decreased susceptibility to ceftriaxone and resistance to azithromycin, penicillin, and ciprofloxacin, Australia, 1 January to 31 March 2018, by state or territory </w:t>
      </w:r>
    </w:p>
    <w:tbl>
      <w:tblPr>
        <w:tblStyle w:val="CDI-StandardTable"/>
        <w:tblW w:w="0" w:type="auto"/>
        <w:tblCellMar>
          <w:top w:w="57" w:type="dxa"/>
          <w:left w:w="113" w:type="dxa"/>
          <w:bottom w:w="57" w:type="dxa"/>
          <w:right w:w="113" w:type="dxa"/>
        </w:tblCellMar>
        <w:tblLook w:val="04A0" w:firstRow="1" w:lastRow="0" w:firstColumn="1" w:lastColumn="0" w:noHBand="0" w:noVBand="1"/>
        <w:tblDescription w:val="Table 1 shows the proportion of gonococcal isolates with resistance to azithromycin, penicillin and ciprofloxacin and decreased susceptibility to ceftriaxone reported, Australia, by state or territory for the period 1 January to 31 March, 2018. "/>
      </w:tblPr>
      <w:tblGrid>
        <w:gridCol w:w="2660"/>
        <w:gridCol w:w="1876"/>
        <w:gridCol w:w="1347"/>
        <w:gridCol w:w="1347"/>
        <w:gridCol w:w="961"/>
        <w:gridCol w:w="961"/>
        <w:gridCol w:w="1319"/>
        <w:gridCol w:w="1320"/>
        <w:gridCol w:w="1596"/>
        <w:gridCol w:w="1597"/>
      </w:tblGrid>
      <w:tr w:rsidR="00E53875" w:rsidRPr="00881036" w14:paraId="74E73834" w14:textId="77777777" w:rsidTr="00F944EB">
        <w:trPr>
          <w:cnfStyle w:val="100000000000" w:firstRow="1" w:lastRow="0" w:firstColumn="0" w:lastColumn="0" w:oddVBand="0" w:evenVBand="0" w:oddHBand="0" w:evenHBand="0" w:firstRowFirstColumn="0" w:firstRowLastColumn="0" w:lastRowFirstColumn="0" w:lastRowLastColumn="0"/>
          <w:tblHeader/>
        </w:trPr>
        <w:tc>
          <w:tcPr>
            <w:tcW w:w="2660" w:type="dxa"/>
            <w:vMerge w:val="restart"/>
            <w:tcBorders>
              <w:right w:val="single" w:sz="4" w:space="0" w:color="auto"/>
            </w:tcBorders>
            <w:shd w:val="clear" w:color="auto" w:fill="595959" w:themeFill="text1" w:themeFillTint="A6"/>
            <w:hideMark/>
          </w:tcPr>
          <w:p w14:paraId="3EFB9B7C" w14:textId="77777777" w:rsidR="006147C0" w:rsidRPr="00881036" w:rsidRDefault="006147C0">
            <w:pPr>
              <w:pStyle w:val="NormalWeb"/>
              <w:rPr>
                <w:color w:val="FFFFFF" w:themeColor="background1"/>
                <w:sz w:val="18"/>
                <w:szCs w:val="18"/>
              </w:rPr>
            </w:pPr>
            <w:r w:rsidRPr="00881036">
              <w:rPr>
                <w:color w:val="FFFFFF" w:themeColor="background1"/>
                <w:sz w:val="18"/>
                <w:szCs w:val="18"/>
              </w:rPr>
              <w:t>State or Territory</w:t>
            </w:r>
          </w:p>
        </w:tc>
        <w:tc>
          <w:tcPr>
            <w:tcW w:w="1876" w:type="dxa"/>
            <w:tcBorders>
              <w:left w:val="single" w:sz="4" w:space="0" w:color="auto"/>
              <w:bottom w:val="single" w:sz="4" w:space="0" w:color="auto"/>
              <w:right w:val="single" w:sz="4" w:space="0" w:color="auto"/>
            </w:tcBorders>
            <w:shd w:val="clear" w:color="auto" w:fill="595959" w:themeFill="text1" w:themeFillTint="A6"/>
            <w:hideMark/>
          </w:tcPr>
          <w:p w14:paraId="5588C959" w14:textId="77777777" w:rsidR="006147C0" w:rsidRPr="00881036" w:rsidRDefault="00E53875" w:rsidP="00F944EB">
            <w:pPr>
              <w:pStyle w:val="NormalWeb"/>
              <w:jc w:val="center"/>
              <w:rPr>
                <w:color w:val="FFFFFF" w:themeColor="background1"/>
                <w:sz w:val="18"/>
                <w:szCs w:val="18"/>
              </w:rPr>
            </w:pPr>
            <w:r w:rsidRPr="00881036">
              <w:rPr>
                <w:color w:val="FFFFFF" w:themeColor="background1"/>
                <w:sz w:val="18"/>
                <w:szCs w:val="18"/>
              </w:rPr>
              <w:t xml:space="preserve">Number of </w:t>
            </w:r>
            <w:r w:rsidR="006147C0" w:rsidRPr="00881036">
              <w:rPr>
                <w:color w:val="FFFFFF" w:themeColor="background1"/>
                <w:sz w:val="18"/>
                <w:szCs w:val="18"/>
              </w:rPr>
              <w:t>isolates tested</w:t>
            </w:r>
          </w:p>
        </w:tc>
        <w:tc>
          <w:tcPr>
            <w:tcW w:w="2694" w:type="dxa"/>
            <w:gridSpan w:val="2"/>
            <w:tcBorders>
              <w:left w:val="single" w:sz="4" w:space="0" w:color="auto"/>
              <w:bottom w:val="single" w:sz="4" w:space="0" w:color="auto"/>
              <w:right w:val="single" w:sz="4" w:space="0" w:color="auto"/>
            </w:tcBorders>
            <w:shd w:val="clear" w:color="auto" w:fill="595959" w:themeFill="text1" w:themeFillTint="A6"/>
            <w:hideMark/>
          </w:tcPr>
          <w:p w14:paraId="7BA14B59" w14:textId="77777777" w:rsidR="006147C0" w:rsidRPr="00881036" w:rsidRDefault="006147C0" w:rsidP="00F944EB">
            <w:pPr>
              <w:pStyle w:val="NormalWeb"/>
              <w:jc w:val="center"/>
              <w:rPr>
                <w:color w:val="FFFFFF" w:themeColor="background1"/>
                <w:sz w:val="18"/>
                <w:szCs w:val="18"/>
              </w:rPr>
            </w:pPr>
            <w:r w:rsidRPr="00881036">
              <w:rPr>
                <w:color w:val="FFFFFF" w:themeColor="background1"/>
                <w:sz w:val="18"/>
                <w:szCs w:val="18"/>
              </w:rPr>
              <w:t>Decreased Susceptibility</w:t>
            </w:r>
          </w:p>
        </w:tc>
        <w:tc>
          <w:tcPr>
            <w:tcW w:w="7754" w:type="dxa"/>
            <w:gridSpan w:val="6"/>
            <w:tcBorders>
              <w:left w:val="single" w:sz="4" w:space="0" w:color="auto"/>
              <w:bottom w:val="single" w:sz="4" w:space="0" w:color="auto"/>
            </w:tcBorders>
            <w:shd w:val="clear" w:color="auto" w:fill="595959" w:themeFill="text1" w:themeFillTint="A6"/>
            <w:hideMark/>
          </w:tcPr>
          <w:p w14:paraId="75D4845F" w14:textId="77777777" w:rsidR="006147C0" w:rsidRPr="00881036" w:rsidRDefault="006147C0" w:rsidP="00F944EB">
            <w:pPr>
              <w:pStyle w:val="NormalWeb"/>
              <w:jc w:val="center"/>
              <w:rPr>
                <w:color w:val="FFFFFF" w:themeColor="background1"/>
                <w:sz w:val="18"/>
                <w:szCs w:val="18"/>
              </w:rPr>
            </w:pPr>
            <w:r w:rsidRPr="00881036">
              <w:rPr>
                <w:color w:val="FFFFFF" w:themeColor="background1"/>
                <w:sz w:val="18"/>
                <w:szCs w:val="18"/>
              </w:rPr>
              <w:t>Resistance</w:t>
            </w:r>
          </w:p>
        </w:tc>
      </w:tr>
      <w:tr w:rsidR="00E53875" w:rsidRPr="00881036" w14:paraId="090A34CB" w14:textId="77777777" w:rsidTr="00F944EB">
        <w:trPr>
          <w:cnfStyle w:val="100000000000" w:firstRow="1" w:lastRow="0" w:firstColumn="0" w:lastColumn="0" w:oddVBand="0" w:evenVBand="0" w:oddHBand="0" w:evenHBand="0" w:firstRowFirstColumn="0" w:firstRowLastColumn="0" w:lastRowFirstColumn="0" w:lastRowLastColumn="0"/>
          <w:tblHeader/>
        </w:trPr>
        <w:tc>
          <w:tcPr>
            <w:tcW w:w="2660" w:type="dxa"/>
            <w:vMerge/>
            <w:tcBorders>
              <w:right w:val="single" w:sz="4" w:space="0" w:color="auto"/>
            </w:tcBorders>
            <w:shd w:val="clear" w:color="auto" w:fill="595959" w:themeFill="text1" w:themeFillTint="A6"/>
            <w:hideMark/>
          </w:tcPr>
          <w:p w14:paraId="6564214B" w14:textId="77777777" w:rsidR="006147C0" w:rsidRPr="00881036" w:rsidRDefault="006147C0">
            <w:pPr>
              <w:rPr>
                <w:color w:val="FFFFFF" w:themeColor="background1"/>
                <w:sz w:val="18"/>
                <w:szCs w:val="18"/>
              </w:rPr>
            </w:pPr>
          </w:p>
        </w:tc>
        <w:tc>
          <w:tcPr>
            <w:tcW w:w="1876" w:type="dxa"/>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4D5E2492" w14:textId="77777777" w:rsidR="006147C0" w:rsidRPr="00881036" w:rsidRDefault="006147C0" w:rsidP="00F944EB">
            <w:pPr>
              <w:pStyle w:val="NormalWeb"/>
              <w:jc w:val="center"/>
              <w:rPr>
                <w:color w:val="FFFFFF" w:themeColor="background1"/>
                <w:sz w:val="18"/>
                <w:szCs w:val="18"/>
              </w:rPr>
            </w:pPr>
            <w:r w:rsidRPr="00881036">
              <w:rPr>
                <w:color w:val="FFFFFF" w:themeColor="background1"/>
                <w:sz w:val="18"/>
                <w:szCs w:val="18"/>
              </w:rPr>
              <w:t>Q1, 2018</w:t>
            </w:r>
          </w:p>
        </w:tc>
        <w:tc>
          <w:tcPr>
            <w:tcW w:w="269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2FADC537" w14:textId="77777777" w:rsidR="006147C0" w:rsidRPr="00881036" w:rsidRDefault="006147C0" w:rsidP="00F944EB">
            <w:pPr>
              <w:pStyle w:val="NormalWeb"/>
              <w:jc w:val="center"/>
              <w:rPr>
                <w:color w:val="FFFFFF" w:themeColor="background1"/>
                <w:sz w:val="18"/>
                <w:szCs w:val="18"/>
              </w:rPr>
            </w:pPr>
            <w:r w:rsidRPr="00881036">
              <w:rPr>
                <w:color w:val="FFFFFF" w:themeColor="background1"/>
                <w:sz w:val="18"/>
                <w:szCs w:val="18"/>
              </w:rPr>
              <w:t>Ceftriaxone</w:t>
            </w:r>
            <w:r w:rsidR="00E53875" w:rsidRPr="00881036">
              <w:rPr>
                <w:color w:val="FFFFFF" w:themeColor="background1"/>
                <w:sz w:val="18"/>
                <w:szCs w:val="18"/>
              </w:rPr>
              <w:br/>
            </w:r>
            <w:r w:rsidRPr="00881036">
              <w:rPr>
                <w:color w:val="FFFFFF" w:themeColor="background1"/>
                <w:sz w:val="18"/>
                <w:szCs w:val="18"/>
              </w:rPr>
              <w:t>MIC</w:t>
            </w:r>
            <w:r w:rsidR="00E53875" w:rsidRPr="00881036">
              <w:rPr>
                <w:color w:val="FFFFFF" w:themeColor="background1"/>
                <w:sz w:val="18"/>
                <w:szCs w:val="18"/>
              </w:rPr>
              <w:br/>
            </w:r>
            <w:r w:rsidRPr="00881036">
              <w:rPr>
                <w:color w:val="FFFFFF" w:themeColor="background1"/>
                <w:sz w:val="18"/>
                <w:szCs w:val="18"/>
              </w:rPr>
              <w:t>≥0.06 mg/L</w:t>
            </w:r>
          </w:p>
        </w:tc>
        <w:tc>
          <w:tcPr>
            <w:tcW w:w="1922"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38739018" w14:textId="77777777" w:rsidR="006147C0" w:rsidRPr="00881036" w:rsidRDefault="006147C0" w:rsidP="00F944EB">
            <w:pPr>
              <w:pStyle w:val="NormalWeb"/>
              <w:jc w:val="center"/>
              <w:rPr>
                <w:color w:val="FFFFFF" w:themeColor="background1"/>
                <w:sz w:val="18"/>
                <w:szCs w:val="18"/>
              </w:rPr>
            </w:pPr>
            <w:r w:rsidRPr="00881036">
              <w:rPr>
                <w:color w:val="FFFFFF" w:themeColor="background1"/>
                <w:sz w:val="18"/>
                <w:szCs w:val="18"/>
              </w:rPr>
              <w:t>Azithromycin</w:t>
            </w:r>
            <w:r w:rsidR="00E53875" w:rsidRPr="00881036">
              <w:rPr>
                <w:color w:val="FFFFFF" w:themeColor="background1"/>
                <w:sz w:val="18"/>
                <w:szCs w:val="18"/>
              </w:rPr>
              <w:br/>
            </w:r>
            <w:r w:rsidRPr="00881036">
              <w:rPr>
                <w:color w:val="FFFFFF" w:themeColor="background1"/>
                <w:sz w:val="18"/>
                <w:szCs w:val="18"/>
              </w:rPr>
              <w:t>MIC</w:t>
            </w:r>
            <w:r w:rsidR="00E53875" w:rsidRPr="00881036">
              <w:rPr>
                <w:color w:val="FFFFFF" w:themeColor="background1"/>
                <w:sz w:val="18"/>
                <w:szCs w:val="18"/>
              </w:rPr>
              <w:br/>
            </w:r>
            <w:r w:rsidRPr="00881036">
              <w:rPr>
                <w:color w:val="FFFFFF" w:themeColor="background1"/>
                <w:sz w:val="18"/>
                <w:szCs w:val="18"/>
              </w:rPr>
              <w:t>≥1.0 mg/L</w:t>
            </w:r>
          </w:p>
        </w:tc>
        <w:tc>
          <w:tcPr>
            <w:tcW w:w="263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hideMark/>
          </w:tcPr>
          <w:p w14:paraId="446BBCA3" w14:textId="77777777" w:rsidR="006147C0" w:rsidRPr="00881036" w:rsidRDefault="006147C0" w:rsidP="00F944EB">
            <w:pPr>
              <w:pStyle w:val="NormalWeb"/>
              <w:jc w:val="center"/>
              <w:rPr>
                <w:color w:val="FFFFFF" w:themeColor="background1"/>
                <w:sz w:val="18"/>
                <w:szCs w:val="18"/>
              </w:rPr>
            </w:pPr>
            <w:proofErr w:type="spellStart"/>
            <w:r w:rsidRPr="00881036">
              <w:rPr>
                <w:color w:val="FFFFFF" w:themeColor="background1"/>
                <w:sz w:val="18"/>
                <w:szCs w:val="18"/>
              </w:rPr>
              <w:t>Penicillin</w:t>
            </w:r>
            <w:r w:rsidRPr="00881036">
              <w:rPr>
                <w:color w:val="FFFFFF" w:themeColor="background1"/>
                <w:sz w:val="18"/>
                <w:szCs w:val="18"/>
                <w:vertAlign w:val="superscript"/>
              </w:rPr>
              <w:t>a</w:t>
            </w:r>
            <w:proofErr w:type="spellEnd"/>
            <w:r w:rsidRPr="00881036">
              <w:rPr>
                <w:color w:val="FFFFFF" w:themeColor="background1"/>
                <w:sz w:val="18"/>
                <w:szCs w:val="18"/>
              </w:rPr>
              <w:t xml:space="preserve"> MIC</w:t>
            </w:r>
            <w:r w:rsidR="00E53875" w:rsidRPr="00881036">
              <w:rPr>
                <w:color w:val="FFFFFF" w:themeColor="background1"/>
                <w:sz w:val="18"/>
                <w:szCs w:val="18"/>
              </w:rPr>
              <w:br/>
            </w:r>
            <w:r w:rsidRPr="00881036">
              <w:rPr>
                <w:color w:val="FFFFFF" w:themeColor="background1"/>
                <w:sz w:val="18"/>
                <w:szCs w:val="18"/>
              </w:rPr>
              <w:t>≥1.0 mg/L</w:t>
            </w:r>
          </w:p>
        </w:tc>
        <w:tc>
          <w:tcPr>
            <w:tcW w:w="3193" w:type="dxa"/>
            <w:gridSpan w:val="2"/>
            <w:tcBorders>
              <w:top w:val="single" w:sz="4" w:space="0" w:color="auto"/>
              <w:left w:val="single" w:sz="4" w:space="0" w:color="auto"/>
              <w:bottom w:val="single" w:sz="4" w:space="0" w:color="auto"/>
            </w:tcBorders>
            <w:shd w:val="clear" w:color="auto" w:fill="595959" w:themeFill="text1" w:themeFillTint="A6"/>
            <w:hideMark/>
          </w:tcPr>
          <w:p w14:paraId="7430A3D6" w14:textId="77777777" w:rsidR="006147C0" w:rsidRPr="00881036" w:rsidRDefault="006147C0" w:rsidP="00F944EB">
            <w:pPr>
              <w:pStyle w:val="NormalWeb"/>
              <w:jc w:val="center"/>
              <w:rPr>
                <w:color w:val="FFFFFF" w:themeColor="background1"/>
                <w:sz w:val="18"/>
                <w:szCs w:val="18"/>
              </w:rPr>
            </w:pPr>
            <w:r w:rsidRPr="00881036">
              <w:rPr>
                <w:color w:val="FFFFFF" w:themeColor="background1"/>
                <w:sz w:val="18"/>
                <w:szCs w:val="18"/>
              </w:rPr>
              <w:t>Ciprofloxacin MIC</w:t>
            </w:r>
            <w:r w:rsidR="00E53875" w:rsidRPr="00881036">
              <w:rPr>
                <w:color w:val="FFFFFF" w:themeColor="background1"/>
                <w:sz w:val="18"/>
                <w:szCs w:val="18"/>
              </w:rPr>
              <w:br/>
            </w:r>
            <w:r w:rsidRPr="00881036">
              <w:rPr>
                <w:color w:val="FFFFFF" w:themeColor="background1"/>
                <w:sz w:val="18"/>
                <w:szCs w:val="18"/>
              </w:rPr>
              <w:t>≥1.0 mg/L</w:t>
            </w:r>
          </w:p>
        </w:tc>
      </w:tr>
      <w:tr w:rsidR="0025684D" w:rsidRPr="00881036" w14:paraId="131176FB" w14:textId="77777777" w:rsidTr="00F944EB">
        <w:trPr>
          <w:cnfStyle w:val="100000000000" w:firstRow="1" w:lastRow="0" w:firstColumn="0" w:lastColumn="0" w:oddVBand="0" w:evenVBand="0" w:oddHBand="0" w:evenHBand="0" w:firstRowFirstColumn="0" w:firstRowLastColumn="0" w:lastRowFirstColumn="0" w:lastRowLastColumn="0"/>
          <w:tblHeader/>
        </w:trPr>
        <w:tc>
          <w:tcPr>
            <w:tcW w:w="2660" w:type="dxa"/>
            <w:vMerge/>
            <w:tcBorders>
              <w:right w:val="single" w:sz="4" w:space="0" w:color="auto"/>
            </w:tcBorders>
            <w:shd w:val="clear" w:color="auto" w:fill="595959" w:themeFill="text1" w:themeFillTint="A6"/>
            <w:hideMark/>
          </w:tcPr>
          <w:p w14:paraId="67980086" w14:textId="77777777" w:rsidR="006147C0" w:rsidRPr="00881036" w:rsidRDefault="006147C0">
            <w:pPr>
              <w:rPr>
                <w:color w:val="FFFFFF" w:themeColor="background1"/>
                <w:sz w:val="18"/>
                <w:szCs w:val="18"/>
              </w:rPr>
            </w:pPr>
          </w:p>
        </w:tc>
        <w:tc>
          <w:tcPr>
            <w:tcW w:w="1876" w:type="dxa"/>
            <w:tcBorders>
              <w:top w:val="single" w:sz="4" w:space="0" w:color="auto"/>
              <w:left w:val="single" w:sz="4" w:space="0" w:color="auto"/>
              <w:right w:val="single" w:sz="4" w:space="0" w:color="auto"/>
            </w:tcBorders>
            <w:shd w:val="clear" w:color="auto" w:fill="595959" w:themeFill="text1" w:themeFillTint="A6"/>
            <w:hideMark/>
          </w:tcPr>
          <w:p w14:paraId="4D58F809" w14:textId="77777777" w:rsidR="006147C0" w:rsidRPr="00881036" w:rsidRDefault="006147C0" w:rsidP="00F944EB">
            <w:pPr>
              <w:jc w:val="center"/>
              <w:rPr>
                <w:color w:val="FFFFFF" w:themeColor="background1"/>
                <w:sz w:val="18"/>
                <w:szCs w:val="18"/>
              </w:rPr>
            </w:pPr>
          </w:p>
        </w:tc>
        <w:tc>
          <w:tcPr>
            <w:tcW w:w="1347" w:type="dxa"/>
            <w:tcBorders>
              <w:top w:val="single" w:sz="4" w:space="0" w:color="auto"/>
              <w:left w:val="single" w:sz="4" w:space="0" w:color="auto"/>
              <w:right w:val="single" w:sz="4" w:space="0" w:color="auto"/>
            </w:tcBorders>
            <w:shd w:val="clear" w:color="auto" w:fill="595959" w:themeFill="text1" w:themeFillTint="A6"/>
            <w:hideMark/>
          </w:tcPr>
          <w:p w14:paraId="69304590" w14:textId="77777777" w:rsidR="006147C0" w:rsidRPr="00881036" w:rsidRDefault="006147C0" w:rsidP="00F944EB">
            <w:pPr>
              <w:pStyle w:val="NormalWeb"/>
              <w:jc w:val="center"/>
              <w:rPr>
                <w:color w:val="FFFFFF" w:themeColor="background1"/>
                <w:sz w:val="18"/>
                <w:szCs w:val="18"/>
              </w:rPr>
            </w:pPr>
            <w:r w:rsidRPr="00881036">
              <w:rPr>
                <w:color w:val="FFFFFF" w:themeColor="background1"/>
                <w:sz w:val="18"/>
                <w:szCs w:val="18"/>
              </w:rPr>
              <w:t>n</w:t>
            </w:r>
          </w:p>
        </w:tc>
        <w:tc>
          <w:tcPr>
            <w:tcW w:w="1347" w:type="dxa"/>
            <w:tcBorders>
              <w:top w:val="single" w:sz="4" w:space="0" w:color="auto"/>
              <w:left w:val="single" w:sz="4" w:space="0" w:color="auto"/>
              <w:right w:val="single" w:sz="4" w:space="0" w:color="auto"/>
            </w:tcBorders>
            <w:shd w:val="clear" w:color="auto" w:fill="595959" w:themeFill="text1" w:themeFillTint="A6"/>
            <w:hideMark/>
          </w:tcPr>
          <w:p w14:paraId="7BE98C69" w14:textId="77777777" w:rsidR="006147C0" w:rsidRPr="00881036" w:rsidRDefault="006147C0" w:rsidP="00F944EB">
            <w:pPr>
              <w:pStyle w:val="NormalWeb"/>
              <w:jc w:val="center"/>
              <w:rPr>
                <w:color w:val="FFFFFF" w:themeColor="background1"/>
                <w:sz w:val="18"/>
                <w:szCs w:val="18"/>
              </w:rPr>
            </w:pPr>
            <w:r w:rsidRPr="00881036">
              <w:rPr>
                <w:color w:val="FFFFFF" w:themeColor="background1"/>
                <w:sz w:val="18"/>
                <w:szCs w:val="18"/>
              </w:rPr>
              <w:t>%</w:t>
            </w:r>
          </w:p>
        </w:tc>
        <w:tc>
          <w:tcPr>
            <w:tcW w:w="961" w:type="dxa"/>
            <w:tcBorders>
              <w:top w:val="single" w:sz="4" w:space="0" w:color="auto"/>
              <w:left w:val="single" w:sz="4" w:space="0" w:color="auto"/>
              <w:right w:val="single" w:sz="4" w:space="0" w:color="auto"/>
            </w:tcBorders>
            <w:shd w:val="clear" w:color="auto" w:fill="595959" w:themeFill="text1" w:themeFillTint="A6"/>
            <w:hideMark/>
          </w:tcPr>
          <w:p w14:paraId="49BC95F3" w14:textId="77777777" w:rsidR="006147C0" w:rsidRPr="00881036" w:rsidRDefault="006147C0" w:rsidP="00F944EB">
            <w:pPr>
              <w:pStyle w:val="NormalWeb"/>
              <w:jc w:val="center"/>
              <w:rPr>
                <w:color w:val="FFFFFF" w:themeColor="background1"/>
                <w:sz w:val="18"/>
                <w:szCs w:val="18"/>
              </w:rPr>
            </w:pPr>
            <w:r w:rsidRPr="00881036">
              <w:rPr>
                <w:color w:val="FFFFFF" w:themeColor="background1"/>
                <w:sz w:val="18"/>
                <w:szCs w:val="18"/>
              </w:rPr>
              <w:t>n</w:t>
            </w:r>
          </w:p>
        </w:tc>
        <w:tc>
          <w:tcPr>
            <w:tcW w:w="961" w:type="dxa"/>
            <w:tcBorders>
              <w:top w:val="single" w:sz="4" w:space="0" w:color="auto"/>
              <w:left w:val="single" w:sz="4" w:space="0" w:color="auto"/>
              <w:right w:val="single" w:sz="4" w:space="0" w:color="auto"/>
            </w:tcBorders>
            <w:shd w:val="clear" w:color="auto" w:fill="595959" w:themeFill="text1" w:themeFillTint="A6"/>
            <w:hideMark/>
          </w:tcPr>
          <w:p w14:paraId="62D16437" w14:textId="77777777" w:rsidR="006147C0" w:rsidRPr="00881036" w:rsidRDefault="006147C0" w:rsidP="00F944EB">
            <w:pPr>
              <w:pStyle w:val="NormalWeb"/>
              <w:jc w:val="center"/>
              <w:rPr>
                <w:color w:val="FFFFFF" w:themeColor="background1"/>
                <w:sz w:val="18"/>
                <w:szCs w:val="18"/>
              </w:rPr>
            </w:pPr>
            <w:r w:rsidRPr="00881036">
              <w:rPr>
                <w:color w:val="FFFFFF" w:themeColor="background1"/>
                <w:sz w:val="18"/>
                <w:szCs w:val="18"/>
              </w:rPr>
              <w:t>%</w:t>
            </w:r>
          </w:p>
        </w:tc>
        <w:tc>
          <w:tcPr>
            <w:tcW w:w="1319" w:type="dxa"/>
            <w:tcBorders>
              <w:top w:val="single" w:sz="4" w:space="0" w:color="auto"/>
              <w:left w:val="single" w:sz="4" w:space="0" w:color="auto"/>
              <w:right w:val="single" w:sz="4" w:space="0" w:color="auto"/>
            </w:tcBorders>
            <w:shd w:val="clear" w:color="auto" w:fill="595959" w:themeFill="text1" w:themeFillTint="A6"/>
            <w:hideMark/>
          </w:tcPr>
          <w:p w14:paraId="15FE8320" w14:textId="77777777" w:rsidR="006147C0" w:rsidRPr="00881036" w:rsidRDefault="006147C0" w:rsidP="00F944EB">
            <w:pPr>
              <w:pStyle w:val="NormalWeb"/>
              <w:jc w:val="center"/>
              <w:rPr>
                <w:color w:val="FFFFFF" w:themeColor="background1"/>
                <w:sz w:val="18"/>
                <w:szCs w:val="18"/>
              </w:rPr>
            </w:pPr>
            <w:r w:rsidRPr="00881036">
              <w:rPr>
                <w:color w:val="FFFFFF" w:themeColor="background1"/>
                <w:sz w:val="18"/>
                <w:szCs w:val="18"/>
              </w:rPr>
              <w:t>n</w:t>
            </w:r>
          </w:p>
        </w:tc>
        <w:tc>
          <w:tcPr>
            <w:tcW w:w="1320" w:type="dxa"/>
            <w:tcBorders>
              <w:top w:val="single" w:sz="4" w:space="0" w:color="auto"/>
              <w:left w:val="single" w:sz="4" w:space="0" w:color="auto"/>
              <w:right w:val="single" w:sz="4" w:space="0" w:color="auto"/>
            </w:tcBorders>
            <w:shd w:val="clear" w:color="auto" w:fill="595959" w:themeFill="text1" w:themeFillTint="A6"/>
            <w:hideMark/>
          </w:tcPr>
          <w:p w14:paraId="5FF920BD" w14:textId="77777777" w:rsidR="006147C0" w:rsidRPr="00881036" w:rsidRDefault="006147C0" w:rsidP="00F944EB">
            <w:pPr>
              <w:pStyle w:val="NormalWeb"/>
              <w:jc w:val="center"/>
              <w:rPr>
                <w:color w:val="FFFFFF" w:themeColor="background1"/>
                <w:sz w:val="18"/>
                <w:szCs w:val="18"/>
              </w:rPr>
            </w:pPr>
            <w:r w:rsidRPr="00881036">
              <w:rPr>
                <w:color w:val="FFFFFF" w:themeColor="background1"/>
                <w:sz w:val="18"/>
                <w:szCs w:val="18"/>
              </w:rPr>
              <w:t>%</w:t>
            </w:r>
          </w:p>
        </w:tc>
        <w:tc>
          <w:tcPr>
            <w:tcW w:w="1596" w:type="dxa"/>
            <w:tcBorders>
              <w:top w:val="single" w:sz="4" w:space="0" w:color="auto"/>
              <w:left w:val="single" w:sz="4" w:space="0" w:color="auto"/>
              <w:right w:val="single" w:sz="4" w:space="0" w:color="auto"/>
            </w:tcBorders>
            <w:shd w:val="clear" w:color="auto" w:fill="595959" w:themeFill="text1" w:themeFillTint="A6"/>
            <w:hideMark/>
          </w:tcPr>
          <w:p w14:paraId="7369E2C0" w14:textId="77777777" w:rsidR="006147C0" w:rsidRPr="00881036" w:rsidRDefault="006147C0" w:rsidP="00F944EB">
            <w:pPr>
              <w:pStyle w:val="NormalWeb"/>
              <w:jc w:val="center"/>
              <w:rPr>
                <w:color w:val="FFFFFF" w:themeColor="background1"/>
                <w:sz w:val="18"/>
                <w:szCs w:val="18"/>
              </w:rPr>
            </w:pPr>
            <w:r w:rsidRPr="00881036">
              <w:rPr>
                <w:color w:val="FFFFFF" w:themeColor="background1"/>
                <w:sz w:val="18"/>
                <w:szCs w:val="18"/>
              </w:rPr>
              <w:t>n</w:t>
            </w:r>
          </w:p>
        </w:tc>
        <w:tc>
          <w:tcPr>
            <w:tcW w:w="1597" w:type="dxa"/>
            <w:tcBorders>
              <w:top w:val="single" w:sz="4" w:space="0" w:color="auto"/>
              <w:left w:val="single" w:sz="4" w:space="0" w:color="auto"/>
            </w:tcBorders>
            <w:shd w:val="clear" w:color="auto" w:fill="595959" w:themeFill="text1" w:themeFillTint="A6"/>
            <w:hideMark/>
          </w:tcPr>
          <w:p w14:paraId="402CD5C3" w14:textId="77777777" w:rsidR="006147C0" w:rsidRPr="00881036" w:rsidRDefault="006147C0" w:rsidP="00F944EB">
            <w:pPr>
              <w:pStyle w:val="NormalWeb"/>
              <w:jc w:val="center"/>
              <w:rPr>
                <w:color w:val="FFFFFF" w:themeColor="background1"/>
                <w:sz w:val="18"/>
                <w:szCs w:val="18"/>
              </w:rPr>
            </w:pPr>
            <w:r w:rsidRPr="00881036">
              <w:rPr>
                <w:color w:val="FFFFFF" w:themeColor="background1"/>
                <w:sz w:val="18"/>
                <w:szCs w:val="18"/>
              </w:rPr>
              <w:t>%</w:t>
            </w:r>
          </w:p>
        </w:tc>
      </w:tr>
      <w:tr w:rsidR="00E53875" w:rsidRPr="00881036" w14:paraId="3F391546" w14:textId="77777777" w:rsidTr="00F944EB">
        <w:trPr>
          <w:trHeight w:val="439"/>
        </w:trPr>
        <w:tc>
          <w:tcPr>
            <w:tcW w:w="2660" w:type="dxa"/>
            <w:tcBorders>
              <w:right w:val="single" w:sz="4" w:space="0" w:color="auto"/>
            </w:tcBorders>
            <w:vAlign w:val="center"/>
            <w:hideMark/>
          </w:tcPr>
          <w:p w14:paraId="200E2632" w14:textId="77777777" w:rsidR="006147C0" w:rsidRPr="00881036" w:rsidRDefault="006147C0" w:rsidP="00F944EB">
            <w:pPr>
              <w:pStyle w:val="NormalWeb"/>
              <w:rPr>
                <w:sz w:val="18"/>
                <w:szCs w:val="18"/>
              </w:rPr>
            </w:pPr>
            <w:r w:rsidRPr="00881036">
              <w:rPr>
                <w:sz w:val="18"/>
                <w:szCs w:val="18"/>
              </w:rPr>
              <w:t>Australian Capital Territory</w:t>
            </w:r>
          </w:p>
        </w:tc>
        <w:tc>
          <w:tcPr>
            <w:tcW w:w="1876" w:type="dxa"/>
            <w:tcBorders>
              <w:left w:val="single" w:sz="4" w:space="0" w:color="auto"/>
              <w:right w:val="single" w:sz="4" w:space="0" w:color="auto"/>
            </w:tcBorders>
            <w:vAlign w:val="center"/>
            <w:hideMark/>
          </w:tcPr>
          <w:p w14:paraId="59DC09AE" w14:textId="77777777" w:rsidR="006147C0" w:rsidRPr="00881036" w:rsidRDefault="006147C0" w:rsidP="00F944EB">
            <w:pPr>
              <w:pStyle w:val="NormalWeb"/>
              <w:jc w:val="center"/>
              <w:rPr>
                <w:sz w:val="18"/>
                <w:szCs w:val="18"/>
              </w:rPr>
            </w:pPr>
            <w:r w:rsidRPr="00881036">
              <w:rPr>
                <w:sz w:val="18"/>
                <w:szCs w:val="18"/>
              </w:rPr>
              <w:t>58</w:t>
            </w:r>
          </w:p>
        </w:tc>
        <w:tc>
          <w:tcPr>
            <w:tcW w:w="1347" w:type="dxa"/>
            <w:tcBorders>
              <w:left w:val="single" w:sz="4" w:space="0" w:color="auto"/>
            </w:tcBorders>
            <w:vAlign w:val="center"/>
            <w:hideMark/>
          </w:tcPr>
          <w:p w14:paraId="696C36EB" w14:textId="77777777" w:rsidR="006147C0" w:rsidRPr="00881036" w:rsidRDefault="006147C0" w:rsidP="00F944EB">
            <w:pPr>
              <w:pStyle w:val="NormalWeb"/>
              <w:jc w:val="center"/>
              <w:rPr>
                <w:sz w:val="18"/>
                <w:szCs w:val="18"/>
              </w:rPr>
            </w:pPr>
            <w:r w:rsidRPr="00881036">
              <w:rPr>
                <w:sz w:val="18"/>
                <w:szCs w:val="18"/>
              </w:rPr>
              <w:t>0</w:t>
            </w:r>
          </w:p>
        </w:tc>
        <w:tc>
          <w:tcPr>
            <w:tcW w:w="1347" w:type="dxa"/>
            <w:tcBorders>
              <w:right w:val="single" w:sz="4" w:space="0" w:color="auto"/>
            </w:tcBorders>
            <w:vAlign w:val="center"/>
            <w:hideMark/>
          </w:tcPr>
          <w:p w14:paraId="7783C5FC" w14:textId="77777777" w:rsidR="006147C0" w:rsidRPr="00881036" w:rsidRDefault="006147C0" w:rsidP="00F944EB">
            <w:pPr>
              <w:pStyle w:val="NormalWeb"/>
              <w:jc w:val="center"/>
              <w:rPr>
                <w:sz w:val="18"/>
                <w:szCs w:val="18"/>
              </w:rPr>
            </w:pPr>
            <w:r w:rsidRPr="00881036">
              <w:rPr>
                <w:sz w:val="18"/>
                <w:szCs w:val="18"/>
              </w:rPr>
              <w:t>0</w:t>
            </w:r>
          </w:p>
        </w:tc>
        <w:tc>
          <w:tcPr>
            <w:tcW w:w="961" w:type="dxa"/>
            <w:tcBorders>
              <w:left w:val="single" w:sz="4" w:space="0" w:color="auto"/>
            </w:tcBorders>
            <w:vAlign w:val="center"/>
            <w:hideMark/>
          </w:tcPr>
          <w:p w14:paraId="154F54FA" w14:textId="77777777" w:rsidR="006147C0" w:rsidRPr="00881036" w:rsidRDefault="006147C0" w:rsidP="00F944EB">
            <w:pPr>
              <w:pStyle w:val="NormalWeb"/>
              <w:jc w:val="center"/>
              <w:rPr>
                <w:sz w:val="18"/>
                <w:szCs w:val="18"/>
              </w:rPr>
            </w:pPr>
            <w:r w:rsidRPr="00881036">
              <w:rPr>
                <w:sz w:val="18"/>
                <w:szCs w:val="18"/>
              </w:rPr>
              <w:t>4</w:t>
            </w:r>
          </w:p>
        </w:tc>
        <w:tc>
          <w:tcPr>
            <w:tcW w:w="961" w:type="dxa"/>
            <w:tcBorders>
              <w:right w:val="single" w:sz="4" w:space="0" w:color="auto"/>
            </w:tcBorders>
            <w:vAlign w:val="center"/>
            <w:hideMark/>
          </w:tcPr>
          <w:p w14:paraId="1F7BBB30" w14:textId="77777777" w:rsidR="006147C0" w:rsidRPr="00881036" w:rsidRDefault="006147C0" w:rsidP="00F944EB">
            <w:pPr>
              <w:pStyle w:val="NormalWeb"/>
              <w:jc w:val="center"/>
              <w:rPr>
                <w:sz w:val="18"/>
                <w:szCs w:val="18"/>
              </w:rPr>
            </w:pPr>
            <w:r w:rsidRPr="00881036">
              <w:rPr>
                <w:sz w:val="18"/>
                <w:szCs w:val="18"/>
              </w:rPr>
              <w:t>6.9</w:t>
            </w:r>
          </w:p>
        </w:tc>
        <w:tc>
          <w:tcPr>
            <w:tcW w:w="1319" w:type="dxa"/>
            <w:tcBorders>
              <w:left w:val="single" w:sz="4" w:space="0" w:color="auto"/>
            </w:tcBorders>
            <w:vAlign w:val="center"/>
            <w:hideMark/>
          </w:tcPr>
          <w:p w14:paraId="68C8D509" w14:textId="77777777" w:rsidR="006147C0" w:rsidRPr="00881036" w:rsidRDefault="006147C0" w:rsidP="00F944EB">
            <w:pPr>
              <w:pStyle w:val="NormalWeb"/>
              <w:jc w:val="center"/>
              <w:rPr>
                <w:sz w:val="18"/>
                <w:szCs w:val="18"/>
              </w:rPr>
            </w:pPr>
            <w:r w:rsidRPr="00881036">
              <w:rPr>
                <w:sz w:val="18"/>
                <w:szCs w:val="18"/>
              </w:rPr>
              <w:t>6</w:t>
            </w:r>
          </w:p>
        </w:tc>
        <w:tc>
          <w:tcPr>
            <w:tcW w:w="1320" w:type="dxa"/>
            <w:tcBorders>
              <w:right w:val="single" w:sz="4" w:space="0" w:color="auto"/>
            </w:tcBorders>
            <w:vAlign w:val="center"/>
            <w:hideMark/>
          </w:tcPr>
          <w:p w14:paraId="7BA1A7BD" w14:textId="77777777" w:rsidR="006147C0" w:rsidRPr="00881036" w:rsidRDefault="006147C0" w:rsidP="00F944EB">
            <w:pPr>
              <w:pStyle w:val="NormalWeb"/>
              <w:jc w:val="center"/>
              <w:rPr>
                <w:sz w:val="18"/>
                <w:szCs w:val="18"/>
              </w:rPr>
            </w:pPr>
            <w:r w:rsidRPr="00881036">
              <w:rPr>
                <w:sz w:val="18"/>
                <w:szCs w:val="18"/>
              </w:rPr>
              <w:t>10.3</w:t>
            </w:r>
          </w:p>
        </w:tc>
        <w:tc>
          <w:tcPr>
            <w:tcW w:w="1596" w:type="dxa"/>
            <w:tcBorders>
              <w:left w:val="single" w:sz="4" w:space="0" w:color="auto"/>
            </w:tcBorders>
            <w:vAlign w:val="center"/>
            <w:hideMark/>
          </w:tcPr>
          <w:p w14:paraId="03ACE5F7" w14:textId="77777777" w:rsidR="006147C0" w:rsidRPr="00881036" w:rsidRDefault="006147C0" w:rsidP="00F944EB">
            <w:pPr>
              <w:pStyle w:val="NormalWeb"/>
              <w:jc w:val="center"/>
              <w:rPr>
                <w:sz w:val="18"/>
                <w:szCs w:val="18"/>
              </w:rPr>
            </w:pPr>
            <w:r w:rsidRPr="00881036">
              <w:rPr>
                <w:sz w:val="18"/>
                <w:szCs w:val="18"/>
              </w:rPr>
              <w:t>7</w:t>
            </w:r>
          </w:p>
        </w:tc>
        <w:tc>
          <w:tcPr>
            <w:tcW w:w="1597" w:type="dxa"/>
            <w:tcBorders>
              <w:right w:val="single" w:sz="4" w:space="0" w:color="auto"/>
            </w:tcBorders>
            <w:vAlign w:val="center"/>
            <w:hideMark/>
          </w:tcPr>
          <w:p w14:paraId="1AFEE237" w14:textId="77777777" w:rsidR="006147C0" w:rsidRPr="00881036" w:rsidRDefault="006147C0" w:rsidP="00F944EB">
            <w:pPr>
              <w:pStyle w:val="NormalWeb"/>
              <w:jc w:val="center"/>
              <w:rPr>
                <w:sz w:val="18"/>
                <w:szCs w:val="18"/>
              </w:rPr>
            </w:pPr>
            <w:r w:rsidRPr="00881036">
              <w:rPr>
                <w:sz w:val="18"/>
                <w:szCs w:val="18"/>
              </w:rPr>
              <w:t>12.1</w:t>
            </w:r>
          </w:p>
        </w:tc>
      </w:tr>
      <w:tr w:rsidR="00E53875" w:rsidRPr="00881036" w14:paraId="689A16B1" w14:textId="77777777" w:rsidTr="00F944EB">
        <w:trPr>
          <w:cnfStyle w:val="000000010000" w:firstRow="0" w:lastRow="0" w:firstColumn="0" w:lastColumn="0" w:oddVBand="0" w:evenVBand="0" w:oddHBand="0" w:evenHBand="1" w:firstRowFirstColumn="0" w:firstRowLastColumn="0" w:lastRowFirstColumn="0" w:lastRowLastColumn="0"/>
          <w:trHeight w:val="439"/>
        </w:trPr>
        <w:tc>
          <w:tcPr>
            <w:tcW w:w="2660" w:type="dxa"/>
            <w:tcBorders>
              <w:right w:val="single" w:sz="4" w:space="0" w:color="auto"/>
            </w:tcBorders>
            <w:vAlign w:val="center"/>
            <w:hideMark/>
          </w:tcPr>
          <w:p w14:paraId="0BF1E83D" w14:textId="77777777" w:rsidR="006147C0" w:rsidRPr="00881036" w:rsidRDefault="006147C0" w:rsidP="00F944EB">
            <w:pPr>
              <w:pStyle w:val="NormalWeb"/>
              <w:rPr>
                <w:sz w:val="18"/>
                <w:szCs w:val="18"/>
              </w:rPr>
            </w:pPr>
            <w:r w:rsidRPr="00881036">
              <w:rPr>
                <w:sz w:val="18"/>
                <w:szCs w:val="18"/>
              </w:rPr>
              <w:t>New South Wales</w:t>
            </w:r>
          </w:p>
        </w:tc>
        <w:tc>
          <w:tcPr>
            <w:tcW w:w="1876" w:type="dxa"/>
            <w:tcBorders>
              <w:left w:val="single" w:sz="4" w:space="0" w:color="auto"/>
              <w:right w:val="single" w:sz="4" w:space="0" w:color="auto"/>
            </w:tcBorders>
            <w:vAlign w:val="center"/>
            <w:hideMark/>
          </w:tcPr>
          <w:p w14:paraId="5A671C6A" w14:textId="77777777" w:rsidR="006147C0" w:rsidRPr="00881036" w:rsidRDefault="006147C0" w:rsidP="00F944EB">
            <w:pPr>
              <w:pStyle w:val="NormalWeb"/>
              <w:jc w:val="center"/>
              <w:rPr>
                <w:sz w:val="18"/>
                <w:szCs w:val="18"/>
              </w:rPr>
            </w:pPr>
            <w:r w:rsidRPr="00881036">
              <w:rPr>
                <w:sz w:val="18"/>
                <w:szCs w:val="18"/>
              </w:rPr>
              <w:t>823</w:t>
            </w:r>
          </w:p>
        </w:tc>
        <w:tc>
          <w:tcPr>
            <w:tcW w:w="1347" w:type="dxa"/>
            <w:tcBorders>
              <w:left w:val="single" w:sz="4" w:space="0" w:color="auto"/>
            </w:tcBorders>
            <w:vAlign w:val="center"/>
            <w:hideMark/>
          </w:tcPr>
          <w:p w14:paraId="40B9E773" w14:textId="77777777" w:rsidR="006147C0" w:rsidRPr="00881036" w:rsidRDefault="006147C0" w:rsidP="00F944EB">
            <w:pPr>
              <w:pStyle w:val="NormalWeb"/>
              <w:jc w:val="center"/>
              <w:rPr>
                <w:sz w:val="18"/>
                <w:szCs w:val="18"/>
              </w:rPr>
            </w:pPr>
            <w:r w:rsidRPr="00881036">
              <w:rPr>
                <w:sz w:val="18"/>
                <w:szCs w:val="18"/>
              </w:rPr>
              <w:t>4</w:t>
            </w:r>
          </w:p>
        </w:tc>
        <w:tc>
          <w:tcPr>
            <w:tcW w:w="1347" w:type="dxa"/>
            <w:tcBorders>
              <w:right w:val="single" w:sz="4" w:space="0" w:color="auto"/>
            </w:tcBorders>
            <w:vAlign w:val="center"/>
            <w:hideMark/>
          </w:tcPr>
          <w:p w14:paraId="36F0F18F" w14:textId="77777777" w:rsidR="006147C0" w:rsidRPr="00881036" w:rsidRDefault="006147C0" w:rsidP="00F944EB">
            <w:pPr>
              <w:pStyle w:val="NormalWeb"/>
              <w:jc w:val="center"/>
              <w:rPr>
                <w:sz w:val="18"/>
                <w:szCs w:val="18"/>
              </w:rPr>
            </w:pPr>
            <w:r w:rsidRPr="00881036">
              <w:rPr>
                <w:sz w:val="18"/>
                <w:szCs w:val="18"/>
              </w:rPr>
              <w:t>0.5</w:t>
            </w:r>
          </w:p>
        </w:tc>
        <w:tc>
          <w:tcPr>
            <w:tcW w:w="961" w:type="dxa"/>
            <w:tcBorders>
              <w:left w:val="single" w:sz="4" w:space="0" w:color="auto"/>
            </w:tcBorders>
            <w:vAlign w:val="center"/>
            <w:hideMark/>
          </w:tcPr>
          <w:p w14:paraId="546FB910" w14:textId="77777777" w:rsidR="006147C0" w:rsidRPr="00881036" w:rsidRDefault="006147C0" w:rsidP="00F944EB">
            <w:pPr>
              <w:pStyle w:val="NormalWeb"/>
              <w:jc w:val="center"/>
              <w:rPr>
                <w:sz w:val="18"/>
                <w:szCs w:val="18"/>
              </w:rPr>
            </w:pPr>
            <w:r w:rsidRPr="00881036">
              <w:rPr>
                <w:sz w:val="18"/>
                <w:szCs w:val="18"/>
              </w:rPr>
              <w:t>45</w:t>
            </w:r>
          </w:p>
        </w:tc>
        <w:tc>
          <w:tcPr>
            <w:tcW w:w="961" w:type="dxa"/>
            <w:tcBorders>
              <w:right w:val="single" w:sz="4" w:space="0" w:color="auto"/>
            </w:tcBorders>
            <w:vAlign w:val="center"/>
            <w:hideMark/>
          </w:tcPr>
          <w:p w14:paraId="5D1B8AE7" w14:textId="77777777" w:rsidR="006147C0" w:rsidRPr="00881036" w:rsidRDefault="006147C0" w:rsidP="00F944EB">
            <w:pPr>
              <w:pStyle w:val="NormalWeb"/>
              <w:jc w:val="center"/>
              <w:rPr>
                <w:sz w:val="18"/>
                <w:szCs w:val="18"/>
              </w:rPr>
            </w:pPr>
            <w:r w:rsidRPr="00881036">
              <w:rPr>
                <w:sz w:val="18"/>
                <w:szCs w:val="18"/>
              </w:rPr>
              <w:t>5.5</w:t>
            </w:r>
          </w:p>
        </w:tc>
        <w:tc>
          <w:tcPr>
            <w:tcW w:w="1319" w:type="dxa"/>
            <w:tcBorders>
              <w:left w:val="single" w:sz="4" w:space="0" w:color="auto"/>
            </w:tcBorders>
            <w:vAlign w:val="center"/>
            <w:hideMark/>
          </w:tcPr>
          <w:p w14:paraId="04ACB5EF" w14:textId="77777777" w:rsidR="006147C0" w:rsidRPr="00881036" w:rsidRDefault="006147C0" w:rsidP="00F944EB">
            <w:pPr>
              <w:pStyle w:val="NormalWeb"/>
              <w:jc w:val="center"/>
              <w:rPr>
                <w:sz w:val="18"/>
                <w:szCs w:val="18"/>
              </w:rPr>
            </w:pPr>
            <w:r w:rsidRPr="00881036">
              <w:rPr>
                <w:sz w:val="18"/>
                <w:szCs w:val="18"/>
              </w:rPr>
              <w:t>206</w:t>
            </w:r>
          </w:p>
        </w:tc>
        <w:tc>
          <w:tcPr>
            <w:tcW w:w="1320" w:type="dxa"/>
            <w:tcBorders>
              <w:right w:val="single" w:sz="4" w:space="0" w:color="auto"/>
            </w:tcBorders>
            <w:vAlign w:val="center"/>
            <w:hideMark/>
          </w:tcPr>
          <w:p w14:paraId="70CC4885" w14:textId="77777777" w:rsidR="006147C0" w:rsidRPr="00881036" w:rsidRDefault="006147C0" w:rsidP="00F944EB">
            <w:pPr>
              <w:pStyle w:val="NormalWeb"/>
              <w:jc w:val="center"/>
              <w:rPr>
                <w:sz w:val="18"/>
                <w:szCs w:val="18"/>
              </w:rPr>
            </w:pPr>
            <w:r w:rsidRPr="00881036">
              <w:rPr>
                <w:sz w:val="18"/>
                <w:szCs w:val="18"/>
              </w:rPr>
              <w:t>25.0</w:t>
            </w:r>
          </w:p>
        </w:tc>
        <w:tc>
          <w:tcPr>
            <w:tcW w:w="1596" w:type="dxa"/>
            <w:tcBorders>
              <w:left w:val="single" w:sz="4" w:space="0" w:color="auto"/>
            </w:tcBorders>
            <w:vAlign w:val="center"/>
            <w:hideMark/>
          </w:tcPr>
          <w:p w14:paraId="68070715" w14:textId="77777777" w:rsidR="006147C0" w:rsidRPr="00881036" w:rsidRDefault="006147C0" w:rsidP="00F944EB">
            <w:pPr>
              <w:pStyle w:val="NormalWeb"/>
              <w:jc w:val="center"/>
              <w:rPr>
                <w:sz w:val="18"/>
                <w:szCs w:val="18"/>
              </w:rPr>
            </w:pPr>
            <w:r w:rsidRPr="00881036">
              <w:rPr>
                <w:sz w:val="18"/>
                <w:szCs w:val="18"/>
              </w:rPr>
              <w:t>243</w:t>
            </w:r>
          </w:p>
        </w:tc>
        <w:tc>
          <w:tcPr>
            <w:tcW w:w="1597" w:type="dxa"/>
            <w:tcBorders>
              <w:right w:val="single" w:sz="4" w:space="0" w:color="auto"/>
            </w:tcBorders>
            <w:vAlign w:val="center"/>
            <w:hideMark/>
          </w:tcPr>
          <w:p w14:paraId="70A798B4" w14:textId="77777777" w:rsidR="006147C0" w:rsidRPr="00881036" w:rsidRDefault="006147C0" w:rsidP="00F944EB">
            <w:pPr>
              <w:pStyle w:val="NormalWeb"/>
              <w:jc w:val="center"/>
              <w:rPr>
                <w:sz w:val="18"/>
                <w:szCs w:val="18"/>
              </w:rPr>
            </w:pPr>
            <w:r w:rsidRPr="00881036">
              <w:rPr>
                <w:sz w:val="18"/>
                <w:szCs w:val="18"/>
              </w:rPr>
              <w:t>29.5</w:t>
            </w:r>
          </w:p>
        </w:tc>
      </w:tr>
      <w:tr w:rsidR="00E53875" w:rsidRPr="00881036" w14:paraId="5F9E831C" w14:textId="77777777" w:rsidTr="00F944EB">
        <w:trPr>
          <w:trHeight w:val="439"/>
        </w:trPr>
        <w:tc>
          <w:tcPr>
            <w:tcW w:w="2660" w:type="dxa"/>
            <w:tcBorders>
              <w:right w:val="single" w:sz="4" w:space="0" w:color="auto"/>
            </w:tcBorders>
            <w:vAlign w:val="center"/>
            <w:hideMark/>
          </w:tcPr>
          <w:p w14:paraId="7A657451" w14:textId="77777777" w:rsidR="006147C0" w:rsidRPr="00881036" w:rsidRDefault="006147C0" w:rsidP="00F944EB">
            <w:pPr>
              <w:pStyle w:val="NormalWeb"/>
              <w:rPr>
                <w:sz w:val="18"/>
                <w:szCs w:val="18"/>
              </w:rPr>
            </w:pPr>
            <w:r w:rsidRPr="00881036">
              <w:rPr>
                <w:sz w:val="18"/>
                <w:szCs w:val="18"/>
              </w:rPr>
              <w:t>Queensland</w:t>
            </w:r>
          </w:p>
        </w:tc>
        <w:tc>
          <w:tcPr>
            <w:tcW w:w="1876" w:type="dxa"/>
            <w:tcBorders>
              <w:left w:val="single" w:sz="4" w:space="0" w:color="auto"/>
              <w:right w:val="single" w:sz="4" w:space="0" w:color="auto"/>
            </w:tcBorders>
            <w:vAlign w:val="center"/>
            <w:hideMark/>
          </w:tcPr>
          <w:p w14:paraId="212C3679" w14:textId="77777777" w:rsidR="006147C0" w:rsidRPr="00881036" w:rsidRDefault="006147C0" w:rsidP="00F944EB">
            <w:pPr>
              <w:pStyle w:val="NormalWeb"/>
              <w:jc w:val="center"/>
              <w:rPr>
                <w:sz w:val="18"/>
                <w:szCs w:val="18"/>
              </w:rPr>
            </w:pPr>
            <w:r w:rsidRPr="00881036">
              <w:rPr>
                <w:sz w:val="18"/>
                <w:szCs w:val="18"/>
              </w:rPr>
              <w:t>300</w:t>
            </w:r>
          </w:p>
        </w:tc>
        <w:tc>
          <w:tcPr>
            <w:tcW w:w="1347" w:type="dxa"/>
            <w:tcBorders>
              <w:left w:val="single" w:sz="4" w:space="0" w:color="auto"/>
            </w:tcBorders>
            <w:vAlign w:val="center"/>
            <w:hideMark/>
          </w:tcPr>
          <w:p w14:paraId="38327AED" w14:textId="77777777" w:rsidR="006147C0" w:rsidRPr="00881036" w:rsidRDefault="006147C0" w:rsidP="00F944EB">
            <w:pPr>
              <w:pStyle w:val="NormalWeb"/>
              <w:jc w:val="center"/>
              <w:rPr>
                <w:sz w:val="18"/>
                <w:szCs w:val="18"/>
              </w:rPr>
            </w:pPr>
            <w:r w:rsidRPr="00881036">
              <w:rPr>
                <w:sz w:val="18"/>
                <w:szCs w:val="18"/>
              </w:rPr>
              <w:t>6</w:t>
            </w:r>
          </w:p>
        </w:tc>
        <w:tc>
          <w:tcPr>
            <w:tcW w:w="1347" w:type="dxa"/>
            <w:tcBorders>
              <w:right w:val="single" w:sz="4" w:space="0" w:color="auto"/>
            </w:tcBorders>
            <w:vAlign w:val="center"/>
            <w:hideMark/>
          </w:tcPr>
          <w:p w14:paraId="03A2AE11" w14:textId="77777777" w:rsidR="006147C0" w:rsidRPr="00881036" w:rsidRDefault="006147C0" w:rsidP="00F944EB">
            <w:pPr>
              <w:pStyle w:val="NormalWeb"/>
              <w:jc w:val="center"/>
              <w:rPr>
                <w:sz w:val="18"/>
                <w:szCs w:val="18"/>
              </w:rPr>
            </w:pPr>
            <w:r w:rsidRPr="00881036">
              <w:rPr>
                <w:sz w:val="18"/>
                <w:szCs w:val="18"/>
              </w:rPr>
              <w:t>2.0</w:t>
            </w:r>
          </w:p>
        </w:tc>
        <w:tc>
          <w:tcPr>
            <w:tcW w:w="961" w:type="dxa"/>
            <w:tcBorders>
              <w:left w:val="single" w:sz="4" w:space="0" w:color="auto"/>
            </w:tcBorders>
            <w:vAlign w:val="center"/>
            <w:hideMark/>
          </w:tcPr>
          <w:p w14:paraId="12FC7F18" w14:textId="77777777" w:rsidR="006147C0" w:rsidRPr="00881036" w:rsidRDefault="006147C0" w:rsidP="00F944EB">
            <w:pPr>
              <w:pStyle w:val="NormalWeb"/>
              <w:jc w:val="center"/>
              <w:rPr>
                <w:sz w:val="18"/>
                <w:szCs w:val="18"/>
              </w:rPr>
            </w:pPr>
            <w:r w:rsidRPr="00881036">
              <w:rPr>
                <w:sz w:val="18"/>
                <w:szCs w:val="18"/>
              </w:rPr>
              <w:t>32</w:t>
            </w:r>
          </w:p>
        </w:tc>
        <w:tc>
          <w:tcPr>
            <w:tcW w:w="961" w:type="dxa"/>
            <w:tcBorders>
              <w:right w:val="single" w:sz="4" w:space="0" w:color="auto"/>
            </w:tcBorders>
            <w:vAlign w:val="center"/>
            <w:hideMark/>
          </w:tcPr>
          <w:p w14:paraId="7BA4890B" w14:textId="77777777" w:rsidR="006147C0" w:rsidRPr="00881036" w:rsidRDefault="006147C0" w:rsidP="00F944EB">
            <w:pPr>
              <w:pStyle w:val="NormalWeb"/>
              <w:jc w:val="center"/>
              <w:rPr>
                <w:sz w:val="18"/>
                <w:szCs w:val="18"/>
              </w:rPr>
            </w:pPr>
            <w:r w:rsidRPr="00881036">
              <w:rPr>
                <w:sz w:val="18"/>
                <w:szCs w:val="18"/>
              </w:rPr>
              <w:t>10.7</w:t>
            </w:r>
          </w:p>
        </w:tc>
        <w:tc>
          <w:tcPr>
            <w:tcW w:w="1319" w:type="dxa"/>
            <w:tcBorders>
              <w:left w:val="single" w:sz="4" w:space="0" w:color="auto"/>
            </w:tcBorders>
            <w:vAlign w:val="center"/>
            <w:hideMark/>
          </w:tcPr>
          <w:p w14:paraId="722A5637" w14:textId="77777777" w:rsidR="006147C0" w:rsidRPr="00881036" w:rsidRDefault="006147C0" w:rsidP="00F944EB">
            <w:pPr>
              <w:pStyle w:val="NormalWeb"/>
              <w:jc w:val="center"/>
              <w:rPr>
                <w:sz w:val="18"/>
                <w:szCs w:val="18"/>
              </w:rPr>
            </w:pPr>
            <w:r w:rsidRPr="00881036">
              <w:rPr>
                <w:sz w:val="18"/>
                <w:szCs w:val="18"/>
              </w:rPr>
              <w:t>81</w:t>
            </w:r>
          </w:p>
        </w:tc>
        <w:tc>
          <w:tcPr>
            <w:tcW w:w="1320" w:type="dxa"/>
            <w:tcBorders>
              <w:right w:val="single" w:sz="4" w:space="0" w:color="auto"/>
            </w:tcBorders>
            <w:vAlign w:val="center"/>
            <w:hideMark/>
          </w:tcPr>
          <w:p w14:paraId="5D3A797C" w14:textId="77777777" w:rsidR="006147C0" w:rsidRPr="00881036" w:rsidRDefault="006147C0" w:rsidP="00F944EB">
            <w:pPr>
              <w:pStyle w:val="NormalWeb"/>
              <w:jc w:val="center"/>
              <w:rPr>
                <w:sz w:val="18"/>
                <w:szCs w:val="18"/>
              </w:rPr>
            </w:pPr>
            <w:r w:rsidRPr="00881036">
              <w:rPr>
                <w:sz w:val="18"/>
                <w:szCs w:val="18"/>
              </w:rPr>
              <w:t>27.0</w:t>
            </w:r>
          </w:p>
        </w:tc>
        <w:tc>
          <w:tcPr>
            <w:tcW w:w="1596" w:type="dxa"/>
            <w:tcBorders>
              <w:left w:val="single" w:sz="4" w:space="0" w:color="auto"/>
            </w:tcBorders>
            <w:vAlign w:val="center"/>
            <w:hideMark/>
          </w:tcPr>
          <w:p w14:paraId="27536D7B" w14:textId="77777777" w:rsidR="006147C0" w:rsidRPr="00881036" w:rsidRDefault="006147C0" w:rsidP="00F944EB">
            <w:pPr>
              <w:pStyle w:val="NormalWeb"/>
              <w:jc w:val="center"/>
              <w:rPr>
                <w:sz w:val="18"/>
                <w:szCs w:val="18"/>
              </w:rPr>
            </w:pPr>
            <w:r w:rsidRPr="00881036">
              <w:rPr>
                <w:sz w:val="18"/>
                <w:szCs w:val="18"/>
              </w:rPr>
              <w:t>91</w:t>
            </w:r>
          </w:p>
        </w:tc>
        <w:tc>
          <w:tcPr>
            <w:tcW w:w="1597" w:type="dxa"/>
            <w:tcBorders>
              <w:right w:val="single" w:sz="4" w:space="0" w:color="auto"/>
            </w:tcBorders>
            <w:vAlign w:val="center"/>
            <w:hideMark/>
          </w:tcPr>
          <w:p w14:paraId="469BBC95" w14:textId="77777777" w:rsidR="006147C0" w:rsidRPr="00881036" w:rsidRDefault="006147C0" w:rsidP="00F944EB">
            <w:pPr>
              <w:pStyle w:val="NormalWeb"/>
              <w:jc w:val="center"/>
              <w:rPr>
                <w:sz w:val="18"/>
                <w:szCs w:val="18"/>
              </w:rPr>
            </w:pPr>
            <w:r w:rsidRPr="00881036">
              <w:rPr>
                <w:sz w:val="18"/>
                <w:szCs w:val="18"/>
              </w:rPr>
              <w:t>30.3</w:t>
            </w:r>
          </w:p>
        </w:tc>
      </w:tr>
      <w:tr w:rsidR="00E53875" w:rsidRPr="00881036" w14:paraId="13703D62" w14:textId="77777777" w:rsidTr="00F944EB">
        <w:trPr>
          <w:cnfStyle w:val="000000010000" w:firstRow="0" w:lastRow="0" w:firstColumn="0" w:lastColumn="0" w:oddVBand="0" w:evenVBand="0" w:oddHBand="0" w:evenHBand="1" w:firstRowFirstColumn="0" w:firstRowLastColumn="0" w:lastRowFirstColumn="0" w:lastRowLastColumn="0"/>
          <w:trHeight w:val="439"/>
        </w:trPr>
        <w:tc>
          <w:tcPr>
            <w:tcW w:w="2660" w:type="dxa"/>
            <w:tcBorders>
              <w:right w:val="single" w:sz="4" w:space="0" w:color="auto"/>
            </w:tcBorders>
            <w:vAlign w:val="center"/>
            <w:hideMark/>
          </w:tcPr>
          <w:p w14:paraId="5F18A0FC" w14:textId="77777777" w:rsidR="006147C0" w:rsidRPr="00881036" w:rsidRDefault="006147C0" w:rsidP="00F944EB">
            <w:pPr>
              <w:pStyle w:val="NormalWeb"/>
              <w:rPr>
                <w:sz w:val="18"/>
                <w:szCs w:val="18"/>
              </w:rPr>
            </w:pPr>
            <w:r w:rsidRPr="00881036">
              <w:rPr>
                <w:sz w:val="18"/>
                <w:szCs w:val="18"/>
              </w:rPr>
              <w:t>South Australia</w:t>
            </w:r>
          </w:p>
        </w:tc>
        <w:tc>
          <w:tcPr>
            <w:tcW w:w="1876" w:type="dxa"/>
            <w:tcBorders>
              <w:left w:val="single" w:sz="4" w:space="0" w:color="auto"/>
              <w:right w:val="single" w:sz="4" w:space="0" w:color="auto"/>
            </w:tcBorders>
            <w:vAlign w:val="center"/>
            <w:hideMark/>
          </w:tcPr>
          <w:p w14:paraId="4EE4DF41" w14:textId="77777777" w:rsidR="006147C0" w:rsidRPr="00881036" w:rsidRDefault="006147C0" w:rsidP="00F944EB">
            <w:pPr>
              <w:pStyle w:val="NormalWeb"/>
              <w:jc w:val="center"/>
              <w:rPr>
                <w:sz w:val="18"/>
                <w:szCs w:val="18"/>
              </w:rPr>
            </w:pPr>
            <w:r w:rsidRPr="00881036">
              <w:rPr>
                <w:sz w:val="18"/>
                <w:szCs w:val="18"/>
              </w:rPr>
              <w:t>68</w:t>
            </w:r>
          </w:p>
        </w:tc>
        <w:tc>
          <w:tcPr>
            <w:tcW w:w="1347" w:type="dxa"/>
            <w:tcBorders>
              <w:left w:val="single" w:sz="4" w:space="0" w:color="auto"/>
            </w:tcBorders>
            <w:vAlign w:val="center"/>
            <w:hideMark/>
          </w:tcPr>
          <w:p w14:paraId="3D55962F" w14:textId="77777777" w:rsidR="006147C0" w:rsidRPr="00881036" w:rsidRDefault="006147C0" w:rsidP="00F944EB">
            <w:pPr>
              <w:pStyle w:val="NormalWeb"/>
              <w:jc w:val="center"/>
              <w:rPr>
                <w:sz w:val="18"/>
                <w:szCs w:val="18"/>
              </w:rPr>
            </w:pPr>
            <w:r w:rsidRPr="00881036">
              <w:rPr>
                <w:sz w:val="18"/>
                <w:szCs w:val="18"/>
              </w:rPr>
              <w:t>0</w:t>
            </w:r>
          </w:p>
        </w:tc>
        <w:tc>
          <w:tcPr>
            <w:tcW w:w="1347" w:type="dxa"/>
            <w:tcBorders>
              <w:right w:val="single" w:sz="4" w:space="0" w:color="auto"/>
            </w:tcBorders>
            <w:vAlign w:val="center"/>
            <w:hideMark/>
          </w:tcPr>
          <w:p w14:paraId="176F4D30" w14:textId="77777777" w:rsidR="006147C0" w:rsidRPr="00881036" w:rsidRDefault="006147C0" w:rsidP="00F944EB">
            <w:pPr>
              <w:pStyle w:val="NormalWeb"/>
              <w:jc w:val="center"/>
              <w:rPr>
                <w:sz w:val="18"/>
                <w:szCs w:val="18"/>
              </w:rPr>
            </w:pPr>
            <w:r w:rsidRPr="00881036">
              <w:rPr>
                <w:sz w:val="18"/>
                <w:szCs w:val="18"/>
              </w:rPr>
              <w:t>0</w:t>
            </w:r>
          </w:p>
        </w:tc>
        <w:tc>
          <w:tcPr>
            <w:tcW w:w="961" w:type="dxa"/>
            <w:tcBorders>
              <w:left w:val="single" w:sz="4" w:space="0" w:color="auto"/>
            </w:tcBorders>
            <w:vAlign w:val="center"/>
            <w:hideMark/>
          </w:tcPr>
          <w:p w14:paraId="23F0E230" w14:textId="77777777" w:rsidR="006147C0" w:rsidRPr="00881036" w:rsidRDefault="006147C0" w:rsidP="00F944EB">
            <w:pPr>
              <w:pStyle w:val="NormalWeb"/>
              <w:jc w:val="center"/>
              <w:rPr>
                <w:sz w:val="18"/>
                <w:szCs w:val="18"/>
              </w:rPr>
            </w:pPr>
            <w:r w:rsidRPr="00881036">
              <w:rPr>
                <w:sz w:val="18"/>
                <w:szCs w:val="18"/>
              </w:rPr>
              <w:t>3</w:t>
            </w:r>
          </w:p>
        </w:tc>
        <w:tc>
          <w:tcPr>
            <w:tcW w:w="961" w:type="dxa"/>
            <w:tcBorders>
              <w:right w:val="single" w:sz="4" w:space="0" w:color="auto"/>
            </w:tcBorders>
            <w:vAlign w:val="center"/>
            <w:hideMark/>
          </w:tcPr>
          <w:p w14:paraId="6B22044E" w14:textId="77777777" w:rsidR="006147C0" w:rsidRPr="00881036" w:rsidRDefault="006147C0" w:rsidP="00F944EB">
            <w:pPr>
              <w:pStyle w:val="NormalWeb"/>
              <w:jc w:val="center"/>
              <w:rPr>
                <w:sz w:val="18"/>
                <w:szCs w:val="18"/>
              </w:rPr>
            </w:pPr>
            <w:r w:rsidRPr="00881036">
              <w:rPr>
                <w:sz w:val="18"/>
                <w:szCs w:val="18"/>
              </w:rPr>
              <w:t>4.4</w:t>
            </w:r>
          </w:p>
        </w:tc>
        <w:tc>
          <w:tcPr>
            <w:tcW w:w="1319" w:type="dxa"/>
            <w:tcBorders>
              <w:left w:val="single" w:sz="4" w:space="0" w:color="auto"/>
            </w:tcBorders>
            <w:vAlign w:val="center"/>
            <w:hideMark/>
          </w:tcPr>
          <w:p w14:paraId="130C1F5F" w14:textId="77777777" w:rsidR="006147C0" w:rsidRPr="00881036" w:rsidRDefault="006147C0" w:rsidP="00F944EB">
            <w:pPr>
              <w:pStyle w:val="NormalWeb"/>
              <w:jc w:val="center"/>
              <w:rPr>
                <w:sz w:val="18"/>
                <w:szCs w:val="18"/>
              </w:rPr>
            </w:pPr>
            <w:r w:rsidRPr="00881036">
              <w:rPr>
                <w:sz w:val="18"/>
                <w:szCs w:val="18"/>
              </w:rPr>
              <w:t>31</w:t>
            </w:r>
          </w:p>
        </w:tc>
        <w:tc>
          <w:tcPr>
            <w:tcW w:w="1320" w:type="dxa"/>
            <w:tcBorders>
              <w:right w:val="single" w:sz="4" w:space="0" w:color="auto"/>
            </w:tcBorders>
            <w:vAlign w:val="center"/>
            <w:hideMark/>
          </w:tcPr>
          <w:p w14:paraId="531C3CE1" w14:textId="77777777" w:rsidR="006147C0" w:rsidRPr="00881036" w:rsidRDefault="006147C0" w:rsidP="00F944EB">
            <w:pPr>
              <w:pStyle w:val="NormalWeb"/>
              <w:jc w:val="center"/>
              <w:rPr>
                <w:sz w:val="18"/>
                <w:szCs w:val="18"/>
              </w:rPr>
            </w:pPr>
            <w:r w:rsidRPr="00881036">
              <w:rPr>
                <w:sz w:val="18"/>
                <w:szCs w:val="18"/>
              </w:rPr>
              <w:t>45.6</w:t>
            </w:r>
          </w:p>
        </w:tc>
        <w:tc>
          <w:tcPr>
            <w:tcW w:w="1596" w:type="dxa"/>
            <w:tcBorders>
              <w:left w:val="single" w:sz="4" w:space="0" w:color="auto"/>
            </w:tcBorders>
            <w:vAlign w:val="center"/>
            <w:hideMark/>
          </w:tcPr>
          <w:p w14:paraId="7D585482" w14:textId="77777777" w:rsidR="006147C0" w:rsidRPr="00881036" w:rsidRDefault="006147C0" w:rsidP="00F944EB">
            <w:pPr>
              <w:pStyle w:val="NormalWeb"/>
              <w:jc w:val="center"/>
              <w:rPr>
                <w:sz w:val="18"/>
                <w:szCs w:val="18"/>
              </w:rPr>
            </w:pPr>
            <w:r w:rsidRPr="00881036">
              <w:rPr>
                <w:sz w:val="18"/>
                <w:szCs w:val="18"/>
              </w:rPr>
              <w:t>36</w:t>
            </w:r>
          </w:p>
        </w:tc>
        <w:tc>
          <w:tcPr>
            <w:tcW w:w="1597" w:type="dxa"/>
            <w:tcBorders>
              <w:right w:val="single" w:sz="4" w:space="0" w:color="auto"/>
            </w:tcBorders>
            <w:vAlign w:val="center"/>
            <w:hideMark/>
          </w:tcPr>
          <w:p w14:paraId="40AEF816" w14:textId="77777777" w:rsidR="006147C0" w:rsidRPr="00881036" w:rsidRDefault="006147C0" w:rsidP="00F944EB">
            <w:pPr>
              <w:pStyle w:val="NormalWeb"/>
              <w:jc w:val="center"/>
              <w:rPr>
                <w:sz w:val="18"/>
                <w:szCs w:val="18"/>
              </w:rPr>
            </w:pPr>
            <w:r w:rsidRPr="00881036">
              <w:rPr>
                <w:sz w:val="18"/>
                <w:szCs w:val="18"/>
              </w:rPr>
              <w:t>52.9</w:t>
            </w:r>
          </w:p>
        </w:tc>
      </w:tr>
      <w:tr w:rsidR="00E53875" w:rsidRPr="00881036" w14:paraId="4E55DA4E" w14:textId="77777777" w:rsidTr="00F944EB">
        <w:trPr>
          <w:trHeight w:val="439"/>
        </w:trPr>
        <w:tc>
          <w:tcPr>
            <w:tcW w:w="2660" w:type="dxa"/>
            <w:tcBorders>
              <w:right w:val="single" w:sz="4" w:space="0" w:color="auto"/>
            </w:tcBorders>
            <w:vAlign w:val="center"/>
            <w:hideMark/>
          </w:tcPr>
          <w:p w14:paraId="53EFA6D3" w14:textId="77777777" w:rsidR="006147C0" w:rsidRPr="00881036" w:rsidRDefault="006147C0" w:rsidP="00F944EB">
            <w:pPr>
              <w:pStyle w:val="NormalWeb"/>
              <w:rPr>
                <w:sz w:val="18"/>
                <w:szCs w:val="18"/>
              </w:rPr>
            </w:pPr>
            <w:r w:rsidRPr="00881036">
              <w:rPr>
                <w:sz w:val="18"/>
                <w:szCs w:val="18"/>
              </w:rPr>
              <w:t>Tasmania</w:t>
            </w:r>
          </w:p>
        </w:tc>
        <w:tc>
          <w:tcPr>
            <w:tcW w:w="1876" w:type="dxa"/>
            <w:tcBorders>
              <w:left w:val="single" w:sz="4" w:space="0" w:color="auto"/>
              <w:right w:val="single" w:sz="4" w:space="0" w:color="auto"/>
            </w:tcBorders>
            <w:vAlign w:val="center"/>
            <w:hideMark/>
          </w:tcPr>
          <w:p w14:paraId="2BDFDEC5" w14:textId="77777777" w:rsidR="006147C0" w:rsidRPr="00881036" w:rsidRDefault="006147C0" w:rsidP="00F944EB">
            <w:pPr>
              <w:pStyle w:val="NormalWeb"/>
              <w:jc w:val="center"/>
              <w:rPr>
                <w:sz w:val="18"/>
                <w:szCs w:val="18"/>
              </w:rPr>
            </w:pPr>
            <w:r w:rsidRPr="00881036">
              <w:rPr>
                <w:sz w:val="18"/>
                <w:szCs w:val="18"/>
              </w:rPr>
              <w:t>11</w:t>
            </w:r>
          </w:p>
        </w:tc>
        <w:tc>
          <w:tcPr>
            <w:tcW w:w="1347" w:type="dxa"/>
            <w:tcBorders>
              <w:left w:val="single" w:sz="4" w:space="0" w:color="auto"/>
            </w:tcBorders>
            <w:vAlign w:val="center"/>
            <w:hideMark/>
          </w:tcPr>
          <w:p w14:paraId="4671F78B" w14:textId="77777777" w:rsidR="006147C0" w:rsidRPr="00881036" w:rsidRDefault="006147C0" w:rsidP="00F944EB">
            <w:pPr>
              <w:pStyle w:val="NormalWeb"/>
              <w:jc w:val="center"/>
              <w:rPr>
                <w:sz w:val="18"/>
                <w:szCs w:val="18"/>
              </w:rPr>
            </w:pPr>
            <w:r w:rsidRPr="00881036">
              <w:rPr>
                <w:sz w:val="18"/>
                <w:szCs w:val="18"/>
              </w:rPr>
              <w:t>1</w:t>
            </w:r>
          </w:p>
        </w:tc>
        <w:tc>
          <w:tcPr>
            <w:tcW w:w="1347" w:type="dxa"/>
            <w:tcBorders>
              <w:right w:val="single" w:sz="4" w:space="0" w:color="auto"/>
            </w:tcBorders>
            <w:vAlign w:val="center"/>
            <w:hideMark/>
          </w:tcPr>
          <w:p w14:paraId="1D327061" w14:textId="77777777" w:rsidR="006147C0" w:rsidRPr="00881036" w:rsidRDefault="006147C0" w:rsidP="00F944EB">
            <w:pPr>
              <w:pStyle w:val="NormalWeb"/>
              <w:jc w:val="center"/>
              <w:rPr>
                <w:sz w:val="18"/>
                <w:szCs w:val="18"/>
              </w:rPr>
            </w:pPr>
            <w:r w:rsidRPr="00881036">
              <w:rPr>
                <w:sz w:val="18"/>
                <w:szCs w:val="18"/>
              </w:rPr>
              <w:t>9.1</w:t>
            </w:r>
          </w:p>
        </w:tc>
        <w:tc>
          <w:tcPr>
            <w:tcW w:w="961" w:type="dxa"/>
            <w:tcBorders>
              <w:left w:val="single" w:sz="4" w:space="0" w:color="auto"/>
            </w:tcBorders>
            <w:vAlign w:val="center"/>
            <w:hideMark/>
          </w:tcPr>
          <w:p w14:paraId="330E0DC2" w14:textId="77777777" w:rsidR="006147C0" w:rsidRPr="00881036" w:rsidRDefault="006147C0" w:rsidP="00F944EB">
            <w:pPr>
              <w:pStyle w:val="NormalWeb"/>
              <w:jc w:val="center"/>
              <w:rPr>
                <w:sz w:val="18"/>
                <w:szCs w:val="18"/>
              </w:rPr>
            </w:pPr>
            <w:r w:rsidRPr="00881036">
              <w:rPr>
                <w:sz w:val="18"/>
                <w:szCs w:val="18"/>
              </w:rPr>
              <w:t>0</w:t>
            </w:r>
          </w:p>
        </w:tc>
        <w:tc>
          <w:tcPr>
            <w:tcW w:w="961" w:type="dxa"/>
            <w:tcBorders>
              <w:right w:val="single" w:sz="4" w:space="0" w:color="auto"/>
            </w:tcBorders>
            <w:vAlign w:val="center"/>
            <w:hideMark/>
          </w:tcPr>
          <w:p w14:paraId="3D32A11F" w14:textId="77777777" w:rsidR="006147C0" w:rsidRPr="00881036" w:rsidRDefault="006147C0" w:rsidP="00F944EB">
            <w:pPr>
              <w:pStyle w:val="NormalWeb"/>
              <w:jc w:val="center"/>
              <w:rPr>
                <w:sz w:val="18"/>
                <w:szCs w:val="18"/>
              </w:rPr>
            </w:pPr>
            <w:r w:rsidRPr="00881036">
              <w:rPr>
                <w:sz w:val="18"/>
                <w:szCs w:val="18"/>
              </w:rPr>
              <w:t>0</w:t>
            </w:r>
          </w:p>
        </w:tc>
        <w:tc>
          <w:tcPr>
            <w:tcW w:w="1319" w:type="dxa"/>
            <w:tcBorders>
              <w:left w:val="single" w:sz="4" w:space="0" w:color="auto"/>
            </w:tcBorders>
            <w:vAlign w:val="center"/>
            <w:hideMark/>
          </w:tcPr>
          <w:p w14:paraId="5A5BED57" w14:textId="77777777" w:rsidR="006147C0" w:rsidRPr="00881036" w:rsidRDefault="006147C0" w:rsidP="00F944EB">
            <w:pPr>
              <w:pStyle w:val="NormalWeb"/>
              <w:jc w:val="center"/>
              <w:rPr>
                <w:sz w:val="18"/>
                <w:szCs w:val="18"/>
              </w:rPr>
            </w:pPr>
            <w:r w:rsidRPr="00881036">
              <w:rPr>
                <w:sz w:val="18"/>
                <w:szCs w:val="18"/>
              </w:rPr>
              <w:t>3</w:t>
            </w:r>
          </w:p>
        </w:tc>
        <w:tc>
          <w:tcPr>
            <w:tcW w:w="1320" w:type="dxa"/>
            <w:tcBorders>
              <w:right w:val="single" w:sz="4" w:space="0" w:color="auto"/>
            </w:tcBorders>
            <w:vAlign w:val="center"/>
            <w:hideMark/>
          </w:tcPr>
          <w:p w14:paraId="13ACFC99" w14:textId="77777777" w:rsidR="006147C0" w:rsidRPr="00881036" w:rsidRDefault="006147C0" w:rsidP="00F944EB">
            <w:pPr>
              <w:pStyle w:val="NormalWeb"/>
              <w:jc w:val="center"/>
              <w:rPr>
                <w:sz w:val="18"/>
                <w:szCs w:val="18"/>
              </w:rPr>
            </w:pPr>
            <w:r w:rsidRPr="00881036">
              <w:rPr>
                <w:sz w:val="18"/>
                <w:szCs w:val="18"/>
              </w:rPr>
              <w:t>27.3</w:t>
            </w:r>
          </w:p>
        </w:tc>
        <w:tc>
          <w:tcPr>
            <w:tcW w:w="1596" w:type="dxa"/>
            <w:tcBorders>
              <w:left w:val="single" w:sz="4" w:space="0" w:color="auto"/>
            </w:tcBorders>
            <w:vAlign w:val="center"/>
            <w:hideMark/>
          </w:tcPr>
          <w:p w14:paraId="6E6332D3" w14:textId="77777777" w:rsidR="006147C0" w:rsidRPr="00881036" w:rsidRDefault="006147C0" w:rsidP="00F944EB">
            <w:pPr>
              <w:pStyle w:val="NormalWeb"/>
              <w:jc w:val="center"/>
              <w:rPr>
                <w:sz w:val="18"/>
                <w:szCs w:val="18"/>
              </w:rPr>
            </w:pPr>
            <w:r w:rsidRPr="00881036">
              <w:rPr>
                <w:sz w:val="18"/>
                <w:szCs w:val="18"/>
              </w:rPr>
              <w:t>2</w:t>
            </w:r>
          </w:p>
        </w:tc>
        <w:tc>
          <w:tcPr>
            <w:tcW w:w="1597" w:type="dxa"/>
            <w:tcBorders>
              <w:right w:val="single" w:sz="4" w:space="0" w:color="auto"/>
            </w:tcBorders>
            <w:vAlign w:val="center"/>
            <w:hideMark/>
          </w:tcPr>
          <w:p w14:paraId="6EA1C029" w14:textId="77777777" w:rsidR="006147C0" w:rsidRPr="00881036" w:rsidRDefault="006147C0" w:rsidP="00F944EB">
            <w:pPr>
              <w:pStyle w:val="NormalWeb"/>
              <w:jc w:val="center"/>
              <w:rPr>
                <w:sz w:val="18"/>
                <w:szCs w:val="18"/>
              </w:rPr>
            </w:pPr>
            <w:r w:rsidRPr="00881036">
              <w:rPr>
                <w:sz w:val="18"/>
                <w:szCs w:val="18"/>
              </w:rPr>
              <w:t>18.2</w:t>
            </w:r>
          </w:p>
        </w:tc>
      </w:tr>
      <w:tr w:rsidR="00E53875" w:rsidRPr="00881036" w14:paraId="47EE1931" w14:textId="77777777" w:rsidTr="00F944EB">
        <w:trPr>
          <w:cnfStyle w:val="000000010000" w:firstRow="0" w:lastRow="0" w:firstColumn="0" w:lastColumn="0" w:oddVBand="0" w:evenVBand="0" w:oddHBand="0" w:evenHBand="1" w:firstRowFirstColumn="0" w:firstRowLastColumn="0" w:lastRowFirstColumn="0" w:lastRowLastColumn="0"/>
          <w:trHeight w:val="440"/>
        </w:trPr>
        <w:tc>
          <w:tcPr>
            <w:tcW w:w="2660" w:type="dxa"/>
            <w:tcBorders>
              <w:right w:val="single" w:sz="4" w:space="0" w:color="auto"/>
            </w:tcBorders>
            <w:vAlign w:val="center"/>
            <w:hideMark/>
          </w:tcPr>
          <w:p w14:paraId="4EA4D473" w14:textId="77777777" w:rsidR="006147C0" w:rsidRPr="00881036" w:rsidRDefault="006147C0" w:rsidP="00F944EB">
            <w:pPr>
              <w:pStyle w:val="NormalWeb"/>
              <w:rPr>
                <w:sz w:val="18"/>
                <w:szCs w:val="18"/>
              </w:rPr>
            </w:pPr>
            <w:r w:rsidRPr="00881036">
              <w:rPr>
                <w:sz w:val="18"/>
                <w:szCs w:val="18"/>
              </w:rPr>
              <w:t>Victoria</w:t>
            </w:r>
          </w:p>
        </w:tc>
        <w:tc>
          <w:tcPr>
            <w:tcW w:w="1876" w:type="dxa"/>
            <w:tcBorders>
              <w:left w:val="single" w:sz="4" w:space="0" w:color="auto"/>
              <w:right w:val="single" w:sz="4" w:space="0" w:color="auto"/>
            </w:tcBorders>
            <w:vAlign w:val="center"/>
            <w:hideMark/>
          </w:tcPr>
          <w:p w14:paraId="2477321F" w14:textId="77777777" w:rsidR="006147C0" w:rsidRPr="00881036" w:rsidRDefault="006147C0" w:rsidP="00F944EB">
            <w:pPr>
              <w:pStyle w:val="NormalWeb"/>
              <w:jc w:val="center"/>
              <w:rPr>
                <w:sz w:val="18"/>
                <w:szCs w:val="18"/>
              </w:rPr>
            </w:pPr>
            <w:r w:rsidRPr="00881036">
              <w:rPr>
                <w:sz w:val="18"/>
                <w:szCs w:val="18"/>
              </w:rPr>
              <w:t>688</w:t>
            </w:r>
          </w:p>
        </w:tc>
        <w:tc>
          <w:tcPr>
            <w:tcW w:w="1347" w:type="dxa"/>
            <w:tcBorders>
              <w:left w:val="single" w:sz="4" w:space="0" w:color="auto"/>
            </w:tcBorders>
            <w:vAlign w:val="center"/>
            <w:hideMark/>
          </w:tcPr>
          <w:p w14:paraId="0BCA89C9" w14:textId="77777777" w:rsidR="006147C0" w:rsidRPr="00881036" w:rsidRDefault="006147C0" w:rsidP="00F944EB">
            <w:pPr>
              <w:pStyle w:val="NormalWeb"/>
              <w:jc w:val="center"/>
              <w:rPr>
                <w:sz w:val="18"/>
                <w:szCs w:val="18"/>
              </w:rPr>
            </w:pPr>
            <w:r w:rsidRPr="00881036">
              <w:rPr>
                <w:sz w:val="18"/>
                <w:szCs w:val="18"/>
              </w:rPr>
              <w:t>23</w:t>
            </w:r>
          </w:p>
        </w:tc>
        <w:tc>
          <w:tcPr>
            <w:tcW w:w="1347" w:type="dxa"/>
            <w:tcBorders>
              <w:right w:val="single" w:sz="4" w:space="0" w:color="auto"/>
            </w:tcBorders>
            <w:vAlign w:val="center"/>
            <w:hideMark/>
          </w:tcPr>
          <w:p w14:paraId="7414922C" w14:textId="77777777" w:rsidR="006147C0" w:rsidRPr="00881036" w:rsidRDefault="006147C0" w:rsidP="00F944EB">
            <w:pPr>
              <w:pStyle w:val="NormalWeb"/>
              <w:jc w:val="center"/>
              <w:rPr>
                <w:sz w:val="18"/>
                <w:szCs w:val="18"/>
              </w:rPr>
            </w:pPr>
            <w:r w:rsidRPr="00881036">
              <w:rPr>
                <w:sz w:val="18"/>
                <w:szCs w:val="18"/>
              </w:rPr>
              <w:t>3.3</w:t>
            </w:r>
          </w:p>
        </w:tc>
        <w:tc>
          <w:tcPr>
            <w:tcW w:w="961" w:type="dxa"/>
            <w:tcBorders>
              <w:left w:val="single" w:sz="4" w:space="0" w:color="auto"/>
            </w:tcBorders>
            <w:vAlign w:val="center"/>
            <w:hideMark/>
          </w:tcPr>
          <w:p w14:paraId="54389DFD" w14:textId="77777777" w:rsidR="006147C0" w:rsidRPr="00881036" w:rsidRDefault="006147C0" w:rsidP="00F944EB">
            <w:pPr>
              <w:pStyle w:val="NormalWeb"/>
              <w:jc w:val="center"/>
              <w:rPr>
                <w:sz w:val="18"/>
                <w:szCs w:val="18"/>
              </w:rPr>
            </w:pPr>
            <w:r w:rsidRPr="00881036">
              <w:rPr>
                <w:sz w:val="18"/>
                <w:szCs w:val="18"/>
              </w:rPr>
              <w:t>44</w:t>
            </w:r>
          </w:p>
        </w:tc>
        <w:tc>
          <w:tcPr>
            <w:tcW w:w="961" w:type="dxa"/>
            <w:tcBorders>
              <w:right w:val="single" w:sz="4" w:space="0" w:color="auto"/>
            </w:tcBorders>
            <w:vAlign w:val="center"/>
            <w:hideMark/>
          </w:tcPr>
          <w:p w14:paraId="1B11E46E" w14:textId="77777777" w:rsidR="006147C0" w:rsidRPr="00881036" w:rsidRDefault="006147C0" w:rsidP="00F944EB">
            <w:pPr>
              <w:pStyle w:val="NormalWeb"/>
              <w:jc w:val="center"/>
              <w:rPr>
                <w:sz w:val="18"/>
                <w:szCs w:val="18"/>
              </w:rPr>
            </w:pPr>
            <w:r w:rsidRPr="00881036">
              <w:rPr>
                <w:sz w:val="18"/>
                <w:szCs w:val="18"/>
              </w:rPr>
              <w:t>6.4</w:t>
            </w:r>
          </w:p>
        </w:tc>
        <w:tc>
          <w:tcPr>
            <w:tcW w:w="1319" w:type="dxa"/>
            <w:tcBorders>
              <w:left w:val="single" w:sz="4" w:space="0" w:color="auto"/>
            </w:tcBorders>
            <w:vAlign w:val="center"/>
            <w:hideMark/>
          </w:tcPr>
          <w:p w14:paraId="18750A8F" w14:textId="77777777" w:rsidR="006147C0" w:rsidRPr="00881036" w:rsidRDefault="006147C0" w:rsidP="00F944EB">
            <w:pPr>
              <w:pStyle w:val="NormalWeb"/>
              <w:jc w:val="center"/>
              <w:rPr>
                <w:sz w:val="18"/>
                <w:szCs w:val="18"/>
              </w:rPr>
            </w:pPr>
            <w:r w:rsidRPr="00881036">
              <w:rPr>
                <w:sz w:val="18"/>
                <w:szCs w:val="18"/>
              </w:rPr>
              <w:t>145</w:t>
            </w:r>
          </w:p>
        </w:tc>
        <w:tc>
          <w:tcPr>
            <w:tcW w:w="1320" w:type="dxa"/>
            <w:tcBorders>
              <w:right w:val="single" w:sz="4" w:space="0" w:color="auto"/>
            </w:tcBorders>
            <w:vAlign w:val="center"/>
            <w:hideMark/>
          </w:tcPr>
          <w:p w14:paraId="5D22C512" w14:textId="77777777" w:rsidR="006147C0" w:rsidRPr="00881036" w:rsidRDefault="006147C0" w:rsidP="00F944EB">
            <w:pPr>
              <w:pStyle w:val="NormalWeb"/>
              <w:jc w:val="center"/>
              <w:rPr>
                <w:sz w:val="18"/>
                <w:szCs w:val="18"/>
              </w:rPr>
            </w:pPr>
            <w:r w:rsidRPr="00881036">
              <w:rPr>
                <w:sz w:val="18"/>
                <w:szCs w:val="18"/>
              </w:rPr>
              <w:t>21.1</w:t>
            </w:r>
          </w:p>
        </w:tc>
        <w:tc>
          <w:tcPr>
            <w:tcW w:w="1596" w:type="dxa"/>
            <w:tcBorders>
              <w:left w:val="single" w:sz="4" w:space="0" w:color="auto"/>
            </w:tcBorders>
            <w:vAlign w:val="center"/>
            <w:hideMark/>
          </w:tcPr>
          <w:p w14:paraId="19EF3B6D" w14:textId="77777777" w:rsidR="006147C0" w:rsidRPr="00881036" w:rsidRDefault="006147C0" w:rsidP="00F944EB">
            <w:pPr>
              <w:pStyle w:val="NormalWeb"/>
              <w:jc w:val="center"/>
              <w:rPr>
                <w:sz w:val="18"/>
                <w:szCs w:val="18"/>
              </w:rPr>
            </w:pPr>
            <w:r w:rsidRPr="00881036">
              <w:rPr>
                <w:sz w:val="18"/>
                <w:szCs w:val="18"/>
              </w:rPr>
              <w:t>171</w:t>
            </w:r>
          </w:p>
        </w:tc>
        <w:tc>
          <w:tcPr>
            <w:tcW w:w="1597" w:type="dxa"/>
            <w:tcBorders>
              <w:right w:val="single" w:sz="4" w:space="0" w:color="auto"/>
            </w:tcBorders>
            <w:vAlign w:val="center"/>
            <w:hideMark/>
          </w:tcPr>
          <w:p w14:paraId="09C7900E" w14:textId="77777777" w:rsidR="006147C0" w:rsidRPr="00881036" w:rsidRDefault="006147C0" w:rsidP="00F944EB">
            <w:pPr>
              <w:pStyle w:val="NormalWeb"/>
              <w:jc w:val="center"/>
              <w:rPr>
                <w:sz w:val="18"/>
                <w:szCs w:val="18"/>
              </w:rPr>
            </w:pPr>
            <w:r w:rsidRPr="00881036">
              <w:rPr>
                <w:sz w:val="18"/>
                <w:szCs w:val="18"/>
              </w:rPr>
              <w:t>24.9</w:t>
            </w:r>
          </w:p>
        </w:tc>
      </w:tr>
      <w:tr w:rsidR="00E53875" w:rsidRPr="00881036" w14:paraId="0E919933" w14:textId="77777777" w:rsidTr="00F944EB">
        <w:trPr>
          <w:trHeight w:val="439"/>
        </w:trPr>
        <w:tc>
          <w:tcPr>
            <w:tcW w:w="2660" w:type="dxa"/>
            <w:tcBorders>
              <w:right w:val="single" w:sz="4" w:space="0" w:color="auto"/>
            </w:tcBorders>
            <w:vAlign w:val="center"/>
            <w:hideMark/>
          </w:tcPr>
          <w:p w14:paraId="144937CF" w14:textId="77777777" w:rsidR="006147C0" w:rsidRPr="00881036" w:rsidRDefault="006147C0" w:rsidP="00F944EB">
            <w:pPr>
              <w:pStyle w:val="NormalWeb"/>
              <w:rPr>
                <w:sz w:val="18"/>
                <w:szCs w:val="18"/>
              </w:rPr>
            </w:pPr>
            <w:r w:rsidRPr="00881036">
              <w:rPr>
                <w:sz w:val="18"/>
                <w:szCs w:val="18"/>
              </w:rPr>
              <w:t>Northern Territory</w:t>
            </w:r>
            <w:r w:rsidR="00E53875" w:rsidRPr="00881036">
              <w:rPr>
                <w:sz w:val="18"/>
                <w:szCs w:val="18"/>
              </w:rPr>
              <w:br/>
            </w:r>
            <w:r w:rsidRPr="00881036">
              <w:rPr>
                <w:sz w:val="18"/>
                <w:szCs w:val="18"/>
              </w:rPr>
              <w:t>Urban &amp; Rural</w:t>
            </w:r>
          </w:p>
        </w:tc>
        <w:tc>
          <w:tcPr>
            <w:tcW w:w="1876" w:type="dxa"/>
            <w:tcBorders>
              <w:left w:val="single" w:sz="4" w:space="0" w:color="auto"/>
              <w:right w:val="single" w:sz="4" w:space="0" w:color="auto"/>
            </w:tcBorders>
            <w:vAlign w:val="center"/>
            <w:hideMark/>
          </w:tcPr>
          <w:p w14:paraId="57EEACDB" w14:textId="77777777" w:rsidR="006147C0" w:rsidRPr="00881036" w:rsidRDefault="006147C0" w:rsidP="00F944EB">
            <w:pPr>
              <w:pStyle w:val="NormalWeb"/>
              <w:jc w:val="center"/>
              <w:rPr>
                <w:sz w:val="18"/>
                <w:szCs w:val="18"/>
              </w:rPr>
            </w:pPr>
            <w:r w:rsidRPr="00881036">
              <w:rPr>
                <w:sz w:val="18"/>
                <w:szCs w:val="18"/>
              </w:rPr>
              <w:t>24</w:t>
            </w:r>
          </w:p>
        </w:tc>
        <w:tc>
          <w:tcPr>
            <w:tcW w:w="1347" w:type="dxa"/>
            <w:tcBorders>
              <w:left w:val="single" w:sz="4" w:space="0" w:color="auto"/>
            </w:tcBorders>
            <w:vAlign w:val="center"/>
            <w:hideMark/>
          </w:tcPr>
          <w:p w14:paraId="7A6A3149" w14:textId="77777777" w:rsidR="006147C0" w:rsidRPr="00881036" w:rsidRDefault="006147C0" w:rsidP="00F944EB">
            <w:pPr>
              <w:pStyle w:val="NormalWeb"/>
              <w:jc w:val="center"/>
              <w:rPr>
                <w:sz w:val="18"/>
                <w:szCs w:val="18"/>
              </w:rPr>
            </w:pPr>
            <w:r w:rsidRPr="00881036">
              <w:rPr>
                <w:sz w:val="18"/>
                <w:szCs w:val="18"/>
              </w:rPr>
              <w:t>0</w:t>
            </w:r>
          </w:p>
        </w:tc>
        <w:tc>
          <w:tcPr>
            <w:tcW w:w="1347" w:type="dxa"/>
            <w:tcBorders>
              <w:right w:val="single" w:sz="4" w:space="0" w:color="auto"/>
            </w:tcBorders>
            <w:vAlign w:val="center"/>
            <w:hideMark/>
          </w:tcPr>
          <w:p w14:paraId="56F1B4A8" w14:textId="77777777" w:rsidR="006147C0" w:rsidRPr="00881036" w:rsidRDefault="006147C0" w:rsidP="00F944EB">
            <w:pPr>
              <w:pStyle w:val="NormalWeb"/>
              <w:jc w:val="center"/>
              <w:rPr>
                <w:sz w:val="18"/>
                <w:szCs w:val="18"/>
              </w:rPr>
            </w:pPr>
            <w:r w:rsidRPr="00881036">
              <w:rPr>
                <w:sz w:val="18"/>
                <w:szCs w:val="18"/>
              </w:rPr>
              <w:t>0</w:t>
            </w:r>
          </w:p>
        </w:tc>
        <w:tc>
          <w:tcPr>
            <w:tcW w:w="961" w:type="dxa"/>
            <w:tcBorders>
              <w:left w:val="single" w:sz="4" w:space="0" w:color="auto"/>
            </w:tcBorders>
            <w:vAlign w:val="center"/>
            <w:hideMark/>
          </w:tcPr>
          <w:p w14:paraId="11AC63AE" w14:textId="77777777" w:rsidR="006147C0" w:rsidRPr="00881036" w:rsidRDefault="006147C0" w:rsidP="00F944EB">
            <w:pPr>
              <w:pStyle w:val="NormalWeb"/>
              <w:jc w:val="center"/>
              <w:rPr>
                <w:sz w:val="18"/>
                <w:szCs w:val="18"/>
              </w:rPr>
            </w:pPr>
            <w:r w:rsidRPr="00881036">
              <w:rPr>
                <w:sz w:val="18"/>
                <w:szCs w:val="18"/>
              </w:rPr>
              <w:t>1</w:t>
            </w:r>
          </w:p>
        </w:tc>
        <w:tc>
          <w:tcPr>
            <w:tcW w:w="961" w:type="dxa"/>
            <w:tcBorders>
              <w:right w:val="single" w:sz="4" w:space="0" w:color="auto"/>
            </w:tcBorders>
            <w:vAlign w:val="center"/>
            <w:hideMark/>
          </w:tcPr>
          <w:p w14:paraId="1D78CB1A" w14:textId="77777777" w:rsidR="006147C0" w:rsidRPr="00881036" w:rsidRDefault="006147C0" w:rsidP="00F944EB">
            <w:pPr>
              <w:pStyle w:val="NormalWeb"/>
              <w:jc w:val="center"/>
              <w:rPr>
                <w:sz w:val="18"/>
                <w:szCs w:val="18"/>
              </w:rPr>
            </w:pPr>
            <w:r w:rsidRPr="00881036">
              <w:rPr>
                <w:sz w:val="18"/>
                <w:szCs w:val="18"/>
              </w:rPr>
              <w:t>4.2</w:t>
            </w:r>
          </w:p>
        </w:tc>
        <w:tc>
          <w:tcPr>
            <w:tcW w:w="1319" w:type="dxa"/>
            <w:tcBorders>
              <w:left w:val="single" w:sz="4" w:space="0" w:color="auto"/>
            </w:tcBorders>
            <w:vAlign w:val="center"/>
            <w:hideMark/>
          </w:tcPr>
          <w:p w14:paraId="3E146376" w14:textId="77777777" w:rsidR="006147C0" w:rsidRPr="00881036" w:rsidRDefault="006147C0" w:rsidP="00F944EB">
            <w:pPr>
              <w:pStyle w:val="NormalWeb"/>
              <w:jc w:val="center"/>
              <w:rPr>
                <w:sz w:val="18"/>
                <w:szCs w:val="18"/>
              </w:rPr>
            </w:pPr>
            <w:r w:rsidRPr="00881036">
              <w:rPr>
                <w:sz w:val="18"/>
                <w:szCs w:val="18"/>
              </w:rPr>
              <w:t>4</w:t>
            </w:r>
          </w:p>
        </w:tc>
        <w:tc>
          <w:tcPr>
            <w:tcW w:w="1320" w:type="dxa"/>
            <w:tcBorders>
              <w:right w:val="single" w:sz="4" w:space="0" w:color="auto"/>
            </w:tcBorders>
            <w:vAlign w:val="center"/>
            <w:hideMark/>
          </w:tcPr>
          <w:p w14:paraId="2F38767E" w14:textId="77777777" w:rsidR="006147C0" w:rsidRPr="00881036" w:rsidRDefault="006147C0" w:rsidP="00F944EB">
            <w:pPr>
              <w:pStyle w:val="NormalWeb"/>
              <w:jc w:val="center"/>
              <w:rPr>
                <w:sz w:val="18"/>
                <w:szCs w:val="18"/>
              </w:rPr>
            </w:pPr>
            <w:r w:rsidRPr="00881036">
              <w:rPr>
                <w:sz w:val="18"/>
                <w:szCs w:val="18"/>
              </w:rPr>
              <w:t>16.7</w:t>
            </w:r>
          </w:p>
        </w:tc>
        <w:tc>
          <w:tcPr>
            <w:tcW w:w="1596" w:type="dxa"/>
            <w:tcBorders>
              <w:left w:val="single" w:sz="4" w:space="0" w:color="auto"/>
            </w:tcBorders>
            <w:vAlign w:val="center"/>
            <w:hideMark/>
          </w:tcPr>
          <w:p w14:paraId="24268456" w14:textId="77777777" w:rsidR="006147C0" w:rsidRPr="00881036" w:rsidRDefault="006147C0" w:rsidP="00F944EB">
            <w:pPr>
              <w:pStyle w:val="NormalWeb"/>
              <w:jc w:val="center"/>
              <w:rPr>
                <w:sz w:val="18"/>
                <w:szCs w:val="18"/>
              </w:rPr>
            </w:pPr>
            <w:r w:rsidRPr="00881036">
              <w:rPr>
                <w:sz w:val="18"/>
                <w:szCs w:val="18"/>
              </w:rPr>
              <w:t>0</w:t>
            </w:r>
          </w:p>
        </w:tc>
        <w:tc>
          <w:tcPr>
            <w:tcW w:w="1597" w:type="dxa"/>
            <w:tcBorders>
              <w:right w:val="single" w:sz="4" w:space="0" w:color="auto"/>
            </w:tcBorders>
            <w:vAlign w:val="center"/>
            <w:hideMark/>
          </w:tcPr>
          <w:p w14:paraId="74AF926F" w14:textId="77777777" w:rsidR="006147C0" w:rsidRPr="00881036" w:rsidRDefault="006147C0" w:rsidP="00F944EB">
            <w:pPr>
              <w:pStyle w:val="NormalWeb"/>
              <w:jc w:val="center"/>
              <w:rPr>
                <w:sz w:val="18"/>
                <w:szCs w:val="18"/>
              </w:rPr>
            </w:pPr>
            <w:r w:rsidRPr="00881036">
              <w:rPr>
                <w:sz w:val="18"/>
                <w:szCs w:val="18"/>
              </w:rPr>
              <w:t>0</w:t>
            </w:r>
          </w:p>
        </w:tc>
      </w:tr>
      <w:tr w:rsidR="00E53875" w:rsidRPr="00881036" w14:paraId="6C5A7A89" w14:textId="77777777" w:rsidTr="00F944EB">
        <w:trPr>
          <w:cnfStyle w:val="000000010000" w:firstRow="0" w:lastRow="0" w:firstColumn="0" w:lastColumn="0" w:oddVBand="0" w:evenVBand="0" w:oddHBand="0" w:evenHBand="1" w:firstRowFirstColumn="0" w:firstRowLastColumn="0" w:lastRowFirstColumn="0" w:lastRowLastColumn="0"/>
          <w:trHeight w:val="439"/>
        </w:trPr>
        <w:tc>
          <w:tcPr>
            <w:tcW w:w="2660" w:type="dxa"/>
            <w:tcBorders>
              <w:right w:val="single" w:sz="4" w:space="0" w:color="auto"/>
            </w:tcBorders>
            <w:vAlign w:val="center"/>
            <w:hideMark/>
          </w:tcPr>
          <w:p w14:paraId="02AEEA29" w14:textId="77777777" w:rsidR="006147C0" w:rsidRPr="00881036" w:rsidRDefault="006147C0" w:rsidP="00F944EB">
            <w:pPr>
              <w:pStyle w:val="NormalWeb"/>
              <w:rPr>
                <w:sz w:val="18"/>
                <w:szCs w:val="18"/>
              </w:rPr>
            </w:pPr>
            <w:r w:rsidRPr="00881036">
              <w:rPr>
                <w:sz w:val="18"/>
                <w:szCs w:val="18"/>
              </w:rPr>
              <w:t>Northern Territory</w:t>
            </w:r>
            <w:r w:rsidR="00E53875" w:rsidRPr="00881036">
              <w:rPr>
                <w:sz w:val="18"/>
                <w:szCs w:val="18"/>
              </w:rPr>
              <w:br/>
            </w:r>
            <w:r w:rsidRPr="00881036">
              <w:rPr>
                <w:sz w:val="18"/>
                <w:szCs w:val="18"/>
              </w:rPr>
              <w:t>Remote</w:t>
            </w:r>
          </w:p>
        </w:tc>
        <w:tc>
          <w:tcPr>
            <w:tcW w:w="1876" w:type="dxa"/>
            <w:tcBorders>
              <w:left w:val="single" w:sz="4" w:space="0" w:color="auto"/>
              <w:right w:val="single" w:sz="4" w:space="0" w:color="auto"/>
            </w:tcBorders>
            <w:vAlign w:val="center"/>
            <w:hideMark/>
          </w:tcPr>
          <w:p w14:paraId="0B59D5F4" w14:textId="77777777" w:rsidR="006147C0" w:rsidRPr="00881036" w:rsidRDefault="006147C0" w:rsidP="00F944EB">
            <w:pPr>
              <w:pStyle w:val="NormalWeb"/>
              <w:jc w:val="center"/>
              <w:rPr>
                <w:sz w:val="18"/>
                <w:szCs w:val="18"/>
              </w:rPr>
            </w:pPr>
            <w:r w:rsidRPr="00881036">
              <w:rPr>
                <w:sz w:val="18"/>
                <w:szCs w:val="18"/>
              </w:rPr>
              <w:t>32</w:t>
            </w:r>
          </w:p>
        </w:tc>
        <w:tc>
          <w:tcPr>
            <w:tcW w:w="1347" w:type="dxa"/>
            <w:tcBorders>
              <w:left w:val="single" w:sz="4" w:space="0" w:color="auto"/>
            </w:tcBorders>
            <w:vAlign w:val="center"/>
            <w:hideMark/>
          </w:tcPr>
          <w:p w14:paraId="1071A7D2" w14:textId="77777777" w:rsidR="006147C0" w:rsidRPr="00881036" w:rsidRDefault="006147C0" w:rsidP="00F944EB">
            <w:pPr>
              <w:pStyle w:val="NormalWeb"/>
              <w:jc w:val="center"/>
              <w:rPr>
                <w:sz w:val="18"/>
                <w:szCs w:val="18"/>
              </w:rPr>
            </w:pPr>
            <w:r w:rsidRPr="00881036">
              <w:rPr>
                <w:sz w:val="18"/>
                <w:szCs w:val="18"/>
              </w:rPr>
              <w:t>0</w:t>
            </w:r>
          </w:p>
        </w:tc>
        <w:tc>
          <w:tcPr>
            <w:tcW w:w="1347" w:type="dxa"/>
            <w:tcBorders>
              <w:right w:val="single" w:sz="4" w:space="0" w:color="auto"/>
            </w:tcBorders>
            <w:vAlign w:val="center"/>
            <w:hideMark/>
          </w:tcPr>
          <w:p w14:paraId="733FD3E8" w14:textId="77777777" w:rsidR="006147C0" w:rsidRPr="00881036" w:rsidRDefault="006147C0" w:rsidP="00F944EB">
            <w:pPr>
              <w:pStyle w:val="NormalWeb"/>
              <w:jc w:val="center"/>
              <w:rPr>
                <w:sz w:val="18"/>
                <w:szCs w:val="18"/>
              </w:rPr>
            </w:pPr>
            <w:r w:rsidRPr="00881036">
              <w:rPr>
                <w:sz w:val="18"/>
                <w:szCs w:val="18"/>
              </w:rPr>
              <w:t>0</w:t>
            </w:r>
          </w:p>
        </w:tc>
        <w:tc>
          <w:tcPr>
            <w:tcW w:w="961" w:type="dxa"/>
            <w:tcBorders>
              <w:left w:val="single" w:sz="4" w:space="0" w:color="auto"/>
            </w:tcBorders>
            <w:vAlign w:val="center"/>
            <w:hideMark/>
          </w:tcPr>
          <w:p w14:paraId="72B157D0" w14:textId="77777777" w:rsidR="006147C0" w:rsidRPr="00881036" w:rsidRDefault="006147C0" w:rsidP="00F944EB">
            <w:pPr>
              <w:pStyle w:val="NormalWeb"/>
              <w:jc w:val="center"/>
              <w:rPr>
                <w:sz w:val="18"/>
                <w:szCs w:val="18"/>
              </w:rPr>
            </w:pPr>
            <w:r w:rsidRPr="00881036">
              <w:rPr>
                <w:sz w:val="18"/>
                <w:szCs w:val="18"/>
              </w:rPr>
              <w:t>0</w:t>
            </w:r>
          </w:p>
        </w:tc>
        <w:tc>
          <w:tcPr>
            <w:tcW w:w="961" w:type="dxa"/>
            <w:tcBorders>
              <w:right w:val="single" w:sz="4" w:space="0" w:color="auto"/>
            </w:tcBorders>
            <w:vAlign w:val="center"/>
            <w:hideMark/>
          </w:tcPr>
          <w:p w14:paraId="1882B7C8" w14:textId="77777777" w:rsidR="006147C0" w:rsidRPr="00881036" w:rsidRDefault="006147C0" w:rsidP="00F944EB">
            <w:pPr>
              <w:pStyle w:val="NormalWeb"/>
              <w:jc w:val="center"/>
              <w:rPr>
                <w:sz w:val="18"/>
                <w:szCs w:val="18"/>
              </w:rPr>
            </w:pPr>
            <w:r w:rsidRPr="00881036">
              <w:rPr>
                <w:sz w:val="18"/>
                <w:szCs w:val="18"/>
              </w:rPr>
              <w:t>0</w:t>
            </w:r>
          </w:p>
        </w:tc>
        <w:tc>
          <w:tcPr>
            <w:tcW w:w="1319" w:type="dxa"/>
            <w:tcBorders>
              <w:left w:val="single" w:sz="4" w:space="0" w:color="auto"/>
            </w:tcBorders>
            <w:vAlign w:val="center"/>
            <w:hideMark/>
          </w:tcPr>
          <w:p w14:paraId="69D138D0" w14:textId="77777777" w:rsidR="006147C0" w:rsidRPr="00881036" w:rsidRDefault="006147C0" w:rsidP="00F944EB">
            <w:pPr>
              <w:pStyle w:val="NormalWeb"/>
              <w:jc w:val="center"/>
              <w:rPr>
                <w:sz w:val="18"/>
                <w:szCs w:val="18"/>
              </w:rPr>
            </w:pPr>
            <w:r w:rsidRPr="00881036">
              <w:rPr>
                <w:sz w:val="18"/>
                <w:szCs w:val="18"/>
              </w:rPr>
              <w:t>1</w:t>
            </w:r>
          </w:p>
        </w:tc>
        <w:tc>
          <w:tcPr>
            <w:tcW w:w="1320" w:type="dxa"/>
            <w:tcBorders>
              <w:right w:val="single" w:sz="4" w:space="0" w:color="auto"/>
            </w:tcBorders>
            <w:vAlign w:val="center"/>
            <w:hideMark/>
          </w:tcPr>
          <w:p w14:paraId="1A7D7681" w14:textId="77777777" w:rsidR="006147C0" w:rsidRPr="00881036" w:rsidRDefault="006147C0" w:rsidP="00F944EB">
            <w:pPr>
              <w:pStyle w:val="NormalWeb"/>
              <w:jc w:val="center"/>
              <w:rPr>
                <w:sz w:val="18"/>
                <w:szCs w:val="18"/>
              </w:rPr>
            </w:pPr>
            <w:r w:rsidRPr="00881036">
              <w:rPr>
                <w:sz w:val="18"/>
                <w:szCs w:val="18"/>
              </w:rPr>
              <w:t>3.1</w:t>
            </w:r>
          </w:p>
        </w:tc>
        <w:tc>
          <w:tcPr>
            <w:tcW w:w="1596" w:type="dxa"/>
            <w:tcBorders>
              <w:left w:val="single" w:sz="4" w:space="0" w:color="auto"/>
            </w:tcBorders>
            <w:vAlign w:val="center"/>
            <w:hideMark/>
          </w:tcPr>
          <w:p w14:paraId="5A37FEC4" w14:textId="77777777" w:rsidR="006147C0" w:rsidRPr="00881036" w:rsidRDefault="006147C0" w:rsidP="00F944EB">
            <w:pPr>
              <w:pStyle w:val="NormalWeb"/>
              <w:jc w:val="center"/>
              <w:rPr>
                <w:sz w:val="18"/>
                <w:szCs w:val="18"/>
              </w:rPr>
            </w:pPr>
            <w:r w:rsidRPr="00881036">
              <w:rPr>
                <w:sz w:val="18"/>
                <w:szCs w:val="18"/>
              </w:rPr>
              <w:t>2</w:t>
            </w:r>
          </w:p>
        </w:tc>
        <w:tc>
          <w:tcPr>
            <w:tcW w:w="1597" w:type="dxa"/>
            <w:tcBorders>
              <w:right w:val="single" w:sz="4" w:space="0" w:color="auto"/>
            </w:tcBorders>
            <w:vAlign w:val="center"/>
            <w:hideMark/>
          </w:tcPr>
          <w:p w14:paraId="31357F1E" w14:textId="77777777" w:rsidR="006147C0" w:rsidRPr="00881036" w:rsidRDefault="006147C0" w:rsidP="00F944EB">
            <w:pPr>
              <w:pStyle w:val="NormalWeb"/>
              <w:jc w:val="center"/>
              <w:rPr>
                <w:sz w:val="18"/>
                <w:szCs w:val="18"/>
              </w:rPr>
            </w:pPr>
            <w:r w:rsidRPr="00881036">
              <w:rPr>
                <w:sz w:val="18"/>
                <w:szCs w:val="18"/>
              </w:rPr>
              <w:t>6.3</w:t>
            </w:r>
          </w:p>
        </w:tc>
      </w:tr>
      <w:tr w:rsidR="00E53875" w:rsidRPr="00881036" w14:paraId="094A708C" w14:textId="77777777" w:rsidTr="00F944EB">
        <w:trPr>
          <w:trHeight w:val="439"/>
        </w:trPr>
        <w:tc>
          <w:tcPr>
            <w:tcW w:w="2660" w:type="dxa"/>
            <w:tcBorders>
              <w:right w:val="single" w:sz="4" w:space="0" w:color="auto"/>
            </w:tcBorders>
            <w:vAlign w:val="center"/>
            <w:hideMark/>
          </w:tcPr>
          <w:p w14:paraId="661BD566" w14:textId="77777777" w:rsidR="006147C0" w:rsidRPr="00881036" w:rsidRDefault="006147C0" w:rsidP="00F944EB">
            <w:pPr>
              <w:pStyle w:val="NormalWeb"/>
              <w:rPr>
                <w:sz w:val="18"/>
                <w:szCs w:val="18"/>
              </w:rPr>
            </w:pPr>
            <w:r w:rsidRPr="00881036">
              <w:rPr>
                <w:sz w:val="18"/>
                <w:szCs w:val="18"/>
              </w:rPr>
              <w:t>Western Australia</w:t>
            </w:r>
            <w:r w:rsidR="00E53875" w:rsidRPr="00881036">
              <w:rPr>
                <w:sz w:val="18"/>
                <w:szCs w:val="18"/>
              </w:rPr>
              <w:br/>
            </w:r>
            <w:r w:rsidRPr="00881036">
              <w:rPr>
                <w:sz w:val="18"/>
                <w:szCs w:val="18"/>
              </w:rPr>
              <w:t>Urban &amp; Rural</w:t>
            </w:r>
          </w:p>
        </w:tc>
        <w:tc>
          <w:tcPr>
            <w:tcW w:w="1876" w:type="dxa"/>
            <w:tcBorders>
              <w:left w:val="single" w:sz="4" w:space="0" w:color="auto"/>
              <w:right w:val="single" w:sz="4" w:space="0" w:color="auto"/>
            </w:tcBorders>
            <w:vAlign w:val="center"/>
            <w:hideMark/>
          </w:tcPr>
          <w:p w14:paraId="54D69F2B" w14:textId="77777777" w:rsidR="006147C0" w:rsidRPr="00881036" w:rsidRDefault="006147C0" w:rsidP="00F944EB">
            <w:pPr>
              <w:pStyle w:val="NormalWeb"/>
              <w:jc w:val="center"/>
              <w:rPr>
                <w:sz w:val="18"/>
                <w:szCs w:val="18"/>
              </w:rPr>
            </w:pPr>
            <w:r w:rsidRPr="00881036">
              <w:rPr>
                <w:sz w:val="18"/>
                <w:szCs w:val="18"/>
              </w:rPr>
              <w:t>177</w:t>
            </w:r>
          </w:p>
        </w:tc>
        <w:tc>
          <w:tcPr>
            <w:tcW w:w="1347" w:type="dxa"/>
            <w:tcBorders>
              <w:left w:val="single" w:sz="4" w:space="0" w:color="auto"/>
            </w:tcBorders>
            <w:vAlign w:val="center"/>
            <w:hideMark/>
          </w:tcPr>
          <w:p w14:paraId="48A50ACA" w14:textId="77777777" w:rsidR="006147C0" w:rsidRPr="00881036" w:rsidRDefault="006147C0" w:rsidP="00F944EB">
            <w:pPr>
              <w:pStyle w:val="NormalWeb"/>
              <w:jc w:val="center"/>
              <w:rPr>
                <w:sz w:val="18"/>
                <w:szCs w:val="18"/>
              </w:rPr>
            </w:pPr>
            <w:r w:rsidRPr="00881036">
              <w:rPr>
                <w:sz w:val="18"/>
                <w:szCs w:val="18"/>
              </w:rPr>
              <w:t>4</w:t>
            </w:r>
          </w:p>
        </w:tc>
        <w:tc>
          <w:tcPr>
            <w:tcW w:w="1347" w:type="dxa"/>
            <w:tcBorders>
              <w:right w:val="single" w:sz="4" w:space="0" w:color="auto"/>
            </w:tcBorders>
            <w:vAlign w:val="center"/>
            <w:hideMark/>
          </w:tcPr>
          <w:p w14:paraId="7E9BBCDF" w14:textId="77777777" w:rsidR="006147C0" w:rsidRPr="00881036" w:rsidRDefault="006147C0" w:rsidP="00F944EB">
            <w:pPr>
              <w:pStyle w:val="NormalWeb"/>
              <w:jc w:val="center"/>
              <w:rPr>
                <w:sz w:val="18"/>
                <w:szCs w:val="18"/>
              </w:rPr>
            </w:pPr>
            <w:r w:rsidRPr="00881036">
              <w:rPr>
                <w:sz w:val="18"/>
                <w:szCs w:val="18"/>
              </w:rPr>
              <w:t>2.3</w:t>
            </w:r>
          </w:p>
        </w:tc>
        <w:tc>
          <w:tcPr>
            <w:tcW w:w="961" w:type="dxa"/>
            <w:tcBorders>
              <w:left w:val="single" w:sz="4" w:space="0" w:color="auto"/>
            </w:tcBorders>
            <w:vAlign w:val="center"/>
            <w:hideMark/>
          </w:tcPr>
          <w:p w14:paraId="37A9C0E1" w14:textId="77777777" w:rsidR="006147C0" w:rsidRPr="00881036" w:rsidRDefault="006147C0" w:rsidP="00F944EB">
            <w:pPr>
              <w:pStyle w:val="NormalWeb"/>
              <w:jc w:val="center"/>
              <w:rPr>
                <w:sz w:val="18"/>
                <w:szCs w:val="18"/>
              </w:rPr>
            </w:pPr>
            <w:r w:rsidRPr="00881036">
              <w:rPr>
                <w:sz w:val="18"/>
                <w:szCs w:val="18"/>
              </w:rPr>
              <w:t>3</w:t>
            </w:r>
          </w:p>
        </w:tc>
        <w:tc>
          <w:tcPr>
            <w:tcW w:w="961" w:type="dxa"/>
            <w:tcBorders>
              <w:right w:val="single" w:sz="4" w:space="0" w:color="auto"/>
            </w:tcBorders>
            <w:vAlign w:val="center"/>
            <w:hideMark/>
          </w:tcPr>
          <w:p w14:paraId="065959F9" w14:textId="77777777" w:rsidR="006147C0" w:rsidRPr="00881036" w:rsidRDefault="006147C0" w:rsidP="00F944EB">
            <w:pPr>
              <w:pStyle w:val="NormalWeb"/>
              <w:jc w:val="center"/>
              <w:rPr>
                <w:sz w:val="18"/>
                <w:szCs w:val="18"/>
              </w:rPr>
            </w:pPr>
            <w:r w:rsidRPr="00881036">
              <w:rPr>
                <w:sz w:val="18"/>
                <w:szCs w:val="18"/>
              </w:rPr>
              <w:t>1.7</w:t>
            </w:r>
          </w:p>
        </w:tc>
        <w:tc>
          <w:tcPr>
            <w:tcW w:w="1319" w:type="dxa"/>
            <w:tcBorders>
              <w:left w:val="single" w:sz="4" w:space="0" w:color="auto"/>
            </w:tcBorders>
            <w:vAlign w:val="center"/>
            <w:hideMark/>
          </w:tcPr>
          <w:p w14:paraId="2CDD5DF4" w14:textId="77777777" w:rsidR="006147C0" w:rsidRPr="00881036" w:rsidRDefault="006147C0" w:rsidP="00F944EB">
            <w:pPr>
              <w:pStyle w:val="NormalWeb"/>
              <w:jc w:val="center"/>
              <w:rPr>
                <w:sz w:val="18"/>
                <w:szCs w:val="18"/>
              </w:rPr>
            </w:pPr>
            <w:r w:rsidRPr="00881036">
              <w:rPr>
                <w:sz w:val="18"/>
                <w:szCs w:val="18"/>
              </w:rPr>
              <w:t>41</w:t>
            </w:r>
          </w:p>
        </w:tc>
        <w:tc>
          <w:tcPr>
            <w:tcW w:w="1320" w:type="dxa"/>
            <w:tcBorders>
              <w:right w:val="single" w:sz="4" w:space="0" w:color="auto"/>
            </w:tcBorders>
            <w:vAlign w:val="center"/>
            <w:hideMark/>
          </w:tcPr>
          <w:p w14:paraId="436A31D5" w14:textId="77777777" w:rsidR="006147C0" w:rsidRPr="00881036" w:rsidRDefault="006147C0" w:rsidP="00F944EB">
            <w:pPr>
              <w:pStyle w:val="NormalWeb"/>
              <w:jc w:val="center"/>
              <w:rPr>
                <w:sz w:val="18"/>
                <w:szCs w:val="18"/>
              </w:rPr>
            </w:pPr>
            <w:r w:rsidRPr="00881036">
              <w:rPr>
                <w:sz w:val="18"/>
                <w:szCs w:val="18"/>
              </w:rPr>
              <w:t>23.2</w:t>
            </w:r>
          </w:p>
        </w:tc>
        <w:tc>
          <w:tcPr>
            <w:tcW w:w="1596" w:type="dxa"/>
            <w:tcBorders>
              <w:left w:val="single" w:sz="4" w:space="0" w:color="auto"/>
            </w:tcBorders>
            <w:vAlign w:val="center"/>
            <w:hideMark/>
          </w:tcPr>
          <w:p w14:paraId="5C068A33" w14:textId="77777777" w:rsidR="006147C0" w:rsidRPr="00881036" w:rsidRDefault="006147C0" w:rsidP="00F944EB">
            <w:pPr>
              <w:pStyle w:val="NormalWeb"/>
              <w:jc w:val="center"/>
              <w:rPr>
                <w:sz w:val="18"/>
                <w:szCs w:val="18"/>
              </w:rPr>
            </w:pPr>
            <w:r w:rsidRPr="00881036">
              <w:rPr>
                <w:sz w:val="18"/>
                <w:szCs w:val="18"/>
              </w:rPr>
              <w:t>45</w:t>
            </w:r>
          </w:p>
        </w:tc>
        <w:tc>
          <w:tcPr>
            <w:tcW w:w="1597" w:type="dxa"/>
            <w:tcBorders>
              <w:right w:val="single" w:sz="4" w:space="0" w:color="auto"/>
            </w:tcBorders>
            <w:vAlign w:val="center"/>
            <w:hideMark/>
          </w:tcPr>
          <w:p w14:paraId="01F0ADDC" w14:textId="77777777" w:rsidR="006147C0" w:rsidRPr="00881036" w:rsidRDefault="006147C0" w:rsidP="00F944EB">
            <w:pPr>
              <w:pStyle w:val="NormalWeb"/>
              <w:jc w:val="center"/>
              <w:rPr>
                <w:sz w:val="18"/>
                <w:szCs w:val="18"/>
              </w:rPr>
            </w:pPr>
            <w:r w:rsidRPr="00881036">
              <w:rPr>
                <w:sz w:val="18"/>
                <w:szCs w:val="18"/>
              </w:rPr>
              <w:t>25.4</w:t>
            </w:r>
          </w:p>
        </w:tc>
      </w:tr>
      <w:tr w:rsidR="00E53875" w:rsidRPr="00881036" w14:paraId="4DDD4CE5" w14:textId="77777777" w:rsidTr="00025C63">
        <w:trPr>
          <w:cnfStyle w:val="000000010000" w:firstRow="0" w:lastRow="0" w:firstColumn="0" w:lastColumn="0" w:oddVBand="0" w:evenVBand="0" w:oddHBand="0" w:evenHBand="1" w:firstRowFirstColumn="0" w:firstRowLastColumn="0" w:lastRowFirstColumn="0" w:lastRowLastColumn="0"/>
          <w:trHeight w:val="439"/>
        </w:trPr>
        <w:tc>
          <w:tcPr>
            <w:tcW w:w="2660" w:type="dxa"/>
            <w:tcBorders>
              <w:bottom w:val="single" w:sz="4" w:space="0" w:color="auto"/>
              <w:right w:val="single" w:sz="4" w:space="0" w:color="auto"/>
            </w:tcBorders>
            <w:vAlign w:val="center"/>
            <w:hideMark/>
          </w:tcPr>
          <w:p w14:paraId="07CC5101" w14:textId="77777777" w:rsidR="006147C0" w:rsidRPr="00881036" w:rsidRDefault="006147C0" w:rsidP="00F944EB">
            <w:pPr>
              <w:pStyle w:val="NormalWeb"/>
              <w:rPr>
                <w:sz w:val="18"/>
                <w:szCs w:val="18"/>
              </w:rPr>
            </w:pPr>
            <w:r w:rsidRPr="00881036">
              <w:rPr>
                <w:sz w:val="18"/>
                <w:szCs w:val="18"/>
              </w:rPr>
              <w:t>Western Australia</w:t>
            </w:r>
            <w:r w:rsidR="00E53875" w:rsidRPr="00881036">
              <w:rPr>
                <w:sz w:val="18"/>
                <w:szCs w:val="18"/>
              </w:rPr>
              <w:br/>
            </w:r>
            <w:r w:rsidRPr="00881036">
              <w:rPr>
                <w:sz w:val="18"/>
                <w:szCs w:val="18"/>
              </w:rPr>
              <w:t>Remote</w:t>
            </w:r>
          </w:p>
        </w:tc>
        <w:tc>
          <w:tcPr>
            <w:tcW w:w="1876" w:type="dxa"/>
            <w:tcBorders>
              <w:left w:val="single" w:sz="4" w:space="0" w:color="auto"/>
              <w:bottom w:val="single" w:sz="4" w:space="0" w:color="auto"/>
              <w:right w:val="single" w:sz="4" w:space="0" w:color="auto"/>
            </w:tcBorders>
            <w:vAlign w:val="center"/>
            <w:hideMark/>
          </w:tcPr>
          <w:p w14:paraId="444C48ED" w14:textId="77777777" w:rsidR="006147C0" w:rsidRPr="00881036" w:rsidRDefault="006147C0" w:rsidP="00F944EB">
            <w:pPr>
              <w:pStyle w:val="NormalWeb"/>
              <w:jc w:val="center"/>
              <w:rPr>
                <w:sz w:val="18"/>
                <w:szCs w:val="18"/>
              </w:rPr>
            </w:pPr>
            <w:r w:rsidRPr="00881036">
              <w:rPr>
                <w:sz w:val="18"/>
                <w:szCs w:val="18"/>
              </w:rPr>
              <w:t>24</w:t>
            </w:r>
          </w:p>
        </w:tc>
        <w:tc>
          <w:tcPr>
            <w:tcW w:w="1347" w:type="dxa"/>
            <w:tcBorders>
              <w:left w:val="single" w:sz="4" w:space="0" w:color="auto"/>
              <w:bottom w:val="single" w:sz="4" w:space="0" w:color="auto"/>
            </w:tcBorders>
            <w:vAlign w:val="center"/>
            <w:hideMark/>
          </w:tcPr>
          <w:p w14:paraId="3D96982C" w14:textId="77777777" w:rsidR="006147C0" w:rsidRPr="00881036" w:rsidRDefault="006147C0" w:rsidP="00F944EB">
            <w:pPr>
              <w:pStyle w:val="NormalWeb"/>
              <w:jc w:val="center"/>
              <w:rPr>
                <w:sz w:val="18"/>
                <w:szCs w:val="18"/>
              </w:rPr>
            </w:pPr>
            <w:r w:rsidRPr="00881036">
              <w:rPr>
                <w:sz w:val="18"/>
                <w:szCs w:val="18"/>
              </w:rPr>
              <w:t>0</w:t>
            </w:r>
          </w:p>
        </w:tc>
        <w:tc>
          <w:tcPr>
            <w:tcW w:w="1347" w:type="dxa"/>
            <w:tcBorders>
              <w:bottom w:val="single" w:sz="4" w:space="0" w:color="auto"/>
              <w:right w:val="single" w:sz="4" w:space="0" w:color="auto"/>
            </w:tcBorders>
            <w:vAlign w:val="center"/>
            <w:hideMark/>
          </w:tcPr>
          <w:p w14:paraId="5558AE65" w14:textId="77777777" w:rsidR="006147C0" w:rsidRPr="00881036" w:rsidRDefault="006147C0" w:rsidP="00F944EB">
            <w:pPr>
              <w:pStyle w:val="NormalWeb"/>
              <w:jc w:val="center"/>
              <w:rPr>
                <w:sz w:val="18"/>
                <w:szCs w:val="18"/>
              </w:rPr>
            </w:pPr>
            <w:r w:rsidRPr="00881036">
              <w:rPr>
                <w:sz w:val="18"/>
                <w:szCs w:val="18"/>
              </w:rPr>
              <w:t>0</w:t>
            </w:r>
          </w:p>
        </w:tc>
        <w:tc>
          <w:tcPr>
            <w:tcW w:w="961" w:type="dxa"/>
            <w:tcBorders>
              <w:left w:val="single" w:sz="4" w:space="0" w:color="auto"/>
              <w:bottom w:val="single" w:sz="4" w:space="0" w:color="auto"/>
            </w:tcBorders>
            <w:vAlign w:val="center"/>
            <w:hideMark/>
          </w:tcPr>
          <w:p w14:paraId="46272D6F" w14:textId="77777777" w:rsidR="006147C0" w:rsidRPr="00881036" w:rsidRDefault="006147C0" w:rsidP="00F944EB">
            <w:pPr>
              <w:pStyle w:val="NormalWeb"/>
              <w:jc w:val="center"/>
              <w:rPr>
                <w:sz w:val="18"/>
                <w:szCs w:val="18"/>
              </w:rPr>
            </w:pPr>
            <w:r w:rsidRPr="00881036">
              <w:rPr>
                <w:sz w:val="18"/>
                <w:szCs w:val="18"/>
              </w:rPr>
              <w:t>0</w:t>
            </w:r>
          </w:p>
        </w:tc>
        <w:tc>
          <w:tcPr>
            <w:tcW w:w="961" w:type="dxa"/>
            <w:tcBorders>
              <w:bottom w:val="single" w:sz="4" w:space="0" w:color="auto"/>
              <w:right w:val="single" w:sz="4" w:space="0" w:color="auto"/>
            </w:tcBorders>
            <w:vAlign w:val="center"/>
            <w:hideMark/>
          </w:tcPr>
          <w:p w14:paraId="6806E5DF" w14:textId="77777777" w:rsidR="006147C0" w:rsidRPr="00881036" w:rsidRDefault="006147C0" w:rsidP="00F944EB">
            <w:pPr>
              <w:pStyle w:val="NormalWeb"/>
              <w:jc w:val="center"/>
              <w:rPr>
                <w:sz w:val="18"/>
                <w:szCs w:val="18"/>
              </w:rPr>
            </w:pPr>
            <w:r w:rsidRPr="00881036">
              <w:rPr>
                <w:sz w:val="18"/>
                <w:szCs w:val="18"/>
              </w:rPr>
              <w:t>0</w:t>
            </w:r>
          </w:p>
        </w:tc>
        <w:tc>
          <w:tcPr>
            <w:tcW w:w="1319" w:type="dxa"/>
            <w:tcBorders>
              <w:left w:val="single" w:sz="4" w:space="0" w:color="auto"/>
              <w:bottom w:val="single" w:sz="4" w:space="0" w:color="auto"/>
            </w:tcBorders>
            <w:vAlign w:val="center"/>
            <w:hideMark/>
          </w:tcPr>
          <w:p w14:paraId="6BAD8116" w14:textId="77777777" w:rsidR="006147C0" w:rsidRPr="00881036" w:rsidRDefault="006147C0" w:rsidP="00F944EB">
            <w:pPr>
              <w:pStyle w:val="NormalWeb"/>
              <w:jc w:val="center"/>
              <w:rPr>
                <w:sz w:val="18"/>
                <w:szCs w:val="18"/>
              </w:rPr>
            </w:pPr>
            <w:r w:rsidRPr="00881036">
              <w:rPr>
                <w:sz w:val="18"/>
                <w:szCs w:val="18"/>
              </w:rPr>
              <w:t>1</w:t>
            </w:r>
          </w:p>
        </w:tc>
        <w:tc>
          <w:tcPr>
            <w:tcW w:w="1320" w:type="dxa"/>
            <w:tcBorders>
              <w:bottom w:val="single" w:sz="4" w:space="0" w:color="auto"/>
              <w:right w:val="single" w:sz="4" w:space="0" w:color="auto"/>
            </w:tcBorders>
            <w:vAlign w:val="center"/>
            <w:hideMark/>
          </w:tcPr>
          <w:p w14:paraId="7A3E2A77" w14:textId="77777777" w:rsidR="006147C0" w:rsidRPr="00881036" w:rsidRDefault="006147C0" w:rsidP="00F944EB">
            <w:pPr>
              <w:pStyle w:val="NormalWeb"/>
              <w:jc w:val="center"/>
              <w:rPr>
                <w:sz w:val="18"/>
                <w:szCs w:val="18"/>
              </w:rPr>
            </w:pPr>
            <w:r w:rsidRPr="00881036">
              <w:rPr>
                <w:sz w:val="18"/>
                <w:szCs w:val="18"/>
              </w:rPr>
              <w:t>4.2</w:t>
            </w:r>
          </w:p>
        </w:tc>
        <w:tc>
          <w:tcPr>
            <w:tcW w:w="1596" w:type="dxa"/>
            <w:tcBorders>
              <w:left w:val="single" w:sz="4" w:space="0" w:color="auto"/>
              <w:bottom w:val="single" w:sz="4" w:space="0" w:color="auto"/>
            </w:tcBorders>
            <w:vAlign w:val="center"/>
            <w:hideMark/>
          </w:tcPr>
          <w:p w14:paraId="3DF012A3" w14:textId="77777777" w:rsidR="006147C0" w:rsidRPr="00881036" w:rsidRDefault="006147C0" w:rsidP="00F944EB">
            <w:pPr>
              <w:pStyle w:val="NormalWeb"/>
              <w:jc w:val="center"/>
              <w:rPr>
                <w:sz w:val="18"/>
                <w:szCs w:val="18"/>
              </w:rPr>
            </w:pPr>
            <w:r w:rsidRPr="00881036">
              <w:rPr>
                <w:sz w:val="18"/>
                <w:szCs w:val="18"/>
              </w:rPr>
              <w:t>1</w:t>
            </w:r>
          </w:p>
        </w:tc>
        <w:tc>
          <w:tcPr>
            <w:tcW w:w="1597" w:type="dxa"/>
            <w:tcBorders>
              <w:bottom w:val="single" w:sz="4" w:space="0" w:color="auto"/>
              <w:right w:val="single" w:sz="4" w:space="0" w:color="auto"/>
            </w:tcBorders>
            <w:vAlign w:val="center"/>
            <w:hideMark/>
          </w:tcPr>
          <w:p w14:paraId="3E07D759" w14:textId="77777777" w:rsidR="006147C0" w:rsidRPr="00881036" w:rsidRDefault="006147C0" w:rsidP="00F944EB">
            <w:pPr>
              <w:pStyle w:val="NormalWeb"/>
              <w:jc w:val="center"/>
              <w:rPr>
                <w:sz w:val="18"/>
                <w:szCs w:val="18"/>
              </w:rPr>
            </w:pPr>
            <w:r w:rsidRPr="00881036">
              <w:rPr>
                <w:sz w:val="18"/>
                <w:szCs w:val="18"/>
              </w:rPr>
              <w:t>4.2</w:t>
            </w:r>
          </w:p>
        </w:tc>
      </w:tr>
      <w:tr w:rsidR="0034538B" w:rsidRPr="00313633" w14:paraId="453E85EA" w14:textId="77777777" w:rsidTr="00025C63">
        <w:trPr>
          <w:trHeight w:val="440"/>
        </w:trPr>
        <w:tc>
          <w:tcPr>
            <w:tcW w:w="2660" w:type="dxa"/>
            <w:tcBorders>
              <w:top w:val="single" w:sz="4" w:space="0" w:color="auto"/>
              <w:bottom w:val="single" w:sz="4" w:space="0" w:color="auto"/>
              <w:right w:val="single" w:sz="4" w:space="0" w:color="auto"/>
            </w:tcBorders>
            <w:shd w:val="clear" w:color="auto" w:fill="FDE9D9" w:themeFill="accent6" w:themeFillTint="33"/>
            <w:vAlign w:val="center"/>
            <w:hideMark/>
          </w:tcPr>
          <w:p w14:paraId="3DDBC5AF" w14:textId="77777777" w:rsidR="006147C0" w:rsidRPr="00313633" w:rsidRDefault="006147C0" w:rsidP="00F944EB">
            <w:pPr>
              <w:pStyle w:val="NormalWeb"/>
              <w:rPr>
                <w:b/>
                <w:sz w:val="18"/>
                <w:szCs w:val="18"/>
              </w:rPr>
            </w:pPr>
            <w:r w:rsidRPr="00313633">
              <w:rPr>
                <w:b/>
                <w:sz w:val="18"/>
                <w:szCs w:val="18"/>
              </w:rPr>
              <w:t>AUSTRALIA</w:t>
            </w:r>
          </w:p>
        </w:tc>
        <w:tc>
          <w:tcPr>
            <w:tcW w:w="1876"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33B91E8" w14:textId="77777777" w:rsidR="006147C0" w:rsidRPr="00313633" w:rsidRDefault="006147C0" w:rsidP="00F944EB">
            <w:pPr>
              <w:pStyle w:val="NormalWeb"/>
              <w:jc w:val="center"/>
              <w:rPr>
                <w:b/>
                <w:sz w:val="18"/>
                <w:szCs w:val="18"/>
              </w:rPr>
            </w:pPr>
            <w:r w:rsidRPr="00313633">
              <w:rPr>
                <w:b/>
                <w:sz w:val="18"/>
                <w:szCs w:val="18"/>
              </w:rPr>
              <w:t>2,205</w:t>
            </w:r>
          </w:p>
        </w:tc>
        <w:tc>
          <w:tcPr>
            <w:tcW w:w="1347" w:type="dxa"/>
            <w:tcBorders>
              <w:top w:val="single" w:sz="4" w:space="0" w:color="auto"/>
              <w:left w:val="single" w:sz="4" w:space="0" w:color="auto"/>
              <w:bottom w:val="single" w:sz="4" w:space="0" w:color="auto"/>
            </w:tcBorders>
            <w:shd w:val="clear" w:color="auto" w:fill="FDE9D9" w:themeFill="accent6" w:themeFillTint="33"/>
            <w:vAlign w:val="center"/>
            <w:hideMark/>
          </w:tcPr>
          <w:p w14:paraId="0F594820" w14:textId="77777777" w:rsidR="006147C0" w:rsidRPr="00313633" w:rsidRDefault="006147C0" w:rsidP="00F944EB">
            <w:pPr>
              <w:pStyle w:val="NormalWeb"/>
              <w:jc w:val="center"/>
              <w:rPr>
                <w:b/>
                <w:sz w:val="18"/>
                <w:szCs w:val="18"/>
              </w:rPr>
            </w:pPr>
            <w:r w:rsidRPr="00313633">
              <w:rPr>
                <w:b/>
                <w:sz w:val="18"/>
                <w:szCs w:val="18"/>
              </w:rPr>
              <w:t>38</w:t>
            </w:r>
          </w:p>
        </w:tc>
        <w:tc>
          <w:tcPr>
            <w:tcW w:w="1347" w:type="dxa"/>
            <w:tcBorders>
              <w:top w:val="single" w:sz="4" w:space="0" w:color="auto"/>
              <w:bottom w:val="single" w:sz="4" w:space="0" w:color="auto"/>
              <w:right w:val="single" w:sz="4" w:space="0" w:color="auto"/>
            </w:tcBorders>
            <w:shd w:val="clear" w:color="auto" w:fill="FDE9D9" w:themeFill="accent6" w:themeFillTint="33"/>
            <w:vAlign w:val="center"/>
            <w:hideMark/>
          </w:tcPr>
          <w:p w14:paraId="6F30BB1B" w14:textId="77777777" w:rsidR="006147C0" w:rsidRPr="00313633" w:rsidRDefault="006147C0" w:rsidP="00F944EB">
            <w:pPr>
              <w:pStyle w:val="NormalWeb"/>
              <w:jc w:val="center"/>
              <w:rPr>
                <w:b/>
                <w:sz w:val="18"/>
                <w:szCs w:val="18"/>
              </w:rPr>
            </w:pPr>
            <w:r w:rsidRPr="00313633">
              <w:rPr>
                <w:b/>
                <w:sz w:val="18"/>
                <w:szCs w:val="18"/>
              </w:rPr>
              <w:t>1.7</w:t>
            </w:r>
          </w:p>
        </w:tc>
        <w:tc>
          <w:tcPr>
            <w:tcW w:w="961" w:type="dxa"/>
            <w:tcBorders>
              <w:top w:val="single" w:sz="4" w:space="0" w:color="auto"/>
              <w:left w:val="single" w:sz="4" w:space="0" w:color="auto"/>
              <w:bottom w:val="single" w:sz="4" w:space="0" w:color="auto"/>
            </w:tcBorders>
            <w:shd w:val="clear" w:color="auto" w:fill="FDE9D9" w:themeFill="accent6" w:themeFillTint="33"/>
            <w:vAlign w:val="center"/>
            <w:hideMark/>
          </w:tcPr>
          <w:p w14:paraId="3B86DF96" w14:textId="77777777" w:rsidR="006147C0" w:rsidRPr="00313633" w:rsidRDefault="006147C0" w:rsidP="00F944EB">
            <w:pPr>
              <w:pStyle w:val="NormalWeb"/>
              <w:jc w:val="center"/>
              <w:rPr>
                <w:b/>
                <w:sz w:val="18"/>
                <w:szCs w:val="18"/>
              </w:rPr>
            </w:pPr>
            <w:r w:rsidRPr="00313633">
              <w:rPr>
                <w:b/>
                <w:sz w:val="18"/>
                <w:szCs w:val="18"/>
              </w:rPr>
              <w:t>132</w:t>
            </w:r>
          </w:p>
        </w:tc>
        <w:tc>
          <w:tcPr>
            <w:tcW w:w="961" w:type="dxa"/>
            <w:tcBorders>
              <w:top w:val="single" w:sz="4" w:space="0" w:color="auto"/>
              <w:bottom w:val="single" w:sz="4" w:space="0" w:color="auto"/>
              <w:right w:val="single" w:sz="4" w:space="0" w:color="auto"/>
            </w:tcBorders>
            <w:shd w:val="clear" w:color="auto" w:fill="FDE9D9" w:themeFill="accent6" w:themeFillTint="33"/>
            <w:vAlign w:val="center"/>
            <w:hideMark/>
          </w:tcPr>
          <w:p w14:paraId="403C632C" w14:textId="77777777" w:rsidR="006147C0" w:rsidRPr="00313633" w:rsidRDefault="006147C0" w:rsidP="00F944EB">
            <w:pPr>
              <w:pStyle w:val="NormalWeb"/>
              <w:jc w:val="center"/>
              <w:rPr>
                <w:b/>
                <w:sz w:val="18"/>
                <w:szCs w:val="18"/>
              </w:rPr>
            </w:pPr>
            <w:r w:rsidRPr="00313633">
              <w:rPr>
                <w:b/>
                <w:sz w:val="18"/>
                <w:szCs w:val="18"/>
              </w:rPr>
              <w:t>6.0</w:t>
            </w:r>
          </w:p>
        </w:tc>
        <w:tc>
          <w:tcPr>
            <w:tcW w:w="1319" w:type="dxa"/>
            <w:tcBorders>
              <w:top w:val="single" w:sz="4" w:space="0" w:color="auto"/>
              <w:left w:val="single" w:sz="4" w:space="0" w:color="auto"/>
              <w:bottom w:val="single" w:sz="4" w:space="0" w:color="auto"/>
            </w:tcBorders>
            <w:shd w:val="clear" w:color="auto" w:fill="FDE9D9" w:themeFill="accent6" w:themeFillTint="33"/>
            <w:vAlign w:val="center"/>
            <w:hideMark/>
          </w:tcPr>
          <w:p w14:paraId="67B5551D" w14:textId="77777777" w:rsidR="006147C0" w:rsidRPr="00313633" w:rsidRDefault="006147C0" w:rsidP="00F944EB">
            <w:pPr>
              <w:pStyle w:val="NormalWeb"/>
              <w:jc w:val="center"/>
              <w:rPr>
                <w:b/>
                <w:sz w:val="18"/>
                <w:szCs w:val="18"/>
              </w:rPr>
            </w:pPr>
            <w:r w:rsidRPr="00313633">
              <w:rPr>
                <w:b/>
                <w:sz w:val="18"/>
                <w:szCs w:val="18"/>
              </w:rPr>
              <w:t>519</w:t>
            </w:r>
          </w:p>
        </w:tc>
        <w:tc>
          <w:tcPr>
            <w:tcW w:w="1320" w:type="dxa"/>
            <w:tcBorders>
              <w:top w:val="single" w:sz="4" w:space="0" w:color="auto"/>
              <w:bottom w:val="single" w:sz="4" w:space="0" w:color="auto"/>
              <w:right w:val="single" w:sz="4" w:space="0" w:color="auto"/>
            </w:tcBorders>
            <w:shd w:val="clear" w:color="auto" w:fill="FDE9D9" w:themeFill="accent6" w:themeFillTint="33"/>
            <w:vAlign w:val="center"/>
            <w:hideMark/>
          </w:tcPr>
          <w:p w14:paraId="328F3A57" w14:textId="77777777" w:rsidR="006147C0" w:rsidRPr="00313633" w:rsidRDefault="006147C0" w:rsidP="00F944EB">
            <w:pPr>
              <w:pStyle w:val="NormalWeb"/>
              <w:jc w:val="center"/>
              <w:rPr>
                <w:b/>
                <w:sz w:val="18"/>
                <w:szCs w:val="18"/>
              </w:rPr>
            </w:pPr>
            <w:r w:rsidRPr="00313633">
              <w:rPr>
                <w:b/>
                <w:sz w:val="18"/>
                <w:szCs w:val="18"/>
              </w:rPr>
              <w:t>23.5</w:t>
            </w:r>
          </w:p>
        </w:tc>
        <w:tc>
          <w:tcPr>
            <w:tcW w:w="1596" w:type="dxa"/>
            <w:tcBorders>
              <w:top w:val="single" w:sz="4" w:space="0" w:color="auto"/>
              <w:left w:val="single" w:sz="4" w:space="0" w:color="auto"/>
              <w:bottom w:val="single" w:sz="4" w:space="0" w:color="auto"/>
            </w:tcBorders>
            <w:shd w:val="clear" w:color="auto" w:fill="FDE9D9" w:themeFill="accent6" w:themeFillTint="33"/>
            <w:vAlign w:val="center"/>
            <w:hideMark/>
          </w:tcPr>
          <w:p w14:paraId="3BBDD84C" w14:textId="77777777" w:rsidR="006147C0" w:rsidRPr="00313633" w:rsidRDefault="006147C0" w:rsidP="00F944EB">
            <w:pPr>
              <w:pStyle w:val="NormalWeb"/>
              <w:jc w:val="center"/>
              <w:rPr>
                <w:b/>
                <w:sz w:val="18"/>
                <w:szCs w:val="18"/>
              </w:rPr>
            </w:pPr>
            <w:r w:rsidRPr="00313633">
              <w:rPr>
                <w:b/>
                <w:sz w:val="18"/>
                <w:szCs w:val="18"/>
              </w:rPr>
              <w:t>598</w:t>
            </w:r>
          </w:p>
        </w:tc>
        <w:tc>
          <w:tcPr>
            <w:tcW w:w="1597" w:type="dxa"/>
            <w:tcBorders>
              <w:top w:val="single" w:sz="4" w:space="0" w:color="auto"/>
              <w:bottom w:val="single" w:sz="4" w:space="0" w:color="auto"/>
              <w:right w:val="single" w:sz="4" w:space="0" w:color="auto"/>
            </w:tcBorders>
            <w:shd w:val="clear" w:color="auto" w:fill="FDE9D9" w:themeFill="accent6" w:themeFillTint="33"/>
            <w:vAlign w:val="center"/>
            <w:hideMark/>
          </w:tcPr>
          <w:p w14:paraId="7D1FBA64" w14:textId="77777777" w:rsidR="006147C0" w:rsidRPr="00313633" w:rsidRDefault="006147C0" w:rsidP="00F944EB">
            <w:pPr>
              <w:pStyle w:val="NormalWeb"/>
              <w:jc w:val="center"/>
              <w:rPr>
                <w:b/>
                <w:sz w:val="18"/>
                <w:szCs w:val="18"/>
              </w:rPr>
            </w:pPr>
            <w:r w:rsidRPr="00313633">
              <w:rPr>
                <w:b/>
                <w:sz w:val="18"/>
                <w:szCs w:val="18"/>
              </w:rPr>
              <w:t>27.0</w:t>
            </w:r>
          </w:p>
        </w:tc>
      </w:tr>
    </w:tbl>
    <w:p w14:paraId="0AA437F4" w14:textId="77777777" w:rsidR="009C7303" w:rsidRDefault="006147C0" w:rsidP="006147C0">
      <w:pPr>
        <w:pStyle w:val="CDIfootnotes"/>
        <w:sectPr w:rsidR="009C7303" w:rsidSect="009C7303">
          <w:pgSz w:w="16838" w:h="11906" w:orient="landscape"/>
          <w:pgMar w:top="720" w:right="720" w:bottom="720" w:left="1134" w:header="709" w:footer="284" w:gutter="0"/>
          <w:cols w:space="708"/>
          <w:titlePg/>
          <w:docGrid w:linePitch="360"/>
        </w:sectPr>
      </w:pPr>
      <w:r>
        <w:t>a</w:t>
      </w:r>
      <w:r>
        <w:tab/>
        <w:t>Penicillin resistance includes MIC value of ≥1.0 mg/L, or penicillinase production.</w:t>
      </w:r>
    </w:p>
    <w:p w14:paraId="59034C3A" w14:textId="77777777" w:rsidR="006147C0" w:rsidRDefault="006147C0" w:rsidP="006147C0">
      <w:pPr>
        <w:pStyle w:val="CDIfootnotes"/>
      </w:pPr>
    </w:p>
    <w:p w14:paraId="6E903CF0" w14:textId="77777777" w:rsidR="006147C0" w:rsidRPr="006147C0" w:rsidRDefault="006147C0" w:rsidP="006147C0">
      <w:pPr>
        <w:pStyle w:val="Heading2"/>
      </w:pPr>
      <w:r w:rsidRPr="006147C0">
        <w:t>Ceftriaxone</w:t>
      </w:r>
    </w:p>
    <w:p w14:paraId="2E7EA44C" w14:textId="77777777" w:rsidR="006147C0" w:rsidRDefault="006147C0" w:rsidP="006147C0">
      <w:r>
        <w:t xml:space="preserve">In the first quarter of 2018 the proportion of isolates with ceftriaxone DS in Australia was 1.7%, slightly higher than the proportion in the first quarter of 2017, and the annual proportion for 2017. Of note there were two isolates reported in Australia that had high minimal inhibitory concentration (MIC) values to ceftriaxone (0.25mg/L and 0.50mg/L), that also had high level resistance to azithromycin </w:t>
      </w:r>
      <w:r w:rsidR="00155FD5">
        <w:t>(</w:t>
      </w:r>
      <w:r>
        <w:t>MIC &gt;256mg/L), and were resistant to penicillin and ciprofloxacin, but susceptible to spectinomycin and gentamicin. Genetic analyses showed these two strains were indistinguishable.</w:t>
      </w:r>
      <w:r>
        <w:rPr>
          <w:vertAlign w:val="superscript"/>
        </w:rPr>
        <w:t>1</w:t>
      </w:r>
      <w:r>
        <w:t xml:space="preserve"> Both strains were isolated from persons residing in Queensland. This was the first time </w:t>
      </w:r>
      <w:r w:rsidRPr="00521BF8">
        <w:rPr>
          <w:rStyle w:val="Emphasis"/>
          <w:b w:val="0"/>
        </w:rPr>
        <w:t>Neisseria gonorrhoeae</w:t>
      </w:r>
      <w:r>
        <w:t xml:space="preserve"> (NG) strains with an extensively drug resistant profile have been reported in Australia; a strain with a similar profile has also been reported in the United Kingdom.</w:t>
      </w:r>
      <w:r>
        <w:rPr>
          <w:vertAlign w:val="superscript"/>
        </w:rPr>
        <w:t>2</w:t>
      </w:r>
      <w:r>
        <w:t xml:space="preserve"> </w:t>
      </w:r>
    </w:p>
    <w:p w14:paraId="4B71BAAB" w14:textId="77777777" w:rsidR="00AF6673" w:rsidRDefault="006147C0" w:rsidP="006147C0">
      <w:r>
        <w:t>The category of ceftriaxone DS as reported by the AGSP includes the MIC values 0.06 and ≥0.125 mg/L, and the national trend since 2010 is shown in Table 2.</w:t>
      </w:r>
    </w:p>
    <w:p w14:paraId="651321C3" w14:textId="77777777" w:rsidR="00173230" w:rsidRDefault="005459AD" w:rsidP="006147C0">
      <w:pPr>
        <w:sectPr w:rsidR="00173230" w:rsidSect="00A30C37">
          <w:pgSz w:w="11906" w:h="16838"/>
          <w:pgMar w:top="720" w:right="720" w:bottom="1134" w:left="720" w:header="709" w:footer="284" w:gutter="0"/>
          <w:cols w:space="708"/>
          <w:titlePg/>
          <w:docGrid w:linePitch="360"/>
        </w:sectPr>
      </w:pPr>
      <w:r>
        <w:t>A summary of ceftriaxone DS strains that were resistant to penicillin and ciprofloxacin, or isolated from extragenital sites (rectal and pharyngeal) for Quarter 1, 2018 by state or territory, and by sex (male/female), are shown in Table 3.</w:t>
      </w:r>
    </w:p>
    <w:p w14:paraId="2A032868" w14:textId="77777777" w:rsidR="006147C0" w:rsidRDefault="006147C0" w:rsidP="006147C0"/>
    <w:p w14:paraId="5631ED34" w14:textId="77777777" w:rsidR="006147C0" w:rsidRDefault="006147C0" w:rsidP="00173230">
      <w:pPr>
        <w:pStyle w:val="CDIFigures"/>
      </w:pPr>
      <w:r>
        <w:t xml:space="preserve">Table 2: Percentage of gonococcal isolates with decreased susceptibility to ceftriaxone </w:t>
      </w:r>
      <w:r w:rsidR="00155FD5">
        <w:t>(</w:t>
      </w:r>
      <w:r>
        <w:t>MIC 0.06 and ≥0.125 mg/L</w:t>
      </w:r>
      <w:r w:rsidR="00155FD5">
        <w:t>)</w:t>
      </w:r>
      <w:r>
        <w:t xml:space="preserve">, Australia, 2010 to 2017, and 1 January to 31 March 2018. </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2 shows the percentage of gonococcal isolates with decreased susceptibility to ceftriaxone with an MIC of 0.06 mg/L, and isolates with decreased susceptibility to ceftriaxone with an MIC of ≥0.125 mg/L from Australia in 2010 to 2017 and 1 January to 31 March 2018."/>
      </w:tblPr>
      <w:tblGrid>
        <w:gridCol w:w="2226"/>
        <w:gridCol w:w="1412"/>
        <w:gridCol w:w="1413"/>
        <w:gridCol w:w="1413"/>
        <w:gridCol w:w="1412"/>
        <w:gridCol w:w="1413"/>
        <w:gridCol w:w="1413"/>
        <w:gridCol w:w="1412"/>
        <w:gridCol w:w="1413"/>
        <w:gridCol w:w="1413"/>
      </w:tblGrid>
      <w:tr w:rsidR="00BA00CD" w:rsidRPr="00BA00CD" w14:paraId="24DA933C" w14:textId="77777777" w:rsidTr="0014561B">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5465D269" w14:textId="77777777" w:rsidR="006147C0" w:rsidRPr="00BA00CD" w:rsidRDefault="006147C0">
            <w:pPr>
              <w:pStyle w:val="NormalWeb"/>
              <w:rPr>
                <w:color w:val="FFFFFF" w:themeColor="background1"/>
              </w:rPr>
            </w:pPr>
            <w:r w:rsidRPr="00BA00CD">
              <w:rPr>
                <w:color w:val="FFFFFF" w:themeColor="background1"/>
              </w:rPr>
              <w:t>Ceftriaxone MIC mg/L</w:t>
            </w:r>
          </w:p>
        </w:tc>
        <w:tc>
          <w:tcPr>
            <w:tcW w:w="1412" w:type="dxa"/>
            <w:hideMark/>
          </w:tcPr>
          <w:p w14:paraId="6145DCE9" w14:textId="77777777" w:rsidR="006147C0" w:rsidRPr="00BA00CD" w:rsidRDefault="006147C0" w:rsidP="00E97DAE">
            <w:pPr>
              <w:pStyle w:val="NormalWeb"/>
              <w:jc w:val="center"/>
              <w:rPr>
                <w:color w:val="FFFFFF" w:themeColor="background1"/>
              </w:rPr>
            </w:pPr>
            <w:r w:rsidRPr="00BA00CD">
              <w:rPr>
                <w:color w:val="FFFFFF" w:themeColor="background1"/>
              </w:rPr>
              <w:t>2010</w:t>
            </w:r>
          </w:p>
        </w:tc>
        <w:tc>
          <w:tcPr>
            <w:tcW w:w="1413" w:type="dxa"/>
            <w:hideMark/>
          </w:tcPr>
          <w:p w14:paraId="5038BD85" w14:textId="77777777" w:rsidR="006147C0" w:rsidRPr="00BA00CD" w:rsidRDefault="006147C0" w:rsidP="00E97DAE">
            <w:pPr>
              <w:pStyle w:val="NormalWeb"/>
              <w:jc w:val="center"/>
              <w:rPr>
                <w:color w:val="FFFFFF" w:themeColor="background1"/>
              </w:rPr>
            </w:pPr>
            <w:r w:rsidRPr="00BA00CD">
              <w:rPr>
                <w:color w:val="FFFFFF" w:themeColor="background1"/>
              </w:rPr>
              <w:t>2011</w:t>
            </w:r>
          </w:p>
        </w:tc>
        <w:tc>
          <w:tcPr>
            <w:tcW w:w="1413" w:type="dxa"/>
            <w:hideMark/>
          </w:tcPr>
          <w:p w14:paraId="2BCB8038" w14:textId="77777777" w:rsidR="006147C0" w:rsidRPr="00BA00CD" w:rsidRDefault="006147C0" w:rsidP="00E97DAE">
            <w:pPr>
              <w:pStyle w:val="NormalWeb"/>
              <w:jc w:val="center"/>
              <w:rPr>
                <w:color w:val="FFFFFF" w:themeColor="background1"/>
              </w:rPr>
            </w:pPr>
            <w:r w:rsidRPr="00BA00CD">
              <w:rPr>
                <w:color w:val="FFFFFF" w:themeColor="background1"/>
              </w:rPr>
              <w:t>2012</w:t>
            </w:r>
          </w:p>
        </w:tc>
        <w:tc>
          <w:tcPr>
            <w:tcW w:w="1412" w:type="dxa"/>
            <w:hideMark/>
          </w:tcPr>
          <w:p w14:paraId="3902A336" w14:textId="77777777" w:rsidR="006147C0" w:rsidRPr="00BA00CD" w:rsidRDefault="006147C0" w:rsidP="00E97DAE">
            <w:pPr>
              <w:pStyle w:val="NormalWeb"/>
              <w:jc w:val="center"/>
              <w:rPr>
                <w:color w:val="FFFFFF" w:themeColor="background1"/>
              </w:rPr>
            </w:pPr>
            <w:r w:rsidRPr="00BA00CD">
              <w:rPr>
                <w:color w:val="FFFFFF" w:themeColor="background1"/>
              </w:rPr>
              <w:t>2013</w:t>
            </w:r>
          </w:p>
        </w:tc>
        <w:tc>
          <w:tcPr>
            <w:tcW w:w="1413" w:type="dxa"/>
            <w:hideMark/>
          </w:tcPr>
          <w:p w14:paraId="353C114E" w14:textId="77777777" w:rsidR="006147C0" w:rsidRPr="00BA00CD" w:rsidRDefault="006147C0" w:rsidP="00E97DAE">
            <w:pPr>
              <w:pStyle w:val="NormalWeb"/>
              <w:jc w:val="center"/>
              <w:rPr>
                <w:color w:val="FFFFFF" w:themeColor="background1"/>
              </w:rPr>
            </w:pPr>
            <w:r w:rsidRPr="00BA00CD">
              <w:rPr>
                <w:color w:val="FFFFFF" w:themeColor="background1"/>
              </w:rPr>
              <w:t>2014</w:t>
            </w:r>
          </w:p>
        </w:tc>
        <w:tc>
          <w:tcPr>
            <w:tcW w:w="1413" w:type="dxa"/>
            <w:hideMark/>
          </w:tcPr>
          <w:p w14:paraId="5C70AA23" w14:textId="77777777" w:rsidR="006147C0" w:rsidRPr="00BA00CD" w:rsidRDefault="006147C0" w:rsidP="00E97DAE">
            <w:pPr>
              <w:pStyle w:val="NormalWeb"/>
              <w:jc w:val="center"/>
              <w:rPr>
                <w:color w:val="FFFFFF" w:themeColor="background1"/>
              </w:rPr>
            </w:pPr>
            <w:r w:rsidRPr="00BA00CD">
              <w:rPr>
                <w:color w:val="FFFFFF" w:themeColor="background1"/>
              </w:rPr>
              <w:t>2015</w:t>
            </w:r>
          </w:p>
        </w:tc>
        <w:tc>
          <w:tcPr>
            <w:tcW w:w="1412" w:type="dxa"/>
            <w:hideMark/>
          </w:tcPr>
          <w:p w14:paraId="693BE185" w14:textId="77777777" w:rsidR="006147C0" w:rsidRPr="00BA00CD" w:rsidRDefault="006147C0" w:rsidP="00E97DAE">
            <w:pPr>
              <w:pStyle w:val="NormalWeb"/>
              <w:jc w:val="center"/>
              <w:rPr>
                <w:color w:val="FFFFFF" w:themeColor="background1"/>
              </w:rPr>
            </w:pPr>
            <w:r w:rsidRPr="00BA00CD">
              <w:rPr>
                <w:color w:val="FFFFFF" w:themeColor="background1"/>
              </w:rPr>
              <w:t>2016</w:t>
            </w:r>
          </w:p>
        </w:tc>
        <w:tc>
          <w:tcPr>
            <w:tcW w:w="1413" w:type="dxa"/>
            <w:hideMark/>
          </w:tcPr>
          <w:p w14:paraId="39479F3B" w14:textId="77777777" w:rsidR="006147C0" w:rsidRPr="00BA00CD" w:rsidRDefault="006147C0" w:rsidP="00E97DAE">
            <w:pPr>
              <w:pStyle w:val="NormalWeb"/>
              <w:jc w:val="center"/>
              <w:rPr>
                <w:color w:val="FFFFFF" w:themeColor="background1"/>
              </w:rPr>
            </w:pPr>
            <w:r w:rsidRPr="00BA00CD">
              <w:rPr>
                <w:color w:val="FFFFFF" w:themeColor="background1"/>
              </w:rPr>
              <w:t>2017</w:t>
            </w:r>
          </w:p>
        </w:tc>
        <w:tc>
          <w:tcPr>
            <w:tcW w:w="1413" w:type="dxa"/>
            <w:hideMark/>
          </w:tcPr>
          <w:p w14:paraId="0BB47434" w14:textId="77777777" w:rsidR="006147C0" w:rsidRPr="00BA00CD" w:rsidRDefault="006147C0" w:rsidP="00E97DAE">
            <w:pPr>
              <w:pStyle w:val="NormalWeb"/>
              <w:jc w:val="center"/>
              <w:rPr>
                <w:color w:val="FFFFFF" w:themeColor="background1"/>
              </w:rPr>
            </w:pPr>
            <w:r w:rsidRPr="00BA00CD">
              <w:rPr>
                <w:color w:val="FFFFFF" w:themeColor="background1"/>
              </w:rPr>
              <w:t>2018 Q1</w:t>
            </w:r>
          </w:p>
        </w:tc>
      </w:tr>
      <w:tr w:rsidR="006147C0" w14:paraId="040C00D4" w14:textId="77777777" w:rsidTr="0014561B">
        <w:tc>
          <w:tcPr>
            <w:tcW w:w="0" w:type="auto"/>
            <w:hideMark/>
          </w:tcPr>
          <w:p w14:paraId="704F1BF1" w14:textId="77777777" w:rsidR="006147C0" w:rsidRDefault="006147C0">
            <w:pPr>
              <w:pStyle w:val="NormalWeb"/>
            </w:pPr>
            <w:r>
              <w:t>0.06</w:t>
            </w:r>
          </w:p>
        </w:tc>
        <w:tc>
          <w:tcPr>
            <w:tcW w:w="1412" w:type="dxa"/>
            <w:hideMark/>
          </w:tcPr>
          <w:p w14:paraId="25EFE0C4" w14:textId="77777777" w:rsidR="006147C0" w:rsidRDefault="006147C0" w:rsidP="00E97DAE">
            <w:pPr>
              <w:pStyle w:val="NormalWeb"/>
              <w:jc w:val="center"/>
            </w:pPr>
            <w:r>
              <w:t>4.80%</w:t>
            </w:r>
          </w:p>
        </w:tc>
        <w:tc>
          <w:tcPr>
            <w:tcW w:w="1413" w:type="dxa"/>
            <w:hideMark/>
          </w:tcPr>
          <w:p w14:paraId="7E8E8E8C" w14:textId="77777777" w:rsidR="006147C0" w:rsidRDefault="006147C0" w:rsidP="00E97DAE">
            <w:pPr>
              <w:pStyle w:val="NormalWeb"/>
              <w:jc w:val="center"/>
            </w:pPr>
            <w:r>
              <w:t>3.20%</w:t>
            </w:r>
          </w:p>
        </w:tc>
        <w:tc>
          <w:tcPr>
            <w:tcW w:w="1413" w:type="dxa"/>
            <w:hideMark/>
          </w:tcPr>
          <w:p w14:paraId="3DFF9EC6" w14:textId="77777777" w:rsidR="006147C0" w:rsidRDefault="006147C0" w:rsidP="00E97DAE">
            <w:pPr>
              <w:pStyle w:val="NormalWeb"/>
              <w:jc w:val="center"/>
            </w:pPr>
            <w:r>
              <w:t>4.10%</w:t>
            </w:r>
          </w:p>
        </w:tc>
        <w:tc>
          <w:tcPr>
            <w:tcW w:w="1412" w:type="dxa"/>
            <w:hideMark/>
          </w:tcPr>
          <w:p w14:paraId="127AECF8" w14:textId="77777777" w:rsidR="006147C0" w:rsidRDefault="006147C0" w:rsidP="00E97DAE">
            <w:pPr>
              <w:pStyle w:val="NormalWeb"/>
              <w:jc w:val="center"/>
            </w:pPr>
            <w:r>
              <w:t>8.20%</w:t>
            </w:r>
          </w:p>
        </w:tc>
        <w:tc>
          <w:tcPr>
            <w:tcW w:w="1413" w:type="dxa"/>
            <w:hideMark/>
          </w:tcPr>
          <w:p w14:paraId="10E1B42C" w14:textId="77777777" w:rsidR="006147C0" w:rsidRDefault="006147C0" w:rsidP="00E97DAE">
            <w:pPr>
              <w:pStyle w:val="NormalWeb"/>
              <w:jc w:val="center"/>
            </w:pPr>
            <w:r>
              <w:t>4.80%</w:t>
            </w:r>
          </w:p>
        </w:tc>
        <w:tc>
          <w:tcPr>
            <w:tcW w:w="1413" w:type="dxa"/>
            <w:hideMark/>
          </w:tcPr>
          <w:p w14:paraId="3DC9B9CD" w14:textId="77777777" w:rsidR="006147C0" w:rsidRDefault="006147C0" w:rsidP="00E97DAE">
            <w:pPr>
              <w:pStyle w:val="NormalWeb"/>
              <w:jc w:val="center"/>
            </w:pPr>
            <w:r>
              <w:t>1.70%</w:t>
            </w:r>
          </w:p>
        </w:tc>
        <w:tc>
          <w:tcPr>
            <w:tcW w:w="1412" w:type="dxa"/>
            <w:hideMark/>
          </w:tcPr>
          <w:p w14:paraId="7EE9C1B0" w14:textId="77777777" w:rsidR="006147C0" w:rsidRDefault="006147C0" w:rsidP="00E97DAE">
            <w:pPr>
              <w:pStyle w:val="NormalWeb"/>
              <w:jc w:val="center"/>
            </w:pPr>
            <w:r>
              <w:t>1.65%</w:t>
            </w:r>
          </w:p>
        </w:tc>
        <w:tc>
          <w:tcPr>
            <w:tcW w:w="1413" w:type="dxa"/>
            <w:hideMark/>
          </w:tcPr>
          <w:p w14:paraId="68B8836E" w14:textId="77777777" w:rsidR="006147C0" w:rsidRDefault="006147C0" w:rsidP="00E97DAE">
            <w:pPr>
              <w:pStyle w:val="NormalWeb"/>
              <w:jc w:val="center"/>
            </w:pPr>
            <w:r>
              <w:t>1.02%</w:t>
            </w:r>
          </w:p>
        </w:tc>
        <w:tc>
          <w:tcPr>
            <w:tcW w:w="1413" w:type="dxa"/>
            <w:hideMark/>
          </w:tcPr>
          <w:p w14:paraId="099714F7" w14:textId="77777777" w:rsidR="006147C0" w:rsidRDefault="006147C0" w:rsidP="00E97DAE">
            <w:pPr>
              <w:pStyle w:val="NormalWeb"/>
              <w:jc w:val="center"/>
            </w:pPr>
            <w:r>
              <w:t>1.60%</w:t>
            </w:r>
          </w:p>
        </w:tc>
      </w:tr>
      <w:tr w:rsidR="006147C0" w14:paraId="137B0776" w14:textId="77777777" w:rsidTr="0014561B">
        <w:trPr>
          <w:cnfStyle w:val="000000010000" w:firstRow="0" w:lastRow="0" w:firstColumn="0" w:lastColumn="0" w:oddVBand="0" w:evenVBand="0" w:oddHBand="0" w:evenHBand="1" w:firstRowFirstColumn="0" w:firstRowLastColumn="0" w:lastRowFirstColumn="0" w:lastRowLastColumn="0"/>
        </w:trPr>
        <w:tc>
          <w:tcPr>
            <w:tcW w:w="0" w:type="auto"/>
            <w:hideMark/>
          </w:tcPr>
          <w:p w14:paraId="5B88883A" w14:textId="77777777" w:rsidR="006147C0" w:rsidRDefault="006147C0">
            <w:pPr>
              <w:pStyle w:val="NormalWeb"/>
            </w:pPr>
            <w:r>
              <w:t>≥0.125</w:t>
            </w:r>
          </w:p>
        </w:tc>
        <w:tc>
          <w:tcPr>
            <w:tcW w:w="1412" w:type="dxa"/>
            <w:hideMark/>
          </w:tcPr>
          <w:p w14:paraId="1FDEF04A" w14:textId="77777777" w:rsidR="006147C0" w:rsidRDefault="006147C0" w:rsidP="00E97DAE">
            <w:pPr>
              <w:pStyle w:val="NormalWeb"/>
              <w:jc w:val="center"/>
            </w:pPr>
            <w:r>
              <w:t>0.10%</w:t>
            </w:r>
          </w:p>
        </w:tc>
        <w:tc>
          <w:tcPr>
            <w:tcW w:w="1413" w:type="dxa"/>
            <w:hideMark/>
          </w:tcPr>
          <w:p w14:paraId="46B50AD8" w14:textId="77777777" w:rsidR="006147C0" w:rsidRDefault="006147C0" w:rsidP="00E97DAE">
            <w:pPr>
              <w:pStyle w:val="NormalWeb"/>
              <w:jc w:val="center"/>
            </w:pPr>
            <w:r>
              <w:t>0.10%</w:t>
            </w:r>
          </w:p>
        </w:tc>
        <w:tc>
          <w:tcPr>
            <w:tcW w:w="1413" w:type="dxa"/>
            <w:hideMark/>
          </w:tcPr>
          <w:p w14:paraId="2A6DD0A5" w14:textId="77777777" w:rsidR="006147C0" w:rsidRDefault="006147C0" w:rsidP="00E97DAE">
            <w:pPr>
              <w:pStyle w:val="NormalWeb"/>
              <w:jc w:val="center"/>
            </w:pPr>
            <w:r>
              <w:t>0.30%</w:t>
            </w:r>
          </w:p>
        </w:tc>
        <w:tc>
          <w:tcPr>
            <w:tcW w:w="1412" w:type="dxa"/>
            <w:hideMark/>
          </w:tcPr>
          <w:p w14:paraId="51EA0B0E" w14:textId="77777777" w:rsidR="006147C0" w:rsidRDefault="006147C0" w:rsidP="00E97DAE">
            <w:pPr>
              <w:pStyle w:val="NormalWeb"/>
              <w:jc w:val="center"/>
            </w:pPr>
            <w:r>
              <w:t>0.60%</w:t>
            </w:r>
          </w:p>
        </w:tc>
        <w:tc>
          <w:tcPr>
            <w:tcW w:w="1413" w:type="dxa"/>
            <w:hideMark/>
          </w:tcPr>
          <w:p w14:paraId="1AB6EC02" w14:textId="77777777" w:rsidR="006147C0" w:rsidRDefault="006147C0" w:rsidP="00E97DAE">
            <w:pPr>
              <w:pStyle w:val="NormalWeb"/>
              <w:jc w:val="center"/>
            </w:pPr>
            <w:r>
              <w:t>0.60%</w:t>
            </w:r>
          </w:p>
        </w:tc>
        <w:tc>
          <w:tcPr>
            <w:tcW w:w="1413" w:type="dxa"/>
            <w:hideMark/>
          </w:tcPr>
          <w:p w14:paraId="7688CCFC" w14:textId="77777777" w:rsidR="006147C0" w:rsidRDefault="006147C0" w:rsidP="00E97DAE">
            <w:pPr>
              <w:pStyle w:val="NormalWeb"/>
              <w:jc w:val="center"/>
            </w:pPr>
            <w:r>
              <w:t>0.10%</w:t>
            </w:r>
          </w:p>
        </w:tc>
        <w:tc>
          <w:tcPr>
            <w:tcW w:w="1412" w:type="dxa"/>
            <w:hideMark/>
          </w:tcPr>
          <w:p w14:paraId="792CCB97" w14:textId="77777777" w:rsidR="006147C0" w:rsidRDefault="006147C0" w:rsidP="00E97DAE">
            <w:pPr>
              <w:pStyle w:val="NormalWeb"/>
              <w:jc w:val="center"/>
            </w:pPr>
            <w:r>
              <w:t>0.05%</w:t>
            </w:r>
          </w:p>
        </w:tc>
        <w:tc>
          <w:tcPr>
            <w:tcW w:w="1413" w:type="dxa"/>
            <w:hideMark/>
          </w:tcPr>
          <w:p w14:paraId="468B5D5C" w14:textId="77777777" w:rsidR="006147C0" w:rsidRDefault="006147C0" w:rsidP="00E97DAE">
            <w:pPr>
              <w:pStyle w:val="NormalWeb"/>
              <w:jc w:val="center"/>
            </w:pPr>
            <w:r>
              <w:t>0.04%</w:t>
            </w:r>
          </w:p>
        </w:tc>
        <w:tc>
          <w:tcPr>
            <w:tcW w:w="1413" w:type="dxa"/>
            <w:hideMark/>
          </w:tcPr>
          <w:p w14:paraId="6B8975D9" w14:textId="77777777" w:rsidR="006147C0" w:rsidRDefault="006147C0" w:rsidP="00E97DAE">
            <w:pPr>
              <w:pStyle w:val="NormalWeb"/>
              <w:jc w:val="center"/>
            </w:pPr>
            <w:r>
              <w:t>0.10%</w:t>
            </w:r>
          </w:p>
        </w:tc>
      </w:tr>
    </w:tbl>
    <w:p w14:paraId="71D9F6A2" w14:textId="77777777" w:rsidR="006147C0" w:rsidRDefault="006147C0" w:rsidP="006147C0">
      <w:pPr>
        <w:pStyle w:val="CDIFigures"/>
      </w:pPr>
      <w:r>
        <w:t xml:space="preserve">Table 3: Percentage of gonococcal isolates with decreased susceptibility to ceftriaxone (MIC ≥0.06 mg/L) and that were penicillin (Pen) and ciprofloxacin (Cip) resistant (R), isolated from extragenital sites, and by sex, Australia, 1 January to 31 March 2018.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shows the percentage of gonococcal isolates with decreased susceptibility to ceftriaxone (MIC ≥0.06 mg/L), that showed resistance to both penicillin and ciprofloxacin, that were isolated from extra genital sites (rectal and pharyngeal), and the proportion isolated from males and females, from Australia, by state and territory, 1 January to 31 March 2018."/>
      </w:tblPr>
      <w:tblGrid>
        <w:gridCol w:w="3969"/>
        <w:gridCol w:w="1701"/>
        <w:gridCol w:w="851"/>
        <w:gridCol w:w="1084"/>
        <w:gridCol w:w="754"/>
        <w:gridCol w:w="1260"/>
        <w:gridCol w:w="965"/>
        <w:gridCol w:w="1377"/>
        <w:gridCol w:w="1393"/>
        <w:gridCol w:w="1630"/>
      </w:tblGrid>
      <w:tr w:rsidR="00DB31B9" w:rsidRPr="00DB31B9" w14:paraId="54ED298F" w14:textId="77777777" w:rsidTr="0091552B">
        <w:trPr>
          <w:cnfStyle w:val="100000000000" w:firstRow="1" w:lastRow="0" w:firstColumn="0" w:lastColumn="0" w:oddVBand="0" w:evenVBand="0" w:oddHBand="0" w:evenHBand="0" w:firstRowFirstColumn="0" w:firstRowLastColumn="0" w:lastRowFirstColumn="0" w:lastRowLastColumn="0"/>
          <w:tblHeader/>
        </w:trPr>
        <w:tc>
          <w:tcPr>
            <w:tcW w:w="14984" w:type="dxa"/>
            <w:gridSpan w:val="10"/>
            <w:shd w:val="clear" w:color="auto" w:fill="595959" w:themeFill="text1" w:themeFillTint="A6"/>
            <w:hideMark/>
          </w:tcPr>
          <w:p w14:paraId="51D78A9A" w14:textId="77777777" w:rsidR="006147C0" w:rsidRPr="00DB31B9" w:rsidRDefault="006147C0">
            <w:pPr>
              <w:pStyle w:val="NormalWeb"/>
              <w:rPr>
                <w:color w:val="FFFFFF" w:themeColor="background1"/>
              </w:rPr>
            </w:pPr>
            <w:r w:rsidRPr="00DB31B9">
              <w:rPr>
                <w:color w:val="FFFFFF" w:themeColor="background1"/>
              </w:rPr>
              <w:t>Strains with ceftriaxone decreased susceptibility (CRO DS)</w:t>
            </w:r>
          </w:p>
        </w:tc>
      </w:tr>
      <w:tr w:rsidR="00DB31B9" w:rsidRPr="00DB31B9" w14:paraId="6BD79D2E" w14:textId="77777777" w:rsidTr="003842D1">
        <w:trPr>
          <w:cnfStyle w:val="100000000000" w:firstRow="1" w:lastRow="0" w:firstColumn="0" w:lastColumn="0" w:oddVBand="0" w:evenVBand="0" w:oddHBand="0" w:evenHBand="0" w:firstRowFirstColumn="0" w:firstRowLastColumn="0" w:lastRowFirstColumn="0" w:lastRowLastColumn="0"/>
          <w:tblHeader/>
        </w:trPr>
        <w:tc>
          <w:tcPr>
            <w:tcW w:w="3969" w:type="dxa"/>
            <w:vMerge w:val="restart"/>
            <w:tcBorders>
              <w:right w:val="single" w:sz="4" w:space="0" w:color="auto"/>
            </w:tcBorders>
            <w:shd w:val="clear" w:color="auto" w:fill="595959" w:themeFill="text1" w:themeFillTint="A6"/>
            <w:hideMark/>
          </w:tcPr>
          <w:p w14:paraId="29603734" w14:textId="77777777" w:rsidR="006147C0" w:rsidRPr="00DB31B9" w:rsidRDefault="006147C0">
            <w:pPr>
              <w:pStyle w:val="NormalWeb"/>
              <w:rPr>
                <w:color w:val="FFFFFF" w:themeColor="background1"/>
              </w:rPr>
            </w:pPr>
            <w:r w:rsidRPr="00DB31B9">
              <w:rPr>
                <w:color w:val="FFFFFF" w:themeColor="background1"/>
              </w:rPr>
              <w:t>State or Territory</w:t>
            </w:r>
          </w:p>
        </w:tc>
        <w:tc>
          <w:tcPr>
            <w:tcW w:w="1701" w:type="dxa"/>
            <w:vMerge w:val="restart"/>
            <w:tcBorders>
              <w:left w:val="single" w:sz="4" w:space="0" w:color="auto"/>
              <w:right w:val="single" w:sz="4" w:space="0" w:color="auto"/>
            </w:tcBorders>
            <w:shd w:val="clear" w:color="auto" w:fill="595959" w:themeFill="text1" w:themeFillTint="A6"/>
            <w:hideMark/>
          </w:tcPr>
          <w:p w14:paraId="6B32A113" w14:textId="77777777" w:rsidR="006147C0" w:rsidRPr="00DB31B9" w:rsidRDefault="006147C0" w:rsidP="00D163A7">
            <w:pPr>
              <w:pStyle w:val="NormalWeb"/>
              <w:jc w:val="center"/>
              <w:rPr>
                <w:color w:val="FFFFFF" w:themeColor="background1"/>
              </w:rPr>
            </w:pPr>
            <w:r w:rsidRPr="00DB31B9">
              <w:rPr>
                <w:color w:val="FFFFFF" w:themeColor="background1"/>
              </w:rPr>
              <w:t>Total</w:t>
            </w:r>
          </w:p>
        </w:tc>
        <w:tc>
          <w:tcPr>
            <w:tcW w:w="1935" w:type="dxa"/>
            <w:gridSpan w:val="2"/>
            <w:tcBorders>
              <w:left w:val="single" w:sz="4" w:space="0" w:color="auto"/>
              <w:right w:val="single" w:sz="4" w:space="0" w:color="auto"/>
            </w:tcBorders>
            <w:shd w:val="clear" w:color="auto" w:fill="595959" w:themeFill="text1" w:themeFillTint="A6"/>
            <w:hideMark/>
          </w:tcPr>
          <w:p w14:paraId="105A5848" w14:textId="77777777" w:rsidR="006147C0" w:rsidRPr="00DB31B9" w:rsidRDefault="006147C0" w:rsidP="00D163A7">
            <w:pPr>
              <w:pStyle w:val="NormalWeb"/>
              <w:jc w:val="center"/>
              <w:rPr>
                <w:color w:val="FFFFFF" w:themeColor="background1"/>
              </w:rPr>
            </w:pPr>
            <w:r w:rsidRPr="00DB31B9">
              <w:rPr>
                <w:color w:val="FFFFFF" w:themeColor="background1"/>
              </w:rPr>
              <w:t>Pen R + Cip R</w:t>
            </w:r>
          </w:p>
        </w:tc>
        <w:tc>
          <w:tcPr>
            <w:tcW w:w="2014" w:type="dxa"/>
            <w:gridSpan w:val="2"/>
            <w:tcBorders>
              <w:left w:val="single" w:sz="4" w:space="0" w:color="auto"/>
              <w:right w:val="single" w:sz="4" w:space="0" w:color="auto"/>
            </w:tcBorders>
            <w:shd w:val="clear" w:color="auto" w:fill="595959" w:themeFill="text1" w:themeFillTint="A6"/>
            <w:hideMark/>
          </w:tcPr>
          <w:p w14:paraId="74F977BA" w14:textId="77777777" w:rsidR="006147C0" w:rsidRPr="00DB31B9" w:rsidRDefault="006147C0" w:rsidP="00D163A7">
            <w:pPr>
              <w:pStyle w:val="NormalWeb"/>
              <w:jc w:val="center"/>
              <w:rPr>
                <w:color w:val="FFFFFF" w:themeColor="background1"/>
              </w:rPr>
            </w:pPr>
            <w:r w:rsidRPr="00DB31B9">
              <w:rPr>
                <w:color w:val="FFFFFF" w:themeColor="background1"/>
              </w:rPr>
              <w:t>Males</w:t>
            </w:r>
          </w:p>
        </w:tc>
        <w:tc>
          <w:tcPr>
            <w:tcW w:w="2342" w:type="dxa"/>
            <w:gridSpan w:val="2"/>
            <w:tcBorders>
              <w:left w:val="single" w:sz="4" w:space="0" w:color="auto"/>
              <w:right w:val="single" w:sz="4" w:space="0" w:color="auto"/>
            </w:tcBorders>
            <w:shd w:val="clear" w:color="auto" w:fill="595959" w:themeFill="text1" w:themeFillTint="A6"/>
            <w:hideMark/>
          </w:tcPr>
          <w:p w14:paraId="217315E8" w14:textId="77777777" w:rsidR="006147C0" w:rsidRPr="00DB31B9" w:rsidRDefault="006147C0" w:rsidP="00D163A7">
            <w:pPr>
              <w:pStyle w:val="NormalWeb"/>
              <w:jc w:val="center"/>
              <w:rPr>
                <w:color w:val="FFFFFF" w:themeColor="background1"/>
              </w:rPr>
            </w:pPr>
            <w:r w:rsidRPr="00DB31B9">
              <w:rPr>
                <w:color w:val="FFFFFF" w:themeColor="background1"/>
              </w:rPr>
              <w:t>Females</w:t>
            </w:r>
          </w:p>
        </w:tc>
        <w:tc>
          <w:tcPr>
            <w:tcW w:w="3023" w:type="dxa"/>
            <w:gridSpan w:val="2"/>
            <w:tcBorders>
              <w:left w:val="single" w:sz="4" w:space="0" w:color="auto"/>
            </w:tcBorders>
            <w:shd w:val="clear" w:color="auto" w:fill="595959" w:themeFill="text1" w:themeFillTint="A6"/>
            <w:hideMark/>
          </w:tcPr>
          <w:p w14:paraId="571C1828" w14:textId="77777777" w:rsidR="006147C0" w:rsidRPr="00DB31B9" w:rsidRDefault="006147C0" w:rsidP="00D163A7">
            <w:pPr>
              <w:pStyle w:val="NormalWeb"/>
              <w:jc w:val="center"/>
              <w:rPr>
                <w:color w:val="FFFFFF" w:themeColor="background1"/>
              </w:rPr>
            </w:pPr>
            <w:r w:rsidRPr="00DB31B9">
              <w:rPr>
                <w:color w:val="FFFFFF" w:themeColor="background1"/>
              </w:rPr>
              <w:t>Extragenital sites</w:t>
            </w:r>
          </w:p>
        </w:tc>
      </w:tr>
      <w:tr w:rsidR="00DB31B9" w:rsidRPr="00DB31B9" w14:paraId="495E885E" w14:textId="77777777" w:rsidTr="003842D1">
        <w:trPr>
          <w:cnfStyle w:val="100000000000" w:firstRow="1" w:lastRow="0" w:firstColumn="0" w:lastColumn="0" w:oddVBand="0" w:evenVBand="0" w:oddHBand="0" w:evenHBand="0" w:firstRowFirstColumn="0" w:firstRowLastColumn="0" w:lastRowFirstColumn="0" w:lastRowLastColumn="0"/>
          <w:tblHeader/>
        </w:trPr>
        <w:tc>
          <w:tcPr>
            <w:tcW w:w="3969" w:type="dxa"/>
            <w:vMerge/>
            <w:tcBorders>
              <w:right w:val="single" w:sz="4" w:space="0" w:color="auto"/>
            </w:tcBorders>
            <w:shd w:val="clear" w:color="auto" w:fill="595959" w:themeFill="text1" w:themeFillTint="A6"/>
            <w:hideMark/>
          </w:tcPr>
          <w:p w14:paraId="49B5E812" w14:textId="77777777" w:rsidR="006147C0" w:rsidRPr="00DB31B9" w:rsidRDefault="006147C0">
            <w:pPr>
              <w:rPr>
                <w:color w:val="FFFFFF" w:themeColor="background1"/>
                <w:sz w:val="24"/>
                <w:szCs w:val="24"/>
              </w:rPr>
            </w:pPr>
          </w:p>
        </w:tc>
        <w:tc>
          <w:tcPr>
            <w:tcW w:w="1701" w:type="dxa"/>
            <w:vMerge/>
            <w:tcBorders>
              <w:left w:val="single" w:sz="4" w:space="0" w:color="auto"/>
              <w:right w:val="single" w:sz="4" w:space="0" w:color="auto"/>
            </w:tcBorders>
            <w:shd w:val="clear" w:color="auto" w:fill="595959" w:themeFill="text1" w:themeFillTint="A6"/>
            <w:hideMark/>
          </w:tcPr>
          <w:p w14:paraId="6294C5D7" w14:textId="77777777" w:rsidR="006147C0" w:rsidRPr="00DB31B9" w:rsidRDefault="006147C0" w:rsidP="00D163A7">
            <w:pPr>
              <w:jc w:val="center"/>
              <w:rPr>
                <w:color w:val="FFFFFF" w:themeColor="background1"/>
                <w:sz w:val="24"/>
                <w:szCs w:val="24"/>
              </w:rPr>
            </w:pPr>
          </w:p>
        </w:tc>
        <w:tc>
          <w:tcPr>
            <w:tcW w:w="851" w:type="dxa"/>
            <w:tcBorders>
              <w:left w:val="single" w:sz="4" w:space="0" w:color="auto"/>
            </w:tcBorders>
            <w:shd w:val="clear" w:color="auto" w:fill="595959" w:themeFill="text1" w:themeFillTint="A6"/>
            <w:hideMark/>
          </w:tcPr>
          <w:p w14:paraId="0076B801" w14:textId="77777777" w:rsidR="006147C0" w:rsidRPr="00DB31B9" w:rsidRDefault="006147C0" w:rsidP="00D163A7">
            <w:pPr>
              <w:pStyle w:val="NormalWeb"/>
              <w:jc w:val="center"/>
              <w:rPr>
                <w:color w:val="FFFFFF" w:themeColor="background1"/>
              </w:rPr>
            </w:pPr>
            <w:r w:rsidRPr="00DB31B9">
              <w:rPr>
                <w:color w:val="FFFFFF" w:themeColor="background1"/>
              </w:rPr>
              <w:t>n</w:t>
            </w:r>
          </w:p>
        </w:tc>
        <w:tc>
          <w:tcPr>
            <w:tcW w:w="1084" w:type="dxa"/>
            <w:tcBorders>
              <w:right w:val="single" w:sz="4" w:space="0" w:color="auto"/>
            </w:tcBorders>
            <w:shd w:val="clear" w:color="auto" w:fill="595959" w:themeFill="text1" w:themeFillTint="A6"/>
            <w:hideMark/>
          </w:tcPr>
          <w:p w14:paraId="657DAB3E" w14:textId="77777777" w:rsidR="006147C0" w:rsidRPr="00DB31B9" w:rsidRDefault="006147C0" w:rsidP="00D163A7">
            <w:pPr>
              <w:pStyle w:val="NormalWeb"/>
              <w:jc w:val="center"/>
              <w:rPr>
                <w:color w:val="FFFFFF" w:themeColor="background1"/>
              </w:rPr>
            </w:pPr>
            <w:r w:rsidRPr="00DB31B9">
              <w:rPr>
                <w:color w:val="FFFFFF" w:themeColor="background1"/>
              </w:rPr>
              <w:t>%</w:t>
            </w:r>
          </w:p>
        </w:tc>
        <w:tc>
          <w:tcPr>
            <w:tcW w:w="754" w:type="dxa"/>
            <w:tcBorders>
              <w:left w:val="single" w:sz="4" w:space="0" w:color="auto"/>
            </w:tcBorders>
            <w:shd w:val="clear" w:color="auto" w:fill="595959" w:themeFill="text1" w:themeFillTint="A6"/>
            <w:hideMark/>
          </w:tcPr>
          <w:p w14:paraId="211F6229" w14:textId="77777777" w:rsidR="006147C0" w:rsidRPr="00DB31B9" w:rsidRDefault="006147C0" w:rsidP="00D163A7">
            <w:pPr>
              <w:pStyle w:val="NormalWeb"/>
              <w:jc w:val="center"/>
              <w:rPr>
                <w:color w:val="FFFFFF" w:themeColor="background1"/>
              </w:rPr>
            </w:pPr>
            <w:r w:rsidRPr="00DB31B9">
              <w:rPr>
                <w:color w:val="FFFFFF" w:themeColor="background1"/>
              </w:rPr>
              <w:t>n</w:t>
            </w:r>
          </w:p>
        </w:tc>
        <w:tc>
          <w:tcPr>
            <w:tcW w:w="1260" w:type="dxa"/>
            <w:tcBorders>
              <w:right w:val="single" w:sz="4" w:space="0" w:color="auto"/>
            </w:tcBorders>
            <w:shd w:val="clear" w:color="auto" w:fill="595959" w:themeFill="text1" w:themeFillTint="A6"/>
            <w:hideMark/>
          </w:tcPr>
          <w:p w14:paraId="4C058EC5" w14:textId="77777777" w:rsidR="006147C0" w:rsidRPr="00DB31B9" w:rsidRDefault="006147C0" w:rsidP="00D163A7">
            <w:pPr>
              <w:pStyle w:val="NormalWeb"/>
              <w:jc w:val="center"/>
              <w:rPr>
                <w:color w:val="FFFFFF" w:themeColor="background1"/>
              </w:rPr>
            </w:pPr>
            <w:r w:rsidRPr="00DB31B9">
              <w:rPr>
                <w:color w:val="FFFFFF" w:themeColor="background1"/>
              </w:rPr>
              <w:t>%</w:t>
            </w:r>
          </w:p>
        </w:tc>
        <w:tc>
          <w:tcPr>
            <w:tcW w:w="965" w:type="dxa"/>
            <w:tcBorders>
              <w:left w:val="single" w:sz="4" w:space="0" w:color="auto"/>
            </w:tcBorders>
            <w:shd w:val="clear" w:color="auto" w:fill="595959" w:themeFill="text1" w:themeFillTint="A6"/>
            <w:hideMark/>
          </w:tcPr>
          <w:p w14:paraId="0C42E72C" w14:textId="77777777" w:rsidR="006147C0" w:rsidRPr="00DB31B9" w:rsidRDefault="006147C0" w:rsidP="00D163A7">
            <w:pPr>
              <w:pStyle w:val="NormalWeb"/>
              <w:jc w:val="center"/>
              <w:rPr>
                <w:color w:val="FFFFFF" w:themeColor="background1"/>
              </w:rPr>
            </w:pPr>
            <w:r w:rsidRPr="00DB31B9">
              <w:rPr>
                <w:color w:val="FFFFFF" w:themeColor="background1"/>
              </w:rPr>
              <w:t>n</w:t>
            </w:r>
          </w:p>
        </w:tc>
        <w:tc>
          <w:tcPr>
            <w:tcW w:w="1377" w:type="dxa"/>
            <w:tcBorders>
              <w:right w:val="single" w:sz="4" w:space="0" w:color="auto"/>
            </w:tcBorders>
            <w:shd w:val="clear" w:color="auto" w:fill="595959" w:themeFill="text1" w:themeFillTint="A6"/>
            <w:hideMark/>
          </w:tcPr>
          <w:p w14:paraId="7DAB4106" w14:textId="77777777" w:rsidR="006147C0" w:rsidRPr="00DB31B9" w:rsidRDefault="006147C0" w:rsidP="00D163A7">
            <w:pPr>
              <w:pStyle w:val="NormalWeb"/>
              <w:jc w:val="center"/>
              <w:rPr>
                <w:color w:val="FFFFFF" w:themeColor="background1"/>
              </w:rPr>
            </w:pPr>
            <w:r w:rsidRPr="00DB31B9">
              <w:rPr>
                <w:color w:val="FFFFFF" w:themeColor="background1"/>
              </w:rPr>
              <w:t>%</w:t>
            </w:r>
          </w:p>
        </w:tc>
        <w:tc>
          <w:tcPr>
            <w:tcW w:w="1393" w:type="dxa"/>
            <w:tcBorders>
              <w:left w:val="single" w:sz="4" w:space="0" w:color="auto"/>
            </w:tcBorders>
            <w:shd w:val="clear" w:color="auto" w:fill="595959" w:themeFill="text1" w:themeFillTint="A6"/>
            <w:hideMark/>
          </w:tcPr>
          <w:p w14:paraId="2DEA6C4E" w14:textId="77777777" w:rsidR="006147C0" w:rsidRPr="00DB31B9" w:rsidRDefault="006147C0" w:rsidP="00D163A7">
            <w:pPr>
              <w:pStyle w:val="NormalWeb"/>
              <w:jc w:val="center"/>
              <w:rPr>
                <w:color w:val="FFFFFF" w:themeColor="background1"/>
              </w:rPr>
            </w:pPr>
            <w:r w:rsidRPr="00DB31B9">
              <w:rPr>
                <w:color w:val="FFFFFF" w:themeColor="background1"/>
              </w:rPr>
              <w:t>n</w:t>
            </w:r>
          </w:p>
        </w:tc>
        <w:tc>
          <w:tcPr>
            <w:tcW w:w="1630" w:type="dxa"/>
            <w:shd w:val="clear" w:color="auto" w:fill="595959" w:themeFill="text1" w:themeFillTint="A6"/>
            <w:hideMark/>
          </w:tcPr>
          <w:p w14:paraId="1549C02F" w14:textId="77777777" w:rsidR="006147C0" w:rsidRPr="00DB31B9" w:rsidRDefault="006147C0" w:rsidP="00D163A7">
            <w:pPr>
              <w:pStyle w:val="NormalWeb"/>
              <w:jc w:val="center"/>
              <w:rPr>
                <w:color w:val="FFFFFF" w:themeColor="background1"/>
              </w:rPr>
            </w:pPr>
            <w:r w:rsidRPr="00DB31B9">
              <w:rPr>
                <w:color w:val="FFFFFF" w:themeColor="background1"/>
              </w:rPr>
              <w:t>%</w:t>
            </w:r>
          </w:p>
        </w:tc>
      </w:tr>
      <w:tr w:rsidR="003842D1" w14:paraId="670A214A" w14:textId="77777777" w:rsidTr="003842D1">
        <w:tc>
          <w:tcPr>
            <w:tcW w:w="3969" w:type="dxa"/>
            <w:tcBorders>
              <w:right w:val="single" w:sz="4" w:space="0" w:color="auto"/>
            </w:tcBorders>
            <w:hideMark/>
          </w:tcPr>
          <w:p w14:paraId="4AA247F4" w14:textId="77777777" w:rsidR="006147C0" w:rsidRDefault="006147C0">
            <w:pPr>
              <w:pStyle w:val="NormalWeb"/>
            </w:pPr>
            <w:r>
              <w:t>Australian Capital Territory</w:t>
            </w:r>
          </w:p>
        </w:tc>
        <w:tc>
          <w:tcPr>
            <w:tcW w:w="1701" w:type="dxa"/>
            <w:tcBorders>
              <w:left w:val="single" w:sz="4" w:space="0" w:color="auto"/>
              <w:right w:val="single" w:sz="4" w:space="0" w:color="auto"/>
            </w:tcBorders>
            <w:hideMark/>
          </w:tcPr>
          <w:p w14:paraId="4EAF3242" w14:textId="77777777" w:rsidR="006147C0" w:rsidRDefault="006147C0" w:rsidP="00D163A7">
            <w:pPr>
              <w:pStyle w:val="NormalWeb"/>
              <w:jc w:val="center"/>
            </w:pPr>
            <w:r>
              <w:t>0</w:t>
            </w:r>
          </w:p>
        </w:tc>
        <w:tc>
          <w:tcPr>
            <w:tcW w:w="851" w:type="dxa"/>
            <w:tcBorders>
              <w:left w:val="single" w:sz="4" w:space="0" w:color="auto"/>
            </w:tcBorders>
            <w:hideMark/>
          </w:tcPr>
          <w:p w14:paraId="3227E6EB" w14:textId="77777777" w:rsidR="006147C0" w:rsidRDefault="006147C0" w:rsidP="00D163A7">
            <w:pPr>
              <w:pStyle w:val="NormalWeb"/>
              <w:jc w:val="center"/>
            </w:pPr>
            <w:r>
              <w:t>0</w:t>
            </w:r>
          </w:p>
        </w:tc>
        <w:tc>
          <w:tcPr>
            <w:tcW w:w="1084" w:type="dxa"/>
            <w:tcBorders>
              <w:right w:val="single" w:sz="4" w:space="0" w:color="auto"/>
            </w:tcBorders>
            <w:hideMark/>
          </w:tcPr>
          <w:p w14:paraId="3FD29026" w14:textId="77777777" w:rsidR="006147C0" w:rsidRDefault="006147C0" w:rsidP="00D163A7">
            <w:pPr>
              <w:pStyle w:val="NormalWeb"/>
              <w:jc w:val="center"/>
            </w:pPr>
            <w:r>
              <w:t>0</w:t>
            </w:r>
          </w:p>
        </w:tc>
        <w:tc>
          <w:tcPr>
            <w:tcW w:w="754" w:type="dxa"/>
            <w:tcBorders>
              <w:left w:val="single" w:sz="4" w:space="0" w:color="auto"/>
            </w:tcBorders>
            <w:hideMark/>
          </w:tcPr>
          <w:p w14:paraId="0BF0E649" w14:textId="77777777" w:rsidR="006147C0" w:rsidRDefault="006147C0" w:rsidP="00D163A7">
            <w:pPr>
              <w:pStyle w:val="NormalWeb"/>
              <w:jc w:val="center"/>
            </w:pPr>
            <w:r>
              <w:t>0</w:t>
            </w:r>
          </w:p>
        </w:tc>
        <w:tc>
          <w:tcPr>
            <w:tcW w:w="1260" w:type="dxa"/>
            <w:tcBorders>
              <w:right w:val="single" w:sz="4" w:space="0" w:color="auto"/>
            </w:tcBorders>
            <w:hideMark/>
          </w:tcPr>
          <w:p w14:paraId="33BF4840" w14:textId="77777777" w:rsidR="006147C0" w:rsidRDefault="006147C0" w:rsidP="00D163A7">
            <w:pPr>
              <w:pStyle w:val="NormalWeb"/>
              <w:jc w:val="center"/>
            </w:pPr>
            <w:r>
              <w:t>0</w:t>
            </w:r>
          </w:p>
        </w:tc>
        <w:tc>
          <w:tcPr>
            <w:tcW w:w="965" w:type="dxa"/>
            <w:tcBorders>
              <w:left w:val="single" w:sz="4" w:space="0" w:color="auto"/>
            </w:tcBorders>
            <w:hideMark/>
          </w:tcPr>
          <w:p w14:paraId="4C438EE6" w14:textId="77777777" w:rsidR="006147C0" w:rsidRDefault="006147C0" w:rsidP="00D163A7">
            <w:pPr>
              <w:pStyle w:val="NormalWeb"/>
              <w:jc w:val="center"/>
            </w:pPr>
            <w:r>
              <w:t>0</w:t>
            </w:r>
          </w:p>
        </w:tc>
        <w:tc>
          <w:tcPr>
            <w:tcW w:w="1377" w:type="dxa"/>
            <w:tcBorders>
              <w:right w:val="single" w:sz="4" w:space="0" w:color="auto"/>
            </w:tcBorders>
            <w:hideMark/>
          </w:tcPr>
          <w:p w14:paraId="56CDEA9D" w14:textId="77777777" w:rsidR="006147C0" w:rsidRDefault="006147C0" w:rsidP="00D163A7">
            <w:pPr>
              <w:pStyle w:val="NormalWeb"/>
              <w:jc w:val="center"/>
            </w:pPr>
            <w:r>
              <w:t>0</w:t>
            </w:r>
          </w:p>
        </w:tc>
        <w:tc>
          <w:tcPr>
            <w:tcW w:w="1393" w:type="dxa"/>
            <w:tcBorders>
              <w:left w:val="single" w:sz="4" w:space="0" w:color="auto"/>
            </w:tcBorders>
            <w:hideMark/>
          </w:tcPr>
          <w:p w14:paraId="34AE79CE" w14:textId="77777777" w:rsidR="006147C0" w:rsidRDefault="006147C0" w:rsidP="00D163A7">
            <w:pPr>
              <w:pStyle w:val="NormalWeb"/>
              <w:jc w:val="center"/>
            </w:pPr>
            <w:r>
              <w:t>0</w:t>
            </w:r>
          </w:p>
        </w:tc>
        <w:tc>
          <w:tcPr>
            <w:tcW w:w="1630" w:type="dxa"/>
            <w:hideMark/>
          </w:tcPr>
          <w:p w14:paraId="2483957A" w14:textId="77777777" w:rsidR="006147C0" w:rsidRDefault="006147C0" w:rsidP="00D163A7">
            <w:pPr>
              <w:pStyle w:val="NormalWeb"/>
              <w:jc w:val="center"/>
            </w:pPr>
            <w:r>
              <w:t>0</w:t>
            </w:r>
          </w:p>
        </w:tc>
      </w:tr>
      <w:tr w:rsidR="00D163A7" w14:paraId="24D9F5B0" w14:textId="77777777" w:rsidTr="003842D1">
        <w:trPr>
          <w:cnfStyle w:val="000000010000" w:firstRow="0" w:lastRow="0" w:firstColumn="0" w:lastColumn="0" w:oddVBand="0" w:evenVBand="0" w:oddHBand="0" w:evenHBand="1" w:firstRowFirstColumn="0" w:firstRowLastColumn="0" w:lastRowFirstColumn="0" w:lastRowLastColumn="0"/>
        </w:trPr>
        <w:tc>
          <w:tcPr>
            <w:tcW w:w="3969" w:type="dxa"/>
            <w:tcBorders>
              <w:right w:val="single" w:sz="4" w:space="0" w:color="auto"/>
            </w:tcBorders>
            <w:hideMark/>
          </w:tcPr>
          <w:p w14:paraId="0AAC0806" w14:textId="77777777" w:rsidR="006147C0" w:rsidRDefault="006147C0">
            <w:pPr>
              <w:pStyle w:val="NormalWeb"/>
            </w:pPr>
            <w:r>
              <w:t>New South Wales</w:t>
            </w:r>
          </w:p>
        </w:tc>
        <w:tc>
          <w:tcPr>
            <w:tcW w:w="1701" w:type="dxa"/>
            <w:tcBorders>
              <w:left w:val="single" w:sz="4" w:space="0" w:color="auto"/>
              <w:right w:val="single" w:sz="4" w:space="0" w:color="auto"/>
            </w:tcBorders>
            <w:hideMark/>
          </w:tcPr>
          <w:p w14:paraId="04BC967D" w14:textId="77777777" w:rsidR="006147C0" w:rsidRDefault="006147C0" w:rsidP="00D163A7">
            <w:pPr>
              <w:pStyle w:val="NormalWeb"/>
              <w:jc w:val="center"/>
            </w:pPr>
            <w:r>
              <w:t>4</w:t>
            </w:r>
          </w:p>
        </w:tc>
        <w:tc>
          <w:tcPr>
            <w:tcW w:w="851" w:type="dxa"/>
            <w:tcBorders>
              <w:left w:val="single" w:sz="4" w:space="0" w:color="auto"/>
            </w:tcBorders>
            <w:hideMark/>
          </w:tcPr>
          <w:p w14:paraId="51E5F7C0" w14:textId="77777777" w:rsidR="006147C0" w:rsidRDefault="006147C0" w:rsidP="00D163A7">
            <w:pPr>
              <w:pStyle w:val="NormalWeb"/>
              <w:jc w:val="center"/>
            </w:pPr>
            <w:r>
              <w:t>3</w:t>
            </w:r>
          </w:p>
        </w:tc>
        <w:tc>
          <w:tcPr>
            <w:tcW w:w="1084" w:type="dxa"/>
            <w:tcBorders>
              <w:right w:val="single" w:sz="4" w:space="0" w:color="auto"/>
            </w:tcBorders>
            <w:hideMark/>
          </w:tcPr>
          <w:p w14:paraId="7E5E5F62" w14:textId="77777777" w:rsidR="006147C0" w:rsidRDefault="006147C0" w:rsidP="00D163A7">
            <w:pPr>
              <w:pStyle w:val="NormalWeb"/>
              <w:jc w:val="center"/>
            </w:pPr>
            <w:r>
              <w:t>75</w:t>
            </w:r>
          </w:p>
        </w:tc>
        <w:tc>
          <w:tcPr>
            <w:tcW w:w="754" w:type="dxa"/>
            <w:tcBorders>
              <w:left w:val="single" w:sz="4" w:space="0" w:color="auto"/>
            </w:tcBorders>
            <w:hideMark/>
          </w:tcPr>
          <w:p w14:paraId="057E1C41" w14:textId="77777777" w:rsidR="006147C0" w:rsidRDefault="006147C0" w:rsidP="00D163A7">
            <w:pPr>
              <w:pStyle w:val="NormalWeb"/>
              <w:jc w:val="center"/>
            </w:pPr>
            <w:r>
              <w:t>1</w:t>
            </w:r>
          </w:p>
        </w:tc>
        <w:tc>
          <w:tcPr>
            <w:tcW w:w="1260" w:type="dxa"/>
            <w:tcBorders>
              <w:right w:val="single" w:sz="4" w:space="0" w:color="auto"/>
            </w:tcBorders>
            <w:hideMark/>
          </w:tcPr>
          <w:p w14:paraId="520EA195" w14:textId="77777777" w:rsidR="006147C0" w:rsidRDefault="006147C0" w:rsidP="00D163A7">
            <w:pPr>
              <w:pStyle w:val="NormalWeb"/>
              <w:jc w:val="center"/>
            </w:pPr>
            <w:r>
              <w:t>25</w:t>
            </w:r>
          </w:p>
        </w:tc>
        <w:tc>
          <w:tcPr>
            <w:tcW w:w="965" w:type="dxa"/>
            <w:tcBorders>
              <w:left w:val="single" w:sz="4" w:space="0" w:color="auto"/>
            </w:tcBorders>
            <w:hideMark/>
          </w:tcPr>
          <w:p w14:paraId="1659C545" w14:textId="77777777" w:rsidR="006147C0" w:rsidRDefault="006147C0" w:rsidP="00D163A7">
            <w:pPr>
              <w:pStyle w:val="NormalWeb"/>
              <w:jc w:val="center"/>
            </w:pPr>
            <w:r>
              <w:t>3</w:t>
            </w:r>
          </w:p>
        </w:tc>
        <w:tc>
          <w:tcPr>
            <w:tcW w:w="1377" w:type="dxa"/>
            <w:tcBorders>
              <w:right w:val="single" w:sz="4" w:space="0" w:color="auto"/>
            </w:tcBorders>
            <w:hideMark/>
          </w:tcPr>
          <w:p w14:paraId="0CF1B060" w14:textId="77777777" w:rsidR="006147C0" w:rsidRDefault="006147C0" w:rsidP="00D163A7">
            <w:pPr>
              <w:pStyle w:val="NormalWeb"/>
              <w:jc w:val="center"/>
            </w:pPr>
            <w:r>
              <w:t>75</w:t>
            </w:r>
          </w:p>
        </w:tc>
        <w:tc>
          <w:tcPr>
            <w:tcW w:w="1393" w:type="dxa"/>
            <w:tcBorders>
              <w:left w:val="single" w:sz="4" w:space="0" w:color="auto"/>
            </w:tcBorders>
            <w:hideMark/>
          </w:tcPr>
          <w:p w14:paraId="2F081137" w14:textId="77777777" w:rsidR="006147C0" w:rsidRDefault="006147C0" w:rsidP="00D163A7">
            <w:pPr>
              <w:pStyle w:val="NormalWeb"/>
              <w:jc w:val="center"/>
            </w:pPr>
            <w:r>
              <w:t>2</w:t>
            </w:r>
          </w:p>
        </w:tc>
        <w:tc>
          <w:tcPr>
            <w:tcW w:w="1630" w:type="dxa"/>
            <w:hideMark/>
          </w:tcPr>
          <w:p w14:paraId="6389499D" w14:textId="77777777" w:rsidR="006147C0" w:rsidRDefault="006147C0" w:rsidP="00D163A7">
            <w:pPr>
              <w:pStyle w:val="NormalWeb"/>
              <w:jc w:val="center"/>
            </w:pPr>
            <w:r>
              <w:t>50</w:t>
            </w:r>
          </w:p>
        </w:tc>
      </w:tr>
      <w:tr w:rsidR="003842D1" w14:paraId="7732F2FA" w14:textId="77777777" w:rsidTr="003842D1">
        <w:tc>
          <w:tcPr>
            <w:tcW w:w="3969" w:type="dxa"/>
            <w:tcBorders>
              <w:right w:val="single" w:sz="4" w:space="0" w:color="auto"/>
            </w:tcBorders>
            <w:hideMark/>
          </w:tcPr>
          <w:p w14:paraId="58B318C2" w14:textId="77777777" w:rsidR="006147C0" w:rsidRDefault="006147C0">
            <w:pPr>
              <w:pStyle w:val="NormalWeb"/>
            </w:pPr>
            <w:r>
              <w:t>Queensland</w:t>
            </w:r>
          </w:p>
        </w:tc>
        <w:tc>
          <w:tcPr>
            <w:tcW w:w="1701" w:type="dxa"/>
            <w:tcBorders>
              <w:left w:val="single" w:sz="4" w:space="0" w:color="auto"/>
              <w:right w:val="single" w:sz="4" w:space="0" w:color="auto"/>
            </w:tcBorders>
            <w:hideMark/>
          </w:tcPr>
          <w:p w14:paraId="69C9B0AD" w14:textId="77777777" w:rsidR="006147C0" w:rsidRDefault="006147C0" w:rsidP="00D163A7">
            <w:pPr>
              <w:pStyle w:val="NormalWeb"/>
              <w:jc w:val="center"/>
            </w:pPr>
            <w:r>
              <w:t>6</w:t>
            </w:r>
          </w:p>
        </w:tc>
        <w:tc>
          <w:tcPr>
            <w:tcW w:w="851" w:type="dxa"/>
            <w:tcBorders>
              <w:left w:val="single" w:sz="4" w:space="0" w:color="auto"/>
            </w:tcBorders>
            <w:hideMark/>
          </w:tcPr>
          <w:p w14:paraId="798BD3C1" w14:textId="77777777" w:rsidR="006147C0" w:rsidRDefault="006147C0" w:rsidP="00D163A7">
            <w:pPr>
              <w:pStyle w:val="NormalWeb"/>
              <w:jc w:val="center"/>
            </w:pPr>
            <w:r>
              <w:t>3</w:t>
            </w:r>
          </w:p>
        </w:tc>
        <w:tc>
          <w:tcPr>
            <w:tcW w:w="1084" w:type="dxa"/>
            <w:tcBorders>
              <w:right w:val="single" w:sz="4" w:space="0" w:color="auto"/>
            </w:tcBorders>
            <w:hideMark/>
          </w:tcPr>
          <w:p w14:paraId="04479D6F" w14:textId="77777777" w:rsidR="006147C0" w:rsidRDefault="006147C0" w:rsidP="00D163A7">
            <w:pPr>
              <w:pStyle w:val="NormalWeb"/>
              <w:jc w:val="center"/>
            </w:pPr>
            <w:r>
              <w:t>50</w:t>
            </w:r>
          </w:p>
        </w:tc>
        <w:tc>
          <w:tcPr>
            <w:tcW w:w="754" w:type="dxa"/>
            <w:tcBorders>
              <w:left w:val="single" w:sz="4" w:space="0" w:color="auto"/>
            </w:tcBorders>
            <w:hideMark/>
          </w:tcPr>
          <w:p w14:paraId="4A6F6ACA" w14:textId="77777777" w:rsidR="006147C0" w:rsidRDefault="006147C0" w:rsidP="00D163A7">
            <w:pPr>
              <w:pStyle w:val="NormalWeb"/>
              <w:jc w:val="center"/>
            </w:pPr>
            <w:r>
              <w:t>4</w:t>
            </w:r>
          </w:p>
        </w:tc>
        <w:tc>
          <w:tcPr>
            <w:tcW w:w="1260" w:type="dxa"/>
            <w:tcBorders>
              <w:right w:val="single" w:sz="4" w:space="0" w:color="auto"/>
            </w:tcBorders>
            <w:hideMark/>
          </w:tcPr>
          <w:p w14:paraId="2F609B74" w14:textId="77777777" w:rsidR="006147C0" w:rsidRDefault="006147C0" w:rsidP="00D163A7">
            <w:pPr>
              <w:pStyle w:val="NormalWeb"/>
              <w:jc w:val="center"/>
            </w:pPr>
            <w:r>
              <w:t>67</w:t>
            </w:r>
          </w:p>
        </w:tc>
        <w:tc>
          <w:tcPr>
            <w:tcW w:w="965" w:type="dxa"/>
            <w:tcBorders>
              <w:left w:val="single" w:sz="4" w:space="0" w:color="auto"/>
            </w:tcBorders>
            <w:hideMark/>
          </w:tcPr>
          <w:p w14:paraId="28388357" w14:textId="77777777" w:rsidR="006147C0" w:rsidRDefault="006147C0" w:rsidP="00D163A7">
            <w:pPr>
              <w:pStyle w:val="NormalWeb"/>
              <w:jc w:val="center"/>
            </w:pPr>
            <w:r>
              <w:t>2</w:t>
            </w:r>
          </w:p>
        </w:tc>
        <w:tc>
          <w:tcPr>
            <w:tcW w:w="1377" w:type="dxa"/>
            <w:tcBorders>
              <w:right w:val="single" w:sz="4" w:space="0" w:color="auto"/>
            </w:tcBorders>
            <w:hideMark/>
          </w:tcPr>
          <w:p w14:paraId="1B135E0D" w14:textId="77777777" w:rsidR="006147C0" w:rsidRDefault="006147C0" w:rsidP="00D163A7">
            <w:pPr>
              <w:pStyle w:val="NormalWeb"/>
              <w:jc w:val="center"/>
            </w:pPr>
            <w:r>
              <w:t>33</w:t>
            </w:r>
          </w:p>
        </w:tc>
        <w:tc>
          <w:tcPr>
            <w:tcW w:w="1393" w:type="dxa"/>
            <w:tcBorders>
              <w:left w:val="single" w:sz="4" w:space="0" w:color="auto"/>
            </w:tcBorders>
            <w:hideMark/>
          </w:tcPr>
          <w:p w14:paraId="510BCA1A" w14:textId="77777777" w:rsidR="006147C0" w:rsidRDefault="006147C0" w:rsidP="00D163A7">
            <w:pPr>
              <w:pStyle w:val="NormalWeb"/>
              <w:jc w:val="center"/>
            </w:pPr>
            <w:r>
              <w:t>2</w:t>
            </w:r>
          </w:p>
        </w:tc>
        <w:tc>
          <w:tcPr>
            <w:tcW w:w="1630" w:type="dxa"/>
            <w:hideMark/>
          </w:tcPr>
          <w:p w14:paraId="4C5515D2" w14:textId="77777777" w:rsidR="006147C0" w:rsidRDefault="006147C0" w:rsidP="00D163A7">
            <w:pPr>
              <w:pStyle w:val="NormalWeb"/>
              <w:jc w:val="center"/>
            </w:pPr>
            <w:r>
              <w:t>33</w:t>
            </w:r>
          </w:p>
        </w:tc>
      </w:tr>
      <w:tr w:rsidR="00D163A7" w14:paraId="2CB12002" w14:textId="77777777" w:rsidTr="003842D1">
        <w:trPr>
          <w:cnfStyle w:val="000000010000" w:firstRow="0" w:lastRow="0" w:firstColumn="0" w:lastColumn="0" w:oddVBand="0" w:evenVBand="0" w:oddHBand="0" w:evenHBand="1" w:firstRowFirstColumn="0" w:firstRowLastColumn="0" w:lastRowFirstColumn="0" w:lastRowLastColumn="0"/>
        </w:trPr>
        <w:tc>
          <w:tcPr>
            <w:tcW w:w="3969" w:type="dxa"/>
            <w:tcBorders>
              <w:right w:val="single" w:sz="4" w:space="0" w:color="auto"/>
            </w:tcBorders>
            <w:hideMark/>
          </w:tcPr>
          <w:p w14:paraId="78A04AEA" w14:textId="77777777" w:rsidR="006147C0" w:rsidRDefault="006147C0">
            <w:pPr>
              <w:pStyle w:val="NormalWeb"/>
            </w:pPr>
            <w:r>
              <w:t>South Australia</w:t>
            </w:r>
          </w:p>
        </w:tc>
        <w:tc>
          <w:tcPr>
            <w:tcW w:w="1701" w:type="dxa"/>
            <w:tcBorders>
              <w:left w:val="single" w:sz="4" w:space="0" w:color="auto"/>
              <w:right w:val="single" w:sz="4" w:space="0" w:color="auto"/>
            </w:tcBorders>
            <w:hideMark/>
          </w:tcPr>
          <w:p w14:paraId="3866FB01" w14:textId="77777777" w:rsidR="006147C0" w:rsidRDefault="006147C0" w:rsidP="00D163A7">
            <w:pPr>
              <w:pStyle w:val="NormalWeb"/>
              <w:jc w:val="center"/>
            </w:pPr>
            <w:r>
              <w:t>0</w:t>
            </w:r>
          </w:p>
        </w:tc>
        <w:tc>
          <w:tcPr>
            <w:tcW w:w="851" w:type="dxa"/>
            <w:tcBorders>
              <w:left w:val="single" w:sz="4" w:space="0" w:color="auto"/>
            </w:tcBorders>
            <w:hideMark/>
          </w:tcPr>
          <w:p w14:paraId="61B822EA" w14:textId="77777777" w:rsidR="006147C0" w:rsidRDefault="006147C0" w:rsidP="00D163A7">
            <w:pPr>
              <w:pStyle w:val="NormalWeb"/>
              <w:jc w:val="center"/>
            </w:pPr>
            <w:r>
              <w:t>0</w:t>
            </w:r>
          </w:p>
        </w:tc>
        <w:tc>
          <w:tcPr>
            <w:tcW w:w="1084" w:type="dxa"/>
            <w:tcBorders>
              <w:right w:val="single" w:sz="4" w:space="0" w:color="auto"/>
            </w:tcBorders>
            <w:hideMark/>
          </w:tcPr>
          <w:p w14:paraId="702044C5" w14:textId="77777777" w:rsidR="006147C0" w:rsidRDefault="006147C0" w:rsidP="00D163A7">
            <w:pPr>
              <w:pStyle w:val="NormalWeb"/>
              <w:jc w:val="center"/>
            </w:pPr>
            <w:r>
              <w:t>0</w:t>
            </w:r>
          </w:p>
        </w:tc>
        <w:tc>
          <w:tcPr>
            <w:tcW w:w="754" w:type="dxa"/>
            <w:tcBorders>
              <w:left w:val="single" w:sz="4" w:space="0" w:color="auto"/>
            </w:tcBorders>
            <w:hideMark/>
          </w:tcPr>
          <w:p w14:paraId="20FB2AA3" w14:textId="77777777" w:rsidR="006147C0" w:rsidRDefault="006147C0" w:rsidP="00D163A7">
            <w:pPr>
              <w:pStyle w:val="NormalWeb"/>
              <w:jc w:val="center"/>
            </w:pPr>
            <w:r>
              <w:t>0</w:t>
            </w:r>
          </w:p>
        </w:tc>
        <w:tc>
          <w:tcPr>
            <w:tcW w:w="1260" w:type="dxa"/>
            <w:tcBorders>
              <w:right w:val="single" w:sz="4" w:space="0" w:color="auto"/>
            </w:tcBorders>
            <w:hideMark/>
          </w:tcPr>
          <w:p w14:paraId="5E9F666F" w14:textId="77777777" w:rsidR="006147C0" w:rsidRDefault="006147C0" w:rsidP="00D163A7">
            <w:pPr>
              <w:pStyle w:val="NormalWeb"/>
              <w:jc w:val="center"/>
            </w:pPr>
            <w:r>
              <w:t>0</w:t>
            </w:r>
          </w:p>
        </w:tc>
        <w:tc>
          <w:tcPr>
            <w:tcW w:w="965" w:type="dxa"/>
            <w:tcBorders>
              <w:left w:val="single" w:sz="4" w:space="0" w:color="auto"/>
            </w:tcBorders>
            <w:hideMark/>
          </w:tcPr>
          <w:p w14:paraId="2429AB82" w14:textId="77777777" w:rsidR="006147C0" w:rsidRDefault="006147C0" w:rsidP="00D163A7">
            <w:pPr>
              <w:pStyle w:val="NormalWeb"/>
              <w:jc w:val="center"/>
            </w:pPr>
            <w:r>
              <w:t>0</w:t>
            </w:r>
          </w:p>
        </w:tc>
        <w:tc>
          <w:tcPr>
            <w:tcW w:w="1377" w:type="dxa"/>
            <w:tcBorders>
              <w:right w:val="single" w:sz="4" w:space="0" w:color="auto"/>
            </w:tcBorders>
            <w:hideMark/>
          </w:tcPr>
          <w:p w14:paraId="6DA56561" w14:textId="77777777" w:rsidR="006147C0" w:rsidRDefault="006147C0" w:rsidP="00D163A7">
            <w:pPr>
              <w:pStyle w:val="NormalWeb"/>
              <w:jc w:val="center"/>
            </w:pPr>
            <w:r>
              <w:t>0</w:t>
            </w:r>
          </w:p>
        </w:tc>
        <w:tc>
          <w:tcPr>
            <w:tcW w:w="1393" w:type="dxa"/>
            <w:tcBorders>
              <w:left w:val="single" w:sz="4" w:space="0" w:color="auto"/>
            </w:tcBorders>
            <w:hideMark/>
          </w:tcPr>
          <w:p w14:paraId="7D2F1B31" w14:textId="77777777" w:rsidR="006147C0" w:rsidRDefault="006147C0" w:rsidP="00D163A7">
            <w:pPr>
              <w:pStyle w:val="NormalWeb"/>
              <w:jc w:val="center"/>
            </w:pPr>
            <w:r>
              <w:t>0</w:t>
            </w:r>
          </w:p>
        </w:tc>
        <w:tc>
          <w:tcPr>
            <w:tcW w:w="1630" w:type="dxa"/>
            <w:hideMark/>
          </w:tcPr>
          <w:p w14:paraId="133328CE" w14:textId="77777777" w:rsidR="006147C0" w:rsidRDefault="006147C0" w:rsidP="00D163A7">
            <w:pPr>
              <w:pStyle w:val="NormalWeb"/>
              <w:jc w:val="center"/>
            </w:pPr>
            <w:r>
              <w:t>0</w:t>
            </w:r>
          </w:p>
        </w:tc>
      </w:tr>
      <w:tr w:rsidR="003842D1" w14:paraId="4E2023EB" w14:textId="77777777" w:rsidTr="003842D1">
        <w:tc>
          <w:tcPr>
            <w:tcW w:w="3969" w:type="dxa"/>
            <w:tcBorders>
              <w:right w:val="single" w:sz="4" w:space="0" w:color="auto"/>
            </w:tcBorders>
            <w:hideMark/>
          </w:tcPr>
          <w:p w14:paraId="2225B6E8" w14:textId="77777777" w:rsidR="006147C0" w:rsidRDefault="006147C0">
            <w:pPr>
              <w:pStyle w:val="NormalWeb"/>
            </w:pPr>
            <w:r>
              <w:t>Tasmania</w:t>
            </w:r>
          </w:p>
        </w:tc>
        <w:tc>
          <w:tcPr>
            <w:tcW w:w="1701" w:type="dxa"/>
            <w:tcBorders>
              <w:left w:val="single" w:sz="4" w:space="0" w:color="auto"/>
              <w:right w:val="single" w:sz="4" w:space="0" w:color="auto"/>
            </w:tcBorders>
            <w:hideMark/>
          </w:tcPr>
          <w:p w14:paraId="1BE6B561" w14:textId="77777777" w:rsidR="006147C0" w:rsidRDefault="006147C0" w:rsidP="00D163A7">
            <w:pPr>
              <w:pStyle w:val="NormalWeb"/>
              <w:jc w:val="center"/>
            </w:pPr>
            <w:r>
              <w:t>1</w:t>
            </w:r>
          </w:p>
        </w:tc>
        <w:tc>
          <w:tcPr>
            <w:tcW w:w="851" w:type="dxa"/>
            <w:tcBorders>
              <w:left w:val="single" w:sz="4" w:space="0" w:color="auto"/>
            </w:tcBorders>
            <w:hideMark/>
          </w:tcPr>
          <w:p w14:paraId="7CC90E92" w14:textId="77777777" w:rsidR="006147C0" w:rsidRDefault="006147C0" w:rsidP="00D163A7">
            <w:pPr>
              <w:pStyle w:val="NormalWeb"/>
              <w:jc w:val="center"/>
            </w:pPr>
            <w:r>
              <w:t>1</w:t>
            </w:r>
          </w:p>
        </w:tc>
        <w:tc>
          <w:tcPr>
            <w:tcW w:w="1084" w:type="dxa"/>
            <w:tcBorders>
              <w:right w:val="single" w:sz="4" w:space="0" w:color="auto"/>
            </w:tcBorders>
            <w:hideMark/>
          </w:tcPr>
          <w:p w14:paraId="4840EA0E" w14:textId="77777777" w:rsidR="006147C0" w:rsidRDefault="006147C0" w:rsidP="00D163A7">
            <w:pPr>
              <w:pStyle w:val="NormalWeb"/>
              <w:jc w:val="center"/>
            </w:pPr>
            <w:r>
              <w:t>100</w:t>
            </w:r>
          </w:p>
        </w:tc>
        <w:tc>
          <w:tcPr>
            <w:tcW w:w="754" w:type="dxa"/>
            <w:tcBorders>
              <w:left w:val="single" w:sz="4" w:space="0" w:color="auto"/>
            </w:tcBorders>
            <w:hideMark/>
          </w:tcPr>
          <w:p w14:paraId="7D5FEE07" w14:textId="77777777" w:rsidR="006147C0" w:rsidRDefault="006147C0" w:rsidP="00D163A7">
            <w:pPr>
              <w:pStyle w:val="NormalWeb"/>
              <w:jc w:val="center"/>
            </w:pPr>
            <w:r>
              <w:t>1</w:t>
            </w:r>
          </w:p>
        </w:tc>
        <w:tc>
          <w:tcPr>
            <w:tcW w:w="1260" w:type="dxa"/>
            <w:tcBorders>
              <w:right w:val="single" w:sz="4" w:space="0" w:color="auto"/>
            </w:tcBorders>
            <w:hideMark/>
          </w:tcPr>
          <w:p w14:paraId="643B85AA" w14:textId="77777777" w:rsidR="006147C0" w:rsidRDefault="006147C0" w:rsidP="00D163A7">
            <w:pPr>
              <w:pStyle w:val="NormalWeb"/>
              <w:jc w:val="center"/>
            </w:pPr>
            <w:r>
              <w:t>100</w:t>
            </w:r>
          </w:p>
        </w:tc>
        <w:tc>
          <w:tcPr>
            <w:tcW w:w="965" w:type="dxa"/>
            <w:tcBorders>
              <w:left w:val="single" w:sz="4" w:space="0" w:color="auto"/>
            </w:tcBorders>
            <w:hideMark/>
          </w:tcPr>
          <w:p w14:paraId="5A83C62A" w14:textId="77777777" w:rsidR="006147C0" w:rsidRDefault="006147C0" w:rsidP="00D163A7">
            <w:pPr>
              <w:pStyle w:val="NormalWeb"/>
              <w:jc w:val="center"/>
            </w:pPr>
            <w:r>
              <w:t>0</w:t>
            </w:r>
          </w:p>
        </w:tc>
        <w:tc>
          <w:tcPr>
            <w:tcW w:w="1377" w:type="dxa"/>
            <w:tcBorders>
              <w:right w:val="single" w:sz="4" w:space="0" w:color="auto"/>
            </w:tcBorders>
            <w:hideMark/>
          </w:tcPr>
          <w:p w14:paraId="0C561952" w14:textId="77777777" w:rsidR="006147C0" w:rsidRDefault="006147C0" w:rsidP="00D163A7">
            <w:pPr>
              <w:pStyle w:val="NormalWeb"/>
              <w:jc w:val="center"/>
            </w:pPr>
            <w:r>
              <w:t>0</w:t>
            </w:r>
          </w:p>
        </w:tc>
        <w:tc>
          <w:tcPr>
            <w:tcW w:w="1393" w:type="dxa"/>
            <w:tcBorders>
              <w:left w:val="single" w:sz="4" w:space="0" w:color="auto"/>
            </w:tcBorders>
            <w:hideMark/>
          </w:tcPr>
          <w:p w14:paraId="5E160D05" w14:textId="77777777" w:rsidR="006147C0" w:rsidRDefault="006147C0" w:rsidP="00D163A7">
            <w:pPr>
              <w:pStyle w:val="NormalWeb"/>
              <w:jc w:val="center"/>
            </w:pPr>
            <w:r>
              <w:t>0</w:t>
            </w:r>
          </w:p>
        </w:tc>
        <w:tc>
          <w:tcPr>
            <w:tcW w:w="1630" w:type="dxa"/>
            <w:hideMark/>
          </w:tcPr>
          <w:p w14:paraId="0EFE556E" w14:textId="77777777" w:rsidR="006147C0" w:rsidRDefault="006147C0" w:rsidP="00D163A7">
            <w:pPr>
              <w:pStyle w:val="NormalWeb"/>
              <w:jc w:val="center"/>
            </w:pPr>
            <w:r>
              <w:t>0</w:t>
            </w:r>
          </w:p>
        </w:tc>
      </w:tr>
      <w:tr w:rsidR="00D163A7" w14:paraId="09361A08" w14:textId="77777777" w:rsidTr="003842D1">
        <w:trPr>
          <w:cnfStyle w:val="000000010000" w:firstRow="0" w:lastRow="0" w:firstColumn="0" w:lastColumn="0" w:oddVBand="0" w:evenVBand="0" w:oddHBand="0" w:evenHBand="1" w:firstRowFirstColumn="0" w:firstRowLastColumn="0" w:lastRowFirstColumn="0" w:lastRowLastColumn="0"/>
        </w:trPr>
        <w:tc>
          <w:tcPr>
            <w:tcW w:w="3969" w:type="dxa"/>
            <w:tcBorders>
              <w:right w:val="single" w:sz="4" w:space="0" w:color="auto"/>
            </w:tcBorders>
            <w:hideMark/>
          </w:tcPr>
          <w:p w14:paraId="420EC8BC" w14:textId="77777777" w:rsidR="006147C0" w:rsidRDefault="006147C0">
            <w:pPr>
              <w:pStyle w:val="NormalWeb"/>
            </w:pPr>
            <w:r>
              <w:t>Victoria</w:t>
            </w:r>
          </w:p>
        </w:tc>
        <w:tc>
          <w:tcPr>
            <w:tcW w:w="1701" w:type="dxa"/>
            <w:tcBorders>
              <w:left w:val="single" w:sz="4" w:space="0" w:color="auto"/>
              <w:right w:val="single" w:sz="4" w:space="0" w:color="auto"/>
            </w:tcBorders>
            <w:hideMark/>
          </w:tcPr>
          <w:p w14:paraId="4C37B062" w14:textId="77777777" w:rsidR="006147C0" w:rsidRDefault="006147C0" w:rsidP="00D163A7">
            <w:pPr>
              <w:pStyle w:val="NormalWeb"/>
              <w:jc w:val="center"/>
            </w:pPr>
            <w:r>
              <w:t>23</w:t>
            </w:r>
          </w:p>
        </w:tc>
        <w:tc>
          <w:tcPr>
            <w:tcW w:w="851" w:type="dxa"/>
            <w:tcBorders>
              <w:left w:val="single" w:sz="4" w:space="0" w:color="auto"/>
            </w:tcBorders>
            <w:hideMark/>
          </w:tcPr>
          <w:p w14:paraId="0F768283" w14:textId="77777777" w:rsidR="006147C0" w:rsidRDefault="006147C0" w:rsidP="00D163A7">
            <w:pPr>
              <w:pStyle w:val="NormalWeb"/>
              <w:jc w:val="center"/>
            </w:pPr>
            <w:r>
              <w:t>14</w:t>
            </w:r>
          </w:p>
        </w:tc>
        <w:tc>
          <w:tcPr>
            <w:tcW w:w="1084" w:type="dxa"/>
            <w:tcBorders>
              <w:right w:val="single" w:sz="4" w:space="0" w:color="auto"/>
            </w:tcBorders>
            <w:hideMark/>
          </w:tcPr>
          <w:p w14:paraId="50798613" w14:textId="77777777" w:rsidR="006147C0" w:rsidRDefault="006147C0" w:rsidP="00D163A7">
            <w:pPr>
              <w:pStyle w:val="NormalWeb"/>
              <w:jc w:val="center"/>
            </w:pPr>
            <w:r>
              <w:t>61</w:t>
            </w:r>
          </w:p>
        </w:tc>
        <w:tc>
          <w:tcPr>
            <w:tcW w:w="754" w:type="dxa"/>
            <w:tcBorders>
              <w:left w:val="single" w:sz="4" w:space="0" w:color="auto"/>
            </w:tcBorders>
            <w:hideMark/>
          </w:tcPr>
          <w:p w14:paraId="6119605D" w14:textId="77777777" w:rsidR="006147C0" w:rsidRDefault="006147C0" w:rsidP="00D163A7">
            <w:pPr>
              <w:pStyle w:val="NormalWeb"/>
              <w:jc w:val="center"/>
            </w:pPr>
            <w:r>
              <w:t>17</w:t>
            </w:r>
          </w:p>
        </w:tc>
        <w:tc>
          <w:tcPr>
            <w:tcW w:w="1260" w:type="dxa"/>
            <w:tcBorders>
              <w:right w:val="single" w:sz="4" w:space="0" w:color="auto"/>
            </w:tcBorders>
            <w:hideMark/>
          </w:tcPr>
          <w:p w14:paraId="2592CB58" w14:textId="77777777" w:rsidR="006147C0" w:rsidRDefault="006147C0" w:rsidP="00D163A7">
            <w:pPr>
              <w:pStyle w:val="NormalWeb"/>
              <w:jc w:val="center"/>
            </w:pPr>
            <w:r>
              <w:t>74</w:t>
            </w:r>
          </w:p>
        </w:tc>
        <w:tc>
          <w:tcPr>
            <w:tcW w:w="965" w:type="dxa"/>
            <w:tcBorders>
              <w:left w:val="single" w:sz="4" w:space="0" w:color="auto"/>
            </w:tcBorders>
            <w:hideMark/>
          </w:tcPr>
          <w:p w14:paraId="0B8FB69B" w14:textId="77777777" w:rsidR="006147C0" w:rsidRDefault="006147C0" w:rsidP="00D163A7">
            <w:pPr>
              <w:pStyle w:val="NormalWeb"/>
              <w:jc w:val="center"/>
            </w:pPr>
            <w:r>
              <w:t>6</w:t>
            </w:r>
          </w:p>
        </w:tc>
        <w:tc>
          <w:tcPr>
            <w:tcW w:w="1377" w:type="dxa"/>
            <w:tcBorders>
              <w:right w:val="single" w:sz="4" w:space="0" w:color="auto"/>
            </w:tcBorders>
            <w:hideMark/>
          </w:tcPr>
          <w:p w14:paraId="235CFE4D" w14:textId="77777777" w:rsidR="006147C0" w:rsidRDefault="006147C0" w:rsidP="00D163A7">
            <w:pPr>
              <w:pStyle w:val="NormalWeb"/>
              <w:jc w:val="center"/>
            </w:pPr>
            <w:r>
              <w:t>26</w:t>
            </w:r>
          </w:p>
        </w:tc>
        <w:tc>
          <w:tcPr>
            <w:tcW w:w="1393" w:type="dxa"/>
            <w:tcBorders>
              <w:left w:val="single" w:sz="4" w:space="0" w:color="auto"/>
            </w:tcBorders>
            <w:hideMark/>
          </w:tcPr>
          <w:p w14:paraId="419486F8" w14:textId="77777777" w:rsidR="006147C0" w:rsidRDefault="006147C0" w:rsidP="00D163A7">
            <w:pPr>
              <w:pStyle w:val="NormalWeb"/>
              <w:jc w:val="center"/>
            </w:pPr>
            <w:r>
              <w:t>8</w:t>
            </w:r>
          </w:p>
        </w:tc>
        <w:tc>
          <w:tcPr>
            <w:tcW w:w="1630" w:type="dxa"/>
            <w:hideMark/>
          </w:tcPr>
          <w:p w14:paraId="7A0ABE5E" w14:textId="77777777" w:rsidR="006147C0" w:rsidRDefault="006147C0" w:rsidP="00D163A7">
            <w:pPr>
              <w:pStyle w:val="NormalWeb"/>
              <w:jc w:val="center"/>
            </w:pPr>
            <w:r>
              <w:t>35</w:t>
            </w:r>
          </w:p>
        </w:tc>
      </w:tr>
      <w:tr w:rsidR="003842D1" w14:paraId="7144AD93" w14:textId="77777777" w:rsidTr="003842D1">
        <w:tc>
          <w:tcPr>
            <w:tcW w:w="3969" w:type="dxa"/>
            <w:tcBorders>
              <w:right w:val="single" w:sz="4" w:space="0" w:color="auto"/>
            </w:tcBorders>
            <w:hideMark/>
          </w:tcPr>
          <w:p w14:paraId="7B915E5F" w14:textId="77777777" w:rsidR="006147C0" w:rsidRDefault="006147C0">
            <w:pPr>
              <w:pStyle w:val="NormalWeb"/>
            </w:pPr>
            <w:r>
              <w:t>Northern Territory Urban &amp; Rural</w:t>
            </w:r>
          </w:p>
        </w:tc>
        <w:tc>
          <w:tcPr>
            <w:tcW w:w="1701" w:type="dxa"/>
            <w:tcBorders>
              <w:left w:val="single" w:sz="4" w:space="0" w:color="auto"/>
              <w:right w:val="single" w:sz="4" w:space="0" w:color="auto"/>
            </w:tcBorders>
            <w:hideMark/>
          </w:tcPr>
          <w:p w14:paraId="12DE6EEE" w14:textId="77777777" w:rsidR="006147C0" w:rsidRDefault="006147C0" w:rsidP="00D163A7">
            <w:pPr>
              <w:pStyle w:val="NormalWeb"/>
              <w:jc w:val="center"/>
            </w:pPr>
            <w:r>
              <w:t>0</w:t>
            </w:r>
          </w:p>
        </w:tc>
        <w:tc>
          <w:tcPr>
            <w:tcW w:w="851" w:type="dxa"/>
            <w:tcBorders>
              <w:left w:val="single" w:sz="4" w:space="0" w:color="auto"/>
            </w:tcBorders>
            <w:hideMark/>
          </w:tcPr>
          <w:p w14:paraId="7A526338" w14:textId="77777777" w:rsidR="006147C0" w:rsidRDefault="006147C0" w:rsidP="00D163A7">
            <w:pPr>
              <w:pStyle w:val="NormalWeb"/>
              <w:jc w:val="center"/>
            </w:pPr>
            <w:r>
              <w:t>0</w:t>
            </w:r>
          </w:p>
        </w:tc>
        <w:tc>
          <w:tcPr>
            <w:tcW w:w="1084" w:type="dxa"/>
            <w:tcBorders>
              <w:right w:val="single" w:sz="4" w:space="0" w:color="auto"/>
            </w:tcBorders>
            <w:hideMark/>
          </w:tcPr>
          <w:p w14:paraId="45B5557A" w14:textId="77777777" w:rsidR="006147C0" w:rsidRDefault="006147C0" w:rsidP="00D163A7">
            <w:pPr>
              <w:pStyle w:val="NormalWeb"/>
              <w:jc w:val="center"/>
            </w:pPr>
            <w:r>
              <w:t>0</w:t>
            </w:r>
          </w:p>
        </w:tc>
        <w:tc>
          <w:tcPr>
            <w:tcW w:w="754" w:type="dxa"/>
            <w:tcBorders>
              <w:left w:val="single" w:sz="4" w:space="0" w:color="auto"/>
            </w:tcBorders>
            <w:hideMark/>
          </w:tcPr>
          <w:p w14:paraId="589D0628" w14:textId="77777777" w:rsidR="006147C0" w:rsidRDefault="006147C0" w:rsidP="00D163A7">
            <w:pPr>
              <w:pStyle w:val="NormalWeb"/>
              <w:jc w:val="center"/>
            </w:pPr>
            <w:r>
              <w:t>0</w:t>
            </w:r>
          </w:p>
        </w:tc>
        <w:tc>
          <w:tcPr>
            <w:tcW w:w="1260" w:type="dxa"/>
            <w:tcBorders>
              <w:right w:val="single" w:sz="4" w:space="0" w:color="auto"/>
            </w:tcBorders>
            <w:hideMark/>
          </w:tcPr>
          <w:p w14:paraId="1B020865" w14:textId="77777777" w:rsidR="006147C0" w:rsidRDefault="006147C0" w:rsidP="00D163A7">
            <w:pPr>
              <w:pStyle w:val="NormalWeb"/>
              <w:jc w:val="center"/>
            </w:pPr>
            <w:r>
              <w:t>0</w:t>
            </w:r>
          </w:p>
        </w:tc>
        <w:tc>
          <w:tcPr>
            <w:tcW w:w="965" w:type="dxa"/>
            <w:tcBorders>
              <w:left w:val="single" w:sz="4" w:space="0" w:color="auto"/>
            </w:tcBorders>
            <w:hideMark/>
          </w:tcPr>
          <w:p w14:paraId="3808D8B1" w14:textId="77777777" w:rsidR="006147C0" w:rsidRDefault="006147C0" w:rsidP="00D163A7">
            <w:pPr>
              <w:pStyle w:val="NormalWeb"/>
              <w:jc w:val="center"/>
            </w:pPr>
            <w:r>
              <w:t>0</w:t>
            </w:r>
          </w:p>
        </w:tc>
        <w:tc>
          <w:tcPr>
            <w:tcW w:w="1377" w:type="dxa"/>
            <w:tcBorders>
              <w:right w:val="single" w:sz="4" w:space="0" w:color="auto"/>
            </w:tcBorders>
            <w:hideMark/>
          </w:tcPr>
          <w:p w14:paraId="466DDB83" w14:textId="77777777" w:rsidR="006147C0" w:rsidRDefault="006147C0" w:rsidP="00D163A7">
            <w:pPr>
              <w:pStyle w:val="NormalWeb"/>
              <w:jc w:val="center"/>
            </w:pPr>
            <w:r>
              <w:t>0</w:t>
            </w:r>
          </w:p>
        </w:tc>
        <w:tc>
          <w:tcPr>
            <w:tcW w:w="1393" w:type="dxa"/>
            <w:tcBorders>
              <w:left w:val="single" w:sz="4" w:space="0" w:color="auto"/>
            </w:tcBorders>
            <w:hideMark/>
          </w:tcPr>
          <w:p w14:paraId="7F8B08ED" w14:textId="77777777" w:rsidR="006147C0" w:rsidRDefault="006147C0" w:rsidP="00D163A7">
            <w:pPr>
              <w:pStyle w:val="NormalWeb"/>
              <w:jc w:val="center"/>
            </w:pPr>
            <w:r>
              <w:t>0</w:t>
            </w:r>
          </w:p>
        </w:tc>
        <w:tc>
          <w:tcPr>
            <w:tcW w:w="1630" w:type="dxa"/>
            <w:hideMark/>
          </w:tcPr>
          <w:p w14:paraId="13E27239" w14:textId="77777777" w:rsidR="006147C0" w:rsidRDefault="006147C0" w:rsidP="00D163A7">
            <w:pPr>
              <w:pStyle w:val="NormalWeb"/>
              <w:jc w:val="center"/>
            </w:pPr>
            <w:r>
              <w:t>0</w:t>
            </w:r>
          </w:p>
        </w:tc>
      </w:tr>
      <w:tr w:rsidR="00D163A7" w14:paraId="1402CFF4" w14:textId="77777777" w:rsidTr="003842D1">
        <w:trPr>
          <w:cnfStyle w:val="000000010000" w:firstRow="0" w:lastRow="0" w:firstColumn="0" w:lastColumn="0" w:oddVBand="0" w:evenVBand="0" w:oddHBand="0" w:evenHBand="1" w:firstRowFirstColumn="0" w:firstRowLastColumn="0" w:lastRowFirstColumn="0" w:lastRowLastColumn="0"/>
        </w:trPr>
        <w:tc>
          <w:tcPr>
            <w:tcW w:w="3969" w:type="dxa"/>
            <w:tcBorders>
              <w:right w:val="single" w:sz="4" w:space="0" w:color="auto"/>
            </w:tcBorders>
            <w:hideMark/>
          </w:tcPr>
          <w:p w14:paraId="72C3DB6F" w14:textId="77777777" w:rsidR="006147C0" w:rsidRDefault="006147C0">
            <w:pPr>
              <w:pStyle w:val="NormalWeb"/>
            </w:pPr>
            <w:r>
              <w:t>Northern Territory Remote</w:t>
            </w:r>
          </w:p>
        </w:tc>
        <w:tc>
          <w:tcPr>
            <w:tcW w:w="1701" w:type="dxa"/>
            <w:tcBorders>
              <w:left w:val="single" w:sz="4" w:space="0" w:color="auto"/>
              <w:right w:val="single" w:sz="4" w:space="0" w:color="auto"/>
            </w:tcBorders>
            <w:hideMark/>
          </w:tcPr>
          <w:p w14:paraId="5EC6150D" w14:textId="77777777" w:rsidR="006147C0" w:rsidRDefault="006147C0" w:rsidP="00D163A7">
            <w:pPr>
              <w:pStyle w:val="NormalWeb"/>
              <w:jc w:val="center"/>
            </w:pPr>
            <w:r>
              <w:t>0</w:t>
            </w:r>
          </w:p>
        </w:tc>
        <w:tc>
          <w:tcPr>
            <w:tcW w:w="851" w:type="dxa"/>
            <w:tcBorders>
              <w:left w:val="single" w:sz="4" w:space="0" w:color="auto"/>
            </w:tcBorders>
            <w:hideMark/>
          </w:tcPr>
          <w:p w14:paraId="70228AEE" w14:textId="77777777" w:rsidR="006147C0" w:rsidRDefault="006147C0" w:rsidP="00D163A7">
            <w:pPr>
              <w:pStyle w:val="NormalWeb"/>
              <w:jc w:val="center"/>
            </w:pPr>
            <w:r>
              <w:t>0</w:t>
            </w:r>
          </w:p>
        </w:tc>
        <w:tc>
          <w:tcPr>
            <w:tcW w:w="1084" w:type="dxa"/>
            <w:tcBorders>
              <w:right w:val="single" w:sz="4" w:space="0" w:color="auto"/>
            </w:tcBorders>
            <w:hideMark/>
          </w:tcPr>
          <w:p w14:paraId="7838CC49" w14:textId="77777777" w:rsidR="006147C0" w:rsidRDefault="006147C0" w:rsidP="00D163A7">
            <w:pPr>
              <w:pStyle w:val="NormalWeb"/>
              <w:jc w:val="center"/>
            </w:pPr>
            <w:r>
              <w:t>0</w:t>
            </w:r>
          </w:p>
        </w:tc>
        <w:tc>
          <w:tcPr>
            <w:tcW w:w="754" w:type="dxa"/>
            <w:tcBorders>
              <w:left w:val="single" w:sz="4" w:space="0" w:color="auto"/>
            </w:tcBorders>
            <w:hideMark/>
          </w:tcPr>
          <w:p w14:paraId="3602083A" w14:textId="77777777" w:rsidR="006147C0" w:rsidRDefault="006147C0" w:rsidP="00D163A7">
            <w:pPr>
              <w:pStyle w:val="NormalWeb"/>
              <w:jc w:val="center"/>
            </w:pPr>
            <w:r>
              <w:t>0</w:t>
            </w:r>
          </w:p>
        </w:tc>
        <w:tc>
          <w:tcPr>
            <w:tcW w:w="1260" w:type="dxa"/>
            <w:tcBorders>
              <w:right w:val="single" w:sz="4" w:space="0" w:color="auto"/>
            </w:tcBorders>
            <w:hideMark/>
          </w:tcPr>
          <w:p w14:paraId="07026EB8" w14:textId="77777777" w:rsidR="006147C0" w:rsidRDefault="006147C0" w:rsidP="00D163A7">
            <w:pPr>
              <w:pStyle w:val="NormalWeb"/>
              <w:jc w:val="center"/>
            </w:pPr>
            <w:r>
              <w:t>0</w:t>
            </w:r>
          </w:p>
        </w:tc>
        <w:tc>
          <w:tcPr>
            <w:tcW w:w="965" w:type="dxa"/>
            <w:tcBorders>
              <w:left w:val="single" w:sz="4" w:space="0" w:color="auto"/>
            </w:tcBorders>
            <w:hideMark/>
          </w:tcPr>
          <w:p w14:paraId="035E2D90" w14:textId="77777777" w:rsidR="006147C0" w:rsidRDefault="006147C0" w:rsidP="00D163A7">
            <w:pPr>
              <w:pStyle w:val="NormalWeb"/>
              <w:jc w:val="center"/>
            </w:pPr>
            <w:r>
              <w:t>0</w:t>
            </w:r>
          </w:p>
        </w:tc>
        <w:tc>
          <w:tcPr>
            <w:tcW w:w="1377" w:type="dxa"/>
            <w:tcBorders>
              <w:right w:val="single" w:sz="4" w:space="0" w:color="auto"/>
            </w:tcBorders>
            <w:hideMark/>
          </w:tcPr>
          <w:p w14:paraId="4F06A0F0" w14:textId="77777777" w:rsidR="006147C0" w:rsidRDefault="006147C0" w:rsidP="00D163A7">
            <w:pPr>
              <w:pStyle w:val="NormalWeb"/>
              <w:jc w:val="center"/>
            </w:pPr>
            <w:r>
              <w:t>0</w:t>
            </w:r>
          </w:p>
        </w:tc>
        <w:tc>
          <w:tcPr>
            <w:tcW w:w="1393" w:type="dxa"/>
            <w:tcBorders>
              <w:left w:val="single" w:sz="4" w:space="0" w:color="auto"/>
            </w:tcBorders>
            <w:hideMark/>
          </w:tcPr>
          <w:p w14:paraId="4C58F6CC" w14:textId="77777777" w:rsidR="006147C0" w:rsidRDefault="006147C0" w:rsidP="00D163A7">
            <w:pPr>
              <w:pStyle w:val="NormalWeb"/>
              <w:jc w:val="center"/>
            </w:pPr>
            <w:r>
              <w:t>0</w:t>
            </w:r>
          </w:p>
        </w:tc>
        <w:tc>
          <w:tcPr>
            <w:tcW w:w="1630" w:type="dxa"/>
            <w:hideMark/>
          </w:tcPr>
          <w:p w14:paraId="0C00C143" w14:textId="77777777" w:rsidR="006147C0" w:rsidRDefault="006147C0" w:rsidP="00D163A7">
            <w:pPr>
              <w:pStyle w:val="NormalWeb"/>
              <w:jc w:val="center"/>
            </w:pPr>
            <w:r>
              <w:t>0</w:t>
            </w:r>
          </w:p>
        </w:tc>
      </w:tr>
      <w:tr w:rsidR="003842D1" w14:paraId="4193F339" w14:textId="77777777" w:rsidTr="003842D1">
        <w:tc>
          <w:tcPr>
            <w:tcW w:w="3969" w:type="dxa"/>
            <w:tcBorders>
              <w:right w:val="single" w:sz="4" w:space="0" w:color="auto"/>
            </w:tcBorders>
            <w:hideMark/>
          </w:tcPr>
          <w:p w14:paraId="4AF08859" w14:textId="77777777" w:rsidR="006147C0" w:rsidRDefault="006147C0">
            <w:pPr>
              <w:pStyle w:val="NormalWeb"/>
            </w:pPr>
            <w:r>
              <w:t>Western Australia Urban &amp; Rural</w:t>
            </w:r>
          </w:p>
        </w:tc>
        <w:tc>
          <w:tcPr>
            <w:tcW w:w="1701" w:type="dxa"/>
            <w:tcBorders>
              <w:left w:val="single" w:sz="4" w:space="0" w:color="auto"/>
              <w:right w:val="single" w:sz="4" w:space="0" w:color="auto"/>
            </w:tcBorders>
            <w:hideMark/>
          </w:tcPr>
          <w:p w14:paraId="08ABADD4" w14:textId="77777777" w:rsidR="006147C0" w:rsidRDefault="006147C0" w:rsidP="00D163A7">
            <w:pPr>
              <w:pStyle w:val="NormalWeb"/>
              <w:jc w:val="center"/>
            </w:pPr>
            <w:r>
              <w:t>4</w:t>
            </w:r>
          </w:p>
        </w:tc>
        <w:tc>
          <w:tcPr>
            <w:tcW w:w="851" w:type="dxa"/>
            <w:tcBorders>
              <w:left w:val="single" w:sz="4" w:space="0" w:color="auto"/>
            </w:tcBorders>
            <w:hideMark/>
          </w:tcPr>
          <w:p w14:paraId="3D385C48" w14:textId="77777777" w:rsidR="006147C0" w:rsidRDefault="006147C0" w:rsidP="00D163A7">
            <w:pPr>
              <w:pStyle w:val="NormalWeb"/>
              <w:jc w:val="center"/>
            </w:pPr>
            <w:r>
              <w:t>4</w:t>
            </w:r>
          </w:p>
        </w:tc>
        <w:tc>
          <w:tcPr>
            <w:tcW w:w="1084" w:type="dxa"/>
            <w:tcBorders>
              <w:right w:val="single" w:sz="4" w:space="0" w:color="auto"/>
            </w:tcBorders>
            <w:hideMark/>
          </w:tcPr>
          <w:p w14:paraId="36390DD3" w14:textId="77777777" w:rsidR="006147C0" w:rsidRDefault="006147C0" w:rsidP="00D163A7">
            <w:pPr>
              <w:pStyle w:val="NormalWeb"/>
              <w:jc w:val="center"/>
            </w:pPr>
            <w:r>
              <w:t>100</w:t>
            </w:r>
          </w:p>
        </w:tc>
        <w:tc>
          <w:tcPr>
            <w:tcW w:w="754" w:type="dxa"/>
            <w:tcBorders>
              <w:left w:val="single" w:sz="4" w:space="0" w:color="auto"/>
            </w:tcBorders>
            <w:hideMark/>
          </w:tcPr>
          <w:p w14:paraId="45D41F0F" w14:textId="77777777" w:rsidR="006147C0" w:rsidRDefault="006147C0" w:rsidP="00D163A7">
            <w:pPr>
              <w:pStyle w:val="NormalWeb"/>
              <w:jc w:val="center"/>
            </w:pPr>
            <w:r>
              <w:t>2</w:t>
            </w:r>
          </w:p>
        </w:tc>
        <w:tc>
          <w:tcPr>
            <w:tcW w:w="1260" w:type="dxa"/>
            <w:tcBorders>
              <w:right w:val="single" w:sz="4" w:space="0" w:color="auto"/>
            </w:tcBorders>
            <w:hideMark/>
          </w:tcPr>
          <w:p w14:paraId="75B86042" w14:textId="77777777" w:rsidR="006147C0" w:rsidRDefault="006147C0" w:rsidP="00D163A7">
            <w:pPr>
              <w:pStyle w:val="NormalWeb"/>
              <w:jc w:val="center"/>
            </w:pPr>
            <w:r>
              <w:t>50</w:t>
            </w:r>
          </w:p>
        </w:tc>
        <w:tc>
          <w:tcPr>
            <w:tcW w:w="965" w:type="dxa"/>
            <w:tcBorders>
              <w:left w:val="single" w:sz="4" w:space="0" w:color="auto"/>
            </w:tcBorders>
            <w:hideMark/>
          </w:tcPr>
          <w:p w14:paraId="3D51ADB3" w14:textId="77777777" w:rsidR="006147C0" w:rsidRDefault="006147C0" w:rsidP="00D163A7">
            <w:pPr>
              <w:pStyle w:val="NormalWeb"/>
              <w:jc w:val="center"/>
            </w:pPr>
            <w:r>
              <w:t>2</w:t>
            </w:r>
          </w:p>
        </w:tc>
        <w:tc>
          <w:tcPr>
            <w:tcW w:w="1377" w:type="dxa"/>
            <w:tcBorders>
              <w:right w:val="single" w:sz="4" w:space="0" w:color="auto"/>
            </w:tcBorders>
            <w:hideMark/>
          </w:tcPr>
          <w:p w14:paraId="01819142" w14:textId="77777777" w:rsidR="006147C0" w:rsidRDefault="006147C0" w:rsidP="00D163A7">
            <w:pPr>
              <w:pStyle w:val="NormalWeb"/>
              <w:jc w:val="center"/>
            </w:pPr>
            <w:r>
              <w:t>50</w:t>
            </w:r>
          </w:p>
        </w:tc>
        <w:tc>
          <w:tcPr>
            <w:tcW w:w="1393" w:type="dxa"/>
            <w:tcBorders>
              <w:left w:val="single" w:sz="4" w:space="0" w:color="auto"/>
            </w:tcBorders>
            <w:hideMark/>
          </w:tcPr>
          <w:p w14:paraId="62AE53A9" w14:textId="77777777" w:rsidR="006147C0" w:rsidRDefault="006147C0" w:rsidP="00D163A7">
            <w:pPr>
              <w:pStyle w:val="NormalWeb"/>
              <w:jc w:val="center"/>
            </w:pPr>
            <w:r>
              <w:t>1</w:t>
            </w:r>
          </w:p>
        </w:tc>
        <w:tc>
          <w:tcPr>
            <w:tcW w:w="1630" w:type="dxa"/>
            <w:hideMark/>
          </w:tcPr>
          <w:p w14:paraId="54CC6D8F" w14:textId="77777777" w:rsidR="006147C0" w:rsidRDefault="006147C0" w:rsidP="00D163A7">
            <w:pPr>
              <w:pStyle w:val="NormalWeb"/>
              <w:jc w:val="center"/>
            </w:pPr>
            <w:r>
              <w:t>25</w:t>
            </w:r>
          </w:p>
        </w:tc>
      </w:tr>
      <w:tr w:rsidR="00D163A7" w14:paraId="3ADA5298" w14:textId="77777777" w:rsidTr="003842D1">
        <w:trPr>
          <w:cnfStyle w:val="000000010000" w:firstRow="0" w:lastRow="0" w:firstColumn="0" w:lastColumn="0" w:oddVBand="0" w:evenVBand="0" w:oddHBand="0" w:evenHBand="1" w:firstRowFirstColumn="0" w:firstRowLastColumn="0" w:lastRowFirstColumn="0" w:lastRowLastColumn="0"/>
        </w:trPr>
        <w:tc>
          <w:tcPr>
            <w:tcW w:w="3969" w:type="dxa"/>
            <w:tcBorders>
              <w:bottom w:val="single" w:sz="4" w:space="0" w:color="auto"/>
              <w:right w:val="single" w:sz="4" w:space="0" w:color="auto"/>
            </w:tcBorders>
            <w:hideMark/>
          </w:tcPr>
          <w:p w14:paraId="63E6973D" w14:textId="77777777" w:rsidR="006147C0" w:rsidRDefault="006147C0">
            <w:pPr>
              <w:pStyle w:val="NormalWeb"/>
            </w:pPr>
            <w:r>
              <w:t>Western Australia Remote</w:t>
            </w:r>
          </w:p>
        </w:tc>
        <w:tc>
          <w:tcPr>
            <w:tcW w:w="1701" w:type="dxa"/>
            <w:tcBorders>
              <w:left w:val="single" w:sz="4" w:space="0" w:color="auto"/>
              <w:bottom w:val="single" w:sz="4" w:space="0" w:color="auto"/>
              <w:right w:val="single" w:sz="4" w:space="0" w:color="auto"/>
            </w:tcBorders>
            <w:hideMark/>
          </w:tcPr>
          <w:p w14:paraId="2044EE95" w14:textId="77777777" w:rsidR="006147C0" w:rsidRDefault="006147C0" w:rsidP="00D163A7">
            <w:pPr>
              <w:pStyle w:val="NormalWeb"/>
              <w:jc w:val="center"/>
            </w:pPr>
            <w:r>
              <w:t>0</w:t>
            </w:r>
          </w:p>
        </w:tc>
        <w:tc>
          <w:tcPr>
            <w:tcW w:w="851" w:type="dxa"/>
            <w:tcBorders>
              <w:left w:val="single" w:sz="4" w:space="0" w:color="auto"/>
              <w:bottom w:val="single" w:sz="4" w:space="0" w:color="auto"/>
            </w:tcBorders>
            <w:hideMark/>
          </w:tcPr>
          <w:p w14:paraId="0F81816E" w14:textId="77777777" w:rsidR="006147C0" w:rsidRDefault="006147C0" w:rsidP="00D163A7">
            <w:pPr>
              <w:pStyle w:val="NormalWeb"/>
              <w:jc w:val="center"/>
            </w:pPr>
            <w:r>
              <w:t>0</w:t>
            </w:r>
          </w:p>
        </w:tc>
        <w:tc>
          <w:tcPr>
            <w:tcW w:w="1084" w:type="dxa"/>
            <w:tcBorders>
              <w:bottom w:val="single" w:sz="4" w:space="0" w:color="auto"/>
              <w:right w:val="single" w:sz="4" w:space="0" w:color="auto"/>
            </w:tcBorders>
            <w:hideMark/>
          </w:tcPr>
          <w:p w14:paraId="764F0E62" w14:textId="77777777" w:rsidR="006147C0" w:rsidRDefault="006147C0" w:rsidP="00D163A7">
            <w:pPr>
              <w:pStyle w:val="NormalWeb"/>
              <w:jc w:val="center"/>
            </w:pPr>
            <w:r>
              <w:t>0</w:t>
            </w:r>
          </w:p>
        </w:tc>
        <w:tc>
          <w:tcPr>
            <w:tcW w:w="754" w:type="dxa"/>
            <w:tcBorders>
              <w:left w:val="single" w:sz="4" w:space="0" w:color="auto"/>
              <w:bottom w:val="single" w:sz="4" w:space="0" w:color="auto"/>
            </w:tcBorders>
            <w:hideMark/>
          </w:tcPr>
          <w:p w14:paraId="51E7B2FF" w14:textId="77777777" w:rsidR="006147C0" w:rsidRDefault="006147C0" w:rsidP="00D163A7">
            <w:pPr>
              <w:pStyle w:val="NormalWeb"/>
              <w:jc w:val="center"/>
            </w:pPr>
            <w:r>
              <w:t>0</w:t>
            </w:r>
          </w:p>
        </w:tc>
        <w:tc>
          <w:tcPr>
            <w:tcW w:w="1260" w:type="dxa"/>
            <w:tcBorders>
              <w:bottom w:val="single" w:sz="4" w:space="0" w:color="auto"/>
              <w:right w:val="single" w:sz="4" w:space="0" w:color="auto"/>
            </w:tcBorders>
            <w:hideMark/>
          </w:tcPr>
          <w:p w14:paraId="40CAC1F8" w14:textId="77777777" w:rsidR="006147C0" w:rsidRDefault="006147C0" w:rsidP="00D163A7">
            <w:pPr>
              <w:pStyle w:val="NormalWeb"/>
              <w:jc w:val="center"/>
            </w:pPr>
            <w:r>
              <w:t>0</w:t>
            </w:r>
          </w:p>
        </w:tc>
        <w:tc>
          <w:tcPr>
            <w:tcW w:w="965" w:type="dxa"/>
            <w:tcBorders>
              <w:left w:val="single" w:sz="4" w:space="0" w:color="auto"/>
              <w:bottom w:val="single" w:sz="4" w:space="0" w:color="auto"/>
            </w:tcBorders>
            <w:hideMark/>
          </w:tcPr>
          <w:p w14:paraId="3D801F0F" w14:textId="77777777" w:rsidR="006147C0" w:rsidRDefault="006147C0" w:rsidP="00D163A7">
            <w:pPr>
              <w:pStyle w:val="NormalWeb"/>
              <w:jc w:val="center"/>
            </w:pPr>
            <w:r>
              <w:t>0</w:t>
            </w:r>
          </w:p>
        </w:tc>
        <w:tc>
          <w:tcPr>
            <w:tcW w:w="1377" w:type="dxa"/>
            <w:tcBorders>
              <w:bottom w:val="single" w:sz="4" w:space="0" w:color="auto"/>
              <w:right w:val="single" w:sz="4" w:space="0" w:color="auto"/>
            </w:tcBorders>
            <w:hideMark/>
          </w:tcPr>
          <w:p w14:paraId="773465BA" w14:textId="77777777" w:rsidR="006147C0" w:rsidRDefault="006147C0" w:rsidP="00D163A7">
            <w:pPr>
              <w:pStyle w:val="NormalWeb"/>
              <w:jc w:val="center"/>
            </w:pPr>
            <w:r>
              <w:t>0</w:t>
            </w:r>
          </w:p>
        </w:tc>
        <w:tc>
          <w:tcPr>
            <w:tcW w:w="1393" w:type="dxa"/>
            <w:tcBorders>
              <w:left w:val="single" w:sz="4" w:space="0" w:color="auto"/>
              <w:bottom w:val="single" w:sz="4" w:space="0" w:color="auto"/>
            </w:tcBorders>
            <w:hideMark/>
          </w:tcPr>
          <w:p w14:paraId="302F8443" w14:textId="77777777" w:rsidR="006147C0" w:rsidRDefault="006147C0" w:rsidP="00D163A7">
            <w:pPr>
              <w:pStyle w:val="NormalWeb"/>
              <w:jc w:val="center"/>
            </w:pPr>
            <w:r>
              <w:t>0</w:t>
            </w:r>
          </w:p>
        </w:tc>
        <w:tc>
          <w:tcPr>
            <w:tcW w:w="1630" w:type="dxa"/>
            <w:tcBorders>
              <w:bottom w:val="single" w:sz="4" w:space="0" w:color="auto"/>
            </w:tcBorders>
            <w:hideMark/>
          </w:tcPr>
          <w:p w14:paraId="29F1C333" w14:textId="77777777" w:rsidR="006147C0" w:rsidRDefault="006147C0" w:rsidP="00D163A7">
            <w:pPr>
              <w:pStyle w:val="NormalWeb"/>
              <w:jc w:val="center"/>
            </w:pPr>
            <w:r>
              <w:t>0</w:t>
            </w:r>
          </w:p>
        </w:tc>
      </w:tr>
      <w:tr w:rsidR="0034538B" w:rsidRPr="002B7027" w14:paraId="4B12E534" w14:textId="77777777" w:rsidTr="003842D1">
        <w:tc>
          <w:tcPr>
            <w:tcW w:w="3969" w:type="dxa"/>
            <w:tcBorders>
              <w:top w:val="single" w:sz="4" w:space="0" w:color="auto"/>
              <w:bottom w:val="single" w:sz="4" w:space="0" w:color="auto"/>
              <w:right w:val="single" w:sz="4" w:space="0" w:color="auto"/>
            </w:tcBorders>
            <w:shd w:val="clear" w:color="auto" w:fill="FDE9D9" w:themeFill="accent6" w:themeFillTint="33"/>
            <w:hideMark/>
          </w:tcPr>
          <w:p w14:paraId="649F6D9A" w14:textId="77777777" w:rsidR="006147C0" w:rsidRPr="002B7027" w:rsidRDefault="006147C0">
            <w:pPr>
              <w:pStyle w:val="NormalWeb"/>
              <w:rPr>
                <w:b/>
              </w:rPr>
            </w:pPr>
            <w:r w:rsidRPr="002B7027">
              <w:rPr>
                <w:b/>
              </w:rPr>
              <w:t>AUSTRALIA</w:t>
            </w:r>
          </w:p>
        </w:tc>
        <w:tc>
          <w:tcPr>
            <w:tcW w:w="1701"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33CABB9" w14:textId="77777777" w:rsidR="006147C0" w:rsidRPr="002B7027" w:rsidRDefault="006147C0" w:rsidP="00D163A7">
            <w:pPr>
              <w:pStyle w:val="NormalWeb"/>
              <w:jc w:val="center"/>
              <w:rPr>
                <w:b/>
              </w:rPr>
            </w:pPr>
            <w:r w:rsidRPr="002B7027">
              <w:rPr>
                <w:b/>
              </w:rPr>
              <w:t>38</w:t>
            </w:r>
          </w:p>
        </w:tc>
        <w:tc>
          <w:tcPr>
            <w:tcW w:w="851" w:type="dxa"/>
            <w:tcBorders>
              <w:top w:val="single" w:sz="4" w:space="0" w:color="auto"/>
              <w:left w:val="single" w:sz="4" w:space="0" w:color="auto"/>
              <w:bottom w:val="single" w:sz="4" w:space="0" w:color="auto"/>
            </w:tcBorders>
            <w:shd w:val="clear" w:color="auto" w:fill="FDE9D9" w:themeFill="accent6" w:themeFillTint="33"/>
            <w:hideMark/>
          </w:tcPr>
          <w:p w14:paraId="5994BEEF" w14:textId="77777777" w:rsidR="006147C0" w:rsidRPr="002B7027" w:rsidRDefault="006147C0" w:rsidP="00D163A7">
            <w:pPr>
              <w:pStyle w:val="NormalWeb"/>
              <w:jc w:val="center"/>
              <w:rPr>
                <w:b/>
              </w:rPr>
            </w:pPr>
            <w:r w:rsidRPr="002B7027">
              <w:rPr>
                <w:b/>
              </w:rPr>
              <w:t>25</w:t>
            </w:r>
          </w:p>
        </w:tc>
        <w:tc>
          <w:tcPr>
            <w:tcW w:w="1084" w:type="dxa"/>
            <w:tcBorders>
              <w:top w:val="single" w:sz="4" w:space="0" w:color="auto"/>
              <w:bottom w:val="single" w:sz="4" w:space="0" w:color="auto"/>
              <w:right w:val="single" w:sz="4" w:space="0" w:color="auto"/>
            </w:tcBorders>
            <w:shd w:val="clear" w:color="auto" w:fill="FDE9D9" w:themeFill="accent6" w:themeFillTint="33"/>
            <w:hideMark/>
          </w:tcPr>
          <w:p w14:paraId="3A6DB1CA" w14:textId="77777777" w:rsidR="006147C0" w:rsidRPr="002B7027" w:rsidRDefault="006147C0" w:rsidP="00D163A7">
            <w:pPr>
              <w:pStyle w:val="NormalWeb"/>
              <w:jc w:val="center"/>
              <w:rPr>
                <w:b/>
              </w:rPr>
            </w:pPr>
            <w:r w:rsidRPr="002B7027">
              <w:rPr>
                <w:b/>
              </w:rPr>
              <w:t>65.8</w:t>
            </w:r>
          </w:p>
        </w:tc>
        <w:tc>
          <w:tcPr>
            <w:tcW w:w="754" w:type="dxa"/>
            <w:tcBorders>
              <w:top w:val="single" w:sz="4" w:space="0" w:color="auto"/>
              <w:left w:val="single" w:sz="4" w:space="0" w:color="auto"/>
              <w:bottom w:val="single" w:sz="4" w:space="0" w:color="auto"/>
            </w:tcBorders>
            <w:shd w:val="clear" w:color="auto" w:fill="FDE9D9" w:themeFill="accent6" w:themeFillTint="33"/>
            <w:hideMark/>
          </w:tcPr>
          <w:p w14:paraId="1D4A597E" w14:textId="77777777" w:rsidR="006147C0" w:rsidRPr="002B7027" w:rsidRDefault="006147C0" w:rsidP="00D163A7">
            <w:pPr>
              <w:pStyle w:val="NormalWeb"/>
              <w:jc w:val="center"/>
              <w:rPr>
                <w:b/>
              </w:rPr>
            </w:pPr>
            <w:r w:rsidRPr="002B7027">
              <w:rPr>
                <w:b/>
              </w:rPr>
              <w:t>25</w:t>
            </w:r>
          </w:p>
        </w:tc>
        <w:tc>
          <w:tcPr>
            <w:tcW w:w="1260" w:type="dxa"/>
            <w:tcBorders>
              <w:top w:val="single" w:sz="4" w:space="0" w:color="auto"/>
              <w:bottom w:val="single" w:sz="4" w:space="0" w:color="auto"/>
              <w:right w:val="single" w:sz="4" w:space="0" w:color="auto"/>
            </w:tcBorders>
            <w:shd w:val="clear" w:color="auto" w:fill="FDE9D9" w:themeFill="accent6" w:themeFillTint="33"/>
            <w:hideMark/>
          </w:tcPr>
          <w:p w14:paraId="33A28E06" w14:textId="419EA327" w:rsidR="006147C0" w:rsidRPr="0034538B" w:rsidRDefault="006147C0" w:rsidP="0034538B">
            <w:pPr>
              <w:pStyle w:val="NormalWeb"/>
              <w:jc w:val="center"/>
              <w:rPr>
                <w:b/>
              </w:rPr>
            </w:pPr>
            <w:r w:rsidRPr="002B7027">
              <w:rPr>
                <w:b/>
              </w:rPr>
              <w:t>65.8</w:t>
            </w:r>
          </w:p>
        </w:tc>
        <w:tc>
          <w:tcPr>
            <w:tcW w:w="965" w:type="dxa"/>
            <w:tcBorders>
              <w:top w:val="single" w:sz="4" w:space="0" w:color="auto"/>
              <w:left w:val="single" w:sz="4" w:space="0" w:color="auto"/>
              <w:bottom w:val="single" w:sz="4" w:space="0" w:color="auto"/>
            </w:tcBorders>
            <w:shd w:val="clear" w:color="auto" w:fill="FDE9D9" w:themeFill="accent6" w:themeFillTint="33"/>
            <w:hideMark/>
          </w:tcPr>
          <w:p w14:paraId="7E2F4621" w14:textId="77777777" w:rsidR="006147C0" w:rsidRPr="002B7027" w:rsidRDefault="006147C0" w:rsidP="00D163A7">
            <w:pPr>
              <w:pStyle w:val="NormalWeb"/>
              <w:jc w:val="center"/>
              <w:rPr>
                <w:b/>
              </w:rPr>
            </w:pPr>
            <w:r w:rsidRPr="002B7027">
              <w:rPr>
                <w:b/>
              </w:rPr>
              <w:t>13</w:t>
            </w:r>
          </w:p>
        </w:tc>
        <w:tc>
          <w:tcPr>
            <w:tcW w:w="1377" w:type="dxa"/>
            <w:tcBorders>
              <w:top w:val="single" w:sz="4" w:space="0" w:color="auto"/>
              <w:bottom w:val="single" w:sz="4" w:space="0" w:color="auto"/>
              <w:right w:val="single" w:sz="4" w:space="0" w:color="auto"/>
            </w:tcBorders>
            <w:shd w:val="clear" w:color="auto" w:fill="FDE9D9" w:themeFill="accent6" w:themeFillTint="33"/>
            <w:hideMark/>
          </w:tcPr>
          <w:p w14:paraId="76A26AE7" w14:textId="77777777" w:rsidR="006147C0" w:rsidRPr="002B7027" w:rsidRDefault="006147C0" w:rsidP="00D163A7">
            <w:pPr>
              <w:pStyle w:val="NormalWeb"/>
              <w:jc w:val="center"/>
              <w:rPr>
                <w:b/>
              </w:rPr>
            </w:pPr>
            <w:r w:rsidRPr="002B7027">
              <w:rPr>
                <w:b/>
              </w:rPr>
              <w:t>34.2</w:t>
            </w:r>
          </w:p>
        </w:tc>
        <w:tc>
          <w:tcPr>
            <w:tcW w:w="1393" w:type="dxa"/>
            <w:tcBorders>
              <w:top w:val="single" w:sz="4" w:space="0" w:color="auto"/>
              <w:left w:val="single" w:sz="4" w:space="0" w:color="auto"/>
              <w:bottom w:val="single" w:sz="4" w:space="0" w:color="auto"/>
            </w:tcBorders>
            <w:shd w:val="clear" w:color="auto" w:fill="FDE9D9" w:themeFill="accent6" w:themeFillTint="33"/>
            <w:hideMark/>
          </w:tcPr>
          <w:p w14:paraId="4FEC1721" w14:textId="77777777" w:rsidR="006147C0" w:rsidRPr="002B7027" w:rsidRDefault="006147C0" w:rsidP="00D163A7">
            <w:pPr>
              <w:pStyle w:val="NormalWeb"/>
              <w:jc w:val="center"/>
              <w:rPr>
                <w:b/>
              </w:rPr>
            </w:pPr>
            <w:r w:rsidRPr="002B7027">
              <w:rPr>
                <w:b/>
              </w:rPr>
              <w:t>13</w:t>
            </w:r>
          </w:p>
        </w:tc>
        <w:tc>
          <w:tcPr>
            <w:tcW w:w="1630" w:type="dxa"/>
            <w:tcBorders>
              <w:top w:val="single" w:sz="4" w:space="0" w:color="auto"/>
              <w:bottom w:val="single" w:sz="4" w:space="0" w:color="auto"/>
            </w:tcBorders>
            <w:shd w:val="clear" w:color="auto" w:fill="FDE9D9" w:themeFill="accent6" w:themeFillTint="33"/>
            <w:hideMark/>
          </w:tcPr>
          <w:p w14:paraId="2F402687" w14:textId="77777777" w:rsidR="006147C0" w:rsidRPr="002B7027" w:rsidRDefault="006147C0" w:rsidP="00D163A7">
            <w:pPr>
              <w:pStyle w:val="NormalWeb"/>
              <w:jc w:val="center"/>
              <w:rPr>
                <w:b/>
              </w:rPr>
            </w:pPr>
            <w:r w:rsidRPr="002B7027">
              <w:rPr>
                <w:b/>
              </w:rPr>
              <w:t>34.2</w:t>
            </w:r>
          </w:p>
        </w:tc>
      </w:tr>
    </w:tbl>
    <w:p w14:paraId="2EEFE5C4" w14:textId="77777777" w:rsidR="00173230" w:rsidRDefault="00173230" w:rsidP="006147C0">
      <w:pPr>
        <w:pStyle w:val="Heading2"/>
        <w:sectPr w:rsidR="00173230" w:rsidSect="00173230">
          <w:pgSz w:w="16838" w:h="11906" w:orient="landscape"/>
          <w:pgMar w:top="720" w:right="720" w:bottom="720" w:left="1134" w:header="709" w:footer="284" w:gutter="0"/>
          <w:cols w:space="708"/>
          <w:titlePg/>
          <w:docGrid w:linePitch="360"/>
        </w:sectPr>
      </w:pPr>
    </w:p>
    <w:p w14:paraId="444E5CEE" w14:textId="77777777" w:rsidR="006147C0" w:rsidRPr="006147C0" w:rsidRDefault="006147C0" w:rsidP="006147C0">
      <w:pPr>
        <w:pStyle w:val="Heading2"/>
      </w:pPr>
      <w:r w:rsidRPr="006147C0">
        <w:lastRenderedPageBreak/>
        <w:t>Azithromycin</w:t>
      </w:r>
    </w:p>
    <w:p w14:paraId="0D4FF04E" w14:textId="77777777" w:rsidR="006147C0" w:rsidRDefault="006147C0" w:rsidP="006147C0">
      <w:r>
        <w:t>In the first quarter of 2018, the proportion of isolates with resistance to azithromycin in Australia was 6.0%, lower than the proportion reported nationally for 2017 (9.3%), but three times the level reported in Australia for 2013–2015 (2.1%–2.6%).</w:t>
      </w:r>
      <w:r>
        <w:rPr>
          <w:vertAlign w:val="superscript"/>
        </w:rPr>
        <w:t>3</w:t>
      </w:r>
      <w:r>
        <w:t xml:space="preserve"> Initially, in 2016 the highest incidence of azithromycin resistance was reported from South Australia (19.5% in 2016, compared with 2.8% in 2015), where an outbreak of strains with low level azithromycin was reported in 2016 with a subsequent change in treatment guidelines.</w:t>
      </w:r>
      <w:r>
        <w:rPr>
          <w:vertAlign w:val="superscript"/>
        </w:rPr>
        <w:t>4</w:t>
      </w:r>
      <w:r>
        <w:t xml:space="preserve"> Globally there have been increasing reports of azithromycin resistance in </w:t>
      </w:r>
      <w:r w:rsidRPr="00521BF8">
        <w:rPr>
          <w:rStyle w:val="Emphasis"/>
          <w:b w:val="0"/>
        </w:rPr>
        <w:t>N. gonorrhoeae</w:t>
      </w:r>
      <w:r w:rsidRPr="00352157">
        <w:rPr>
          <w:rStyle w:val="Emphasis"/>
          <w:b w:val="0"/>
          <w:i w:val="0"/>
        </w:rPr>
        <w:t>.</w:t>
      </w:r>
      <w:r>
        <w:rPr>
          <w:vertAlign w:val="superscript"/>
        </w:rPr>
        <w:t>5</w:t>
      </w:r>
      <w:r>
        <w:t xml:space="preserve"> </w:t>
      </w:r>
    </w:p>
    <w:p w14:paraId="4EC28BA5" w14:textId="77777777" w:rsidR="006147C0" w:rsidRDefault="006147C0" w:rsidP="006147C0">
      <w:r>
        <w:t xml:space="preserve">In </w:t>
      </w:r>
      <w:r w:rsidR="00352157">
        <w:t>Q</w:t>
      </w:r>
      <w:r>
        <w:t>uarter 1 2018, most states reported isolates with resistance to azithromycin, with the exception of Tasmania, remote Northern Territory and remote Western Australia. The states that reported an increase in the proportion of NG isolates with resistance to azithromycin when compared with the annual data for 2017 were Queensland, the Australian Capital Territory and urban Northern Territory, while the other states reported a decrease from the 2017 annual data.</w:t>
      </w:r>
    </w:p>
    <w:p w14:paraId="18741255" w14:textId="77777777" w:rsidR="006147C0" w:rsidRDefault="006147C0" w:rsidP="006147C0">
      <w:r>
        <w:t>The national trend of azithromycin resistance in isolates since 2012 is shown in Table 4.</w:t>
      </w:r>
    </w:p>
    <w:p w14:paraId="37F0151B" w14:textId="77777777" w:rsidR="006147C0" w:rsidRDefault="006147C0" w:rsidP="006147C0">
      <w:pPr>
        <w:pStyle w:val="CDIFigures"/>
      </w:pPr>
      <w:r>
        <w:t>Table 4: Percentage of gonococcal isolates with resistance to azithromycin MIC ≥1.0 mg/L, Australia, 2012 to 2017, and 1 January to 31 March 2018</w:t>
      </w:r>
    </w:p>
    <w:tbl>
      <w:tblPr>
        <w:tblStyle w:val="CDI-StandardTable"/>
        <w:tblW w:w="0" w:type="auto"/>
        <w:tblCellMar>
          <w:top w:w="113" w:type="dxa"/>
          <w:left w:w="113" w:type="dxa"/>
          <w:bottom w:w="113" w:type="dxa"/>
          <w:right w:w="113" w:type="dxa"/>
        </w:tblCellMar>
        <w:tblLook w:val="04A0" w:firstRow="1" w:lastRow="0" w:firstColumn="1" w:lastColumn="0" w:noHBand="0" w:noVBand="1"/>
        <w:tblDescription w:val="Table 4 shows the percentage of gonococcal isolates with resistance to azithromycin MIC ≥1.0 mg/L, from Australia, in 2012 to 2017, and 1 January to 31 March 2018.&#10;&#10;"/>
      </w:tblPr>
      <w:tblGrid>
        <w:gridCol w:w="2459"/>
        <w:gridCol w:w="1126"/>
        <w:gridCol w:w="1126"/>
        <w:gridCol w:w="1126"/>
        <w:gridCol w:w="1126"/>
        <w:gridCol w:w="1126"/>
        <w:gridCol w:w="1126"/>
        <w:gridCol w:w="1127"/>
      </w:tblGrid>
      <w:tr w:rsidR="00727205" w:rsidRPr="00727205" w14:paraId="459EC0D5" w14:textId="77777777" w:rsidTr="00E00E19">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10667890" w14:textId="77777777" w:rsidR="006147C0" w:rsidRPr="00727205" w:rsidRDefault="006147C0">
            <w:pPr>
              <w:pStyle w:val="NormalWeb"/>
              <w:rPr>
                <w:color w:val="FFFFFF" w:themeColor="background1"/>
              </w:rPr>
            </w:pPr>
            <w:r w:rsidRPr="00727205">
              <w:rPr>
                <w:color w:val="FFFFFF" w:themeColor="background1"/>
              </w:rPr>
              <w:t>Azithromycin Resistance</w:t>
            </w:r>
          </w:p>
        </w:tc>
        <w:tc>
          <w:tcPr>
            <w:tcW w:w="1126" w:type="dxa"/>
            <w:hideMark/>
          </w:tcPr>
          <w:p w14:paraId="462BF84A" w14:textId="77777777" w:rsidR="006147C0" w:rsidRPr="00727205" w:rsidRDefault="006147C0" w:rsidP="00727205">
            <w:pPr>
              <w:pStyle w:val="NormalWeb"/>
              <w:jc w:val="center"/>
              <w:rPr>
                <w:color w:val="FFFFFF" w:themeColor="background1"/>
              </w:rPr>
            </w:pPr>
            <w:r w:rsidRPr="00727205">
              <w:rPr>
                <w:color w:val="FFFFFF" w:themeColor="background1"/>
              </w:rPr>
              <w:t>2012</w:t>
            </w:r>
          </w:p>
        </w:tc>
        <w:tc>
          <w:tcPr>
            <w:tcW w:w="1126" w:type="dxa"/>
            <w:hideMark/>
          </w:tcPr>
          <w:p w14:paraId="1FE10FC4" w14:textId="77777777" w:rsidR="006147C0" w:rsidRPr="00727205" w:rsidRDefault="006147C0" w:rsidP="00727205">
            <w:pPr>
              <w:pStyle w:val="NormalWeb"/>
              <w:jc w:val="center"/>
              <w:rPr>
                <w:color w:val="FFFFFF" w:themeColor="background1"/>
              </w:rPr>
            </w:pPr>
            <w:r w:rsidRPr="00727205">
              <w:rPr>
                <w:color w:val="FFFFFF" w:themeColor="background1"/>
              </w:rPr>
              <w:t>2013</w:t>
            </w:r>
          </w:p>
        </w:tc>
        <w:tc>
          <w:tcPr>
            <w:tcW w:w="1126" w:type="dxa"/>
            <w:hideMark/>
          </w:tcPr>
          <w:p w14:paraId="1826A6BA" w14:textId="77777777" w:rsidR="006147C0" w:rsidRPr="00727205" w:rsidRDefault="006147C0" w:rsidP="00727205">
            <w:pPr>
              <w:pStyle w:val="NormalWeb"/>
              <w:jc w:val="center"/>
              <w:rPr>
                <w:color w:val="FFFFFF" w:themeColor="background1"/>
              </w:rPr>
            </w:pPr>
            <w:r w:rsidRPr="00727205">
              <w:rPr>
                <w:color w:val="FFFFFF" w:themeColor="background1"/>
              </w:rPr>
              <w:t>2014</w:t>
            </w:r>
          </w:p>
        </w:tc>
        <w:tc>
          <w:tcPr>
            <w:tcW w:w="1126" w:type="dxa"/>
            <w:hideMark/>
          </w:tcPr>
          <w:p w14:paraId="1DD6DCDA" w14:textId="77777777" w:rsidR="006147C0" w:rsidRPr="00727205" w:rsidRDefault="006147C0" w:rsidP="00727205">
            <w:pPr>
              <w:pStyle w:val="NormalWeb"/>
              <w:jc w:val="center"/>
              <w:rPr>
                <w:color w:val="FFFFFF" w:themeColor="background1"/>
              </w:rPr>
            </w:pPr>
            <w:r w:rsidRPr="00727205">
              <w:rPr>
                <w:color w:val="FFFFFF" w:themeColor="background1"/>
              </w:rPr>
              <w:t>2015</w:t>
            </w:r>
          </w:p>
        </w:tc>
        <w:tc>
          <w:tcPr>
            <w:tcW w:w="1126" w:type="dxa"/>
            <w:hideMark/>
          </w:tcPr>
          <w:p w14:paraId="56E36246" w14:textId="77777777" w:rsidR="006147C0" w:rsidRPr="00727205" w:rsidRDefault="006147C0" w:rsidP="00727205">
            <w:pPr>
              <w:pStyle w:val="NormalWeb"/>
              <w:jc w:val="center"/>
              <w:rPr>
                <w:color w:val="FFFFFF" w:themeColor="background1"/>
              </w:rPr>
            </w:pPr>
            <w:r w:rsidRPr="00727205">
              <w:rPr>
                <w:color w:val="FFFFFF" w:themeColor="background1"/>
              </w:rPr>
              <w:t>2016</w:t>
            </w:r>
          </w:p>
        </w:tc>
        <w:tc>
          <w:tcPr>
            <w:tcW w:w="1126" w:type="dxa"/>
            <w:hideMark/>
          </w:tcPr>
          <w:p w14:paraId="6C3DF16B" w14:textId="77777777" w:rsidR="006147C0" w:rsidRPr="00727205" w:rsidRDefault="006147C0" w:rsidP="00727205">
            <w:pPr>
              <w:pStyle w:val="NormalWeb"/>
              <w:jc w:val="center"/>
              <w:rPr>
                <w:color w:val="FFFFFF" w:themeColor="background1"/>
              </w:rPr>
            </w:pPr>
            <w:r w:rsidRPr="00727205">
              <w:rPr>
                <w:color w:val="FFFFFF" w:themeColor="background1"/>
              </w:rPr>
              <w:t>2017</w:t>
            </w:r>
          </w:p>
        </w:tc>
        <w:tc>
          <w:tcPr>
            <w:tcW w:w="1127" w:type="dxa"/>
            <w:hideMark/>
          </w:tcPr>
          <w:p w14:paraId="1F63757B" w14:textId="77777777" w:rsidR="006147C0" w:rsidRPr="00727205" w:rsidRDefault="006147C0" w:rsidP="00727205">
            <w:pPr>
              <w:pStyle w:val="NormalWeb"/>
              <w:jc w:val="center"/>
              <w:rPr>
                <w:color w:val="FFFFFF" w:themeColor="background1"/>
              </w:rPr>
            </w:pPr>
            <w:r w:rsidRPr="00727205">
              <w:rPr>
                <w:color w:val="FFFFFF" w:themeColor="background1"/>
              </w:rPr>
              <w:t>2018 Q1</w:t>
            </w:r>
          </w:p>
        </w:tc>
      </w:tr>
      <w:tr w:rsidR="006147C0" w14:paraId="530C641D" w14:textId="77777777" w:rsidTr="00727205">
        <w:tc>
          <w:tcPr>
            <w:tcW w:w="0" w:type="auto"/>
            <w:hideMark/>
          </w:tcPr>
          <w:p w14:paraId="76587A5A" w14:textId="77777777" w:rsidR="006147C0" w:rsidRDefault="006147C0">
            <w:pPr>
              <w:pStyle w:val="NormalWeb"/>
            </w:pPr>
            <w:r>
              <w:t>MIC ≥1mg/L</w:t>
            </w:r>
          </w:p>
        </w:tc>
        <w:tc>
          <w:tcPr>
            <w:tcW w:w="1126" w:type="dxa"/>
            <w:hideMark/>
          </w:tcPr>
          <w:p w14:paraId="3B5AB9C5" w14:textId="77777777" w:rsidR="006147C0" w:rsidRDefault="006147C0" w:rsidP="00727205">
            <w:pPr>
              <w:pStyle w:val="NormalWeb"/>
              <w:jc w:val="center"/>
            </w:pPr>
            <w:r>
              <w:t>1.3%</w:t>
            </w:r>
          </w:p>
        </w:tc>
        <w:tc>
          <w:tcPr>
            <w:tcW w:w="1126" w:type="dxa"/>
            <w:hideMark/>
          </w:tcPr>
          <w:p w14:paraId="229583C6" w14:textId="77777777" w:rsidR="006147C0" w:rsidRDefault="006147C0" w:rsidP="00727205">
            <w:pPr>
              <w:pStyle w:val="NormalWeb"/>
              <w:jc w:val="center"/>
            </w:pPr>
            <w:r>
              <w:t>2.1%</w:t>
            </w:r>
          </w:p>
        </w:tc>
        <w:tc>
          <w:tcPr>
            <w:tcW w:w="1126" w:type="dxa"/>
            <w:hideMark/>
          </w:tcPr>
          <w:p w14:paraId="5CED0829" w14:textId="77777777" w:rsidR="006147C0" w:rsidRDefault="006147C0" w:rsidP="00727205">
            <w:pPr>
              <w:pStyle w:val="NormalWeb"/>
              <w:jc w:val="center"/>
            </w:pPr>
            <w:r>
              <w:t>2.5%</w:t>
            </w:r>
          </w:p>
        </w:tc>
        <w:tc>
          <w:tcPr>
            <w:tcW w:w="1126" w:type="dxa"/>
            <w:hideMark/>
          </w:tcPr>
          <w:p w14:paraId="0C5F06CE" w14:textId="77777777" w:rsidR="006147C0" w:rsidRDefault="006147C0" w:rsidP="00727205">
            <w:pPr>
              <w:pStyle w:val="NormalWeb"/>
              <w:jc w:val="center"/>
            </w:pPr>
            <w:r>
              <w:t>2.6%</w:t>
            </w:r>
          </w:p>
        </w:tc>
        <w:tc>
          <w:tcPr>
            <w:tcW w:w="1126" w:type="dxa"/>
            <w:hideMark/>
          </w:tcPr>
          <w:p w14:paraId="3494D49E" w14:textId="77777777" w:rsidR="006147C0" w:rsidRDefault="006147C0" w:rsidP="00727205">
            <w:pPr>
              <w:pStyle w:val="NormalWeb"/>
              <w:jc w:val="center"/>
            </w:pPr>
            <w:r>
              <w:t>5.0%</w:t>
            </w:r>
          </w:p>
        </w:tc>
        <w:tc>
          <w:tcPr>
            <w:tcW w:w="1126" w:type="dxa"/>
            <w:hideMark/>
          </w:tcPr>
          <w:p w14:paraId="4CAD8BB0" w14:textId="77777777" w:rsidR="006147C0" w:rsidRDefault="006147C0" w:rsidP="00727205">
            <w:pPr>
              <w:pStyle w:val="NormalWeb"/>
              <w:jc w:val="center"/>
            </w:pPr>
            <w:r>
              <w:t>9.3%</w:t>
            </w:r>
          </w:p>
        </w:tc>
        <w:tc>
          <w:tcPr>
            <w:tcW w:w="1127" w:type="dxa"/>
            <w:hideMark/>
          </w:tcPr>
          <w:p w14:paraId="38D4B40F" w14:textId="77777777" w:rsidR="006147C0" w:rsidRDefault="006147C0" w:rsidP="00727205">
            <w:pPr>
              <w:pStyle w:val="NormalWeb"/>
              <w:jc w:val="center"/>
            </w:pPr>
            <w:r>
              <w:t>6.0%</w:t>
            </w:r>
          </w:p>
        </w:tc>
      </w:tr>
    </w:tbl>
    <w:p w14:paraId="1D697D03" w14:textId="77777777" w:rsidR="00727205" w:rsidRDefault="00727205" w:rsidP="006147C0"/>
    <w:p w14:paraId="72ED92B6" w14:textId="77777777" w:rsidR="006147C0" w:rsidRDefault="006147C0" w:rsidP="006147C0">
      <w:r>
        <w:t xml:space="preserve">Dual therapy of ceftriaxone plus azithromycin is the recommended treatment for gonorrhoea as a strategy to temper development of more widespread resistance. Patients with infections in extragenital sites, where the isolate has decreased susceptibility to ceftriaxone, are recommended to have test of cure cultures collected. Continued surveillance to monitor </w:t>
      </w:r>
      <w:r w:rsidRPr="00521BF8">
        <w:rPr>
          <w:rStyle w:val="Emphasis"/>
          <w:b w:val="0"/>
        </w:rPr>
        <w:t>N. gonorrhoeae</w:t>
      </w:r>
      <w:r>
        <w:t xml:space="preserve"> with elevated MIC values, coupled with sentinel site surveillance in high risk populations, remains important to inform therapeutic strategies, to identify incursion of resistant strains, and to detect instances of treatment failure.</w:t>
      </w:r>
    </w:p>
    <w:p w14:paraId="1F2239EB" w14:textId="77777777" w:rsidR="006147C0" w:rsidRPr="006147C0" w:rsidRDefault="006147C0" w:rsidP="006147C0">
      <w:pPr>
        <w:pStyle w:val="Heading1"/>
      </w:pPr>
      <w:r w:rsidRPr="006147C0">
        <w:t>References</w:t>
      </w:r>
    </w:p>
    <w:p w14:paraId="7F14B220" w14:textId="77777777" w:rsidR="006147C0" w:rsidRPr="006147C0" w:rsidRDefault="006147C0" w:rsidP="006147C0">
      <w:pPr>
        <w:pStyle w:val="ListParagraph"/>
        <w:numPr>
          <w:ilvl w:val="0"/>
          <w:numId w:val="8"/>
        </w:numPr>
        <w:spacing w:before="100" w:beforeAutospacing="1" w:after="100" w:afterAutospacing="1" w:line="240" w:lineRule="auto"/>
        <w:rPr>
          <w:rFonts w:eastAsia="Times New Roman"/>
        </w:rPr>
      </w:pPr>
      <w:r w:rsidRPr="006147C0">
        <w:rPr>
          <w:rFonts w:eastAsia="Times New Roman"/>
        </w:rPr>
        <w:t xml:space="preserve">Whiley DM, Jennison A, Pearson J, Lahra MM. Genetic characterisation of </w:t>
      </w:r>
      <w:r w:rsidRPr="00211D9C">
        <w:rPr>
          <w:rFonts w:eastAsia="Times New Roman"/>
          <w:i/>
        </w:rPr>
        <w:t>Neisseria gonorrhoeae</w:t>
      </w:r>
      <w:r w:rsidRPr="006147C0">
        <w:rPr>
          <w:rFonts w:eastAsia="Times New Roman"/>
        </w:rPr>
        <w:t xml:space="preserve"> resistant to both ceftriaxone and azithromycin. </w:t>
      </w:r>
      <w:r w:rsidRPr="00521BF8">
        <w:rPr>
          <w:rStyle w:val="Emphasis"/>
          <w:rFonts w:eastAsia="Times New Roman"/>
          <w:b w:val="0"/>
        </w:rPr>
        <w:t>Lancet Infect Dis</w:t>
      </w:r>
      <w:r w:rsidRPr="006147C0">
        <w:rPr>
          <w:rFonts w:eastAsia="Times New Roman"/>
        </w:rPr>
        <w:t>. 2018;18(7):717–8.</w:t>
      </w:r>
    </w:p>
    <w:p w14:paraId="580279F2" w14:textId="77777777" w:rsidR="006147C0" w:rsidRPr="006147C0" w:rsidRDefault="006147C0" w:rsidP="006147C0">
      <w:pPr>
        <w:pStyle w:val="ListParagraph"/>
        <w:numPr>
          <w:ilvl w:val="0"/>
          <w:numId w:val="8"/>
        </w:numPr>
        <w:spacing w:before="100" w:beforeAutospacing="1" w:after="100" w:afterAutospacing="1" w:line="240" w:lineRule="auto"/>
        <w:rPr>
          <w:rFonts w:eastAsia="Times New Roman"/>
        </w:rPr>
      </w:pPr>
      <w:r w:rsidRPr="006147C0">
        <w:rPr>
          <w:rFonts w:eastAsia="Times New Roman"/>
        </w:rPr>
        <w:t xml:space="preserve">European Centre for Disease Prevention and Control. Rapid Risk Assessment: Extensively drug-resistant (XDR) </w:t>
      </w:r>
      <w:r w:rsidRPr="00211D9C">
        <w:rPr>
          <w:rFonts w:eastAsia="Times New Roman"/>
          <w:i/>
        </w:rPr>
        <w:t>Neisseria gonorrhoeae</w:t>
      </w:r>
      <w:r w:rsidRPr="006147C0">
        <w:rPr>
          <w:rFonts w:eastAsia="Times New Roman"/>
        </w:rPr>
        <w:t xml:space="preserve"> in the United Kingdom and Australia. 2018. Available online: https://ecdc.europa.eu/en/publications-data/rapid-risk-assessment-extensively-drug-resistant-xdr-neisseria-gonorrhoeae-united</w:t>
      </w:r>
    </w:p>
    <w:p w14:paraId="720D30B9" w14:textId="77777777" w:rsidR="006147C0" w:rsidRPr="006147C0" w:rsidRDefault="006147C0" w:rsidP="006147C0">
      <w:pPr>
        <w:pStyle w:val="ListParagraph"/>
        <w:numPr>
          <w:ilvl w:val="0"/>
          <w:numId w:val="8"/>
        </w:numPr>
        <w:spacing w:before="100" w:beforeAutospacing="1" w:after="100" w:afterAutospacing="1" w:line="240" w:lineRule="auto"/>
        <w:rPr>
          <w:rFonts w:eastAsia="Times New Roman"/>
        </w:rPr>
      </w:pPr>
      <w:r w:rsidRPr="006147C0">
        <w:rPr>
          <w:rFonts w:eastAsia="Times New Roman"/>
        </w:rPr>
        <w:t xml:space="preserve">Lahra MM, Enriquez RP. Australian Gonococcal Surveillance Programme Annual Report, 2016. </w:t>
      </w:r>
      <w:r w:rsidRPr="00352157">
        <w:rPr>
          <w:rFonts w:eastAsia="Times New Roman"/>
          <w:i/>
        </w:rPr>
        <w:t>Commun Dis Intell (2018)</w:t>
      </w:r>
      <w:r w:rsidRPr="006147C0">
        <w:rPr>
          <w:rFonts w:eastAsia="Times New Roman"/>
        </w:rPr>
        <w:t>. 2018;42</w:t>
      </w:r>
      <w:r w:rsidR="00352157">
        <w:rPr>
          <w:rFonts w:eastAsia="Times New Roman"/>
        </w:rPr>
        <w:t>.</w:t>
      </w:r>
      <w:r w:rsidR="00352157" w:rsidRPr="006147C0">
        <w:rPr>
          <w:rFonts w:eastAsia="Times New Roman"/>
        </w:rPr>
        <w:t xml:space="preserve"> </w:t>
      </w:r>
      <w:proofErr w:type="spellStart"/>
      <w:r w:rsidRPr="006147C0">
        <w:rPr>
          <w:rFonts w:eastAsia="Times New Roman"/>
        </w:rPr>
        <w:t>pii</w:t>
      </w:r>
      <w:proofErr w:type="spellEnd"/>
      <w:r w:rsidRPr="006147C0">
        <w:rPr>
          <w:rFonts w:eastAsia="Times New Roman"/>
        </w:rPr>
        <w:t>: S2209-6051(18)00013-1.</w:t>
      </w:r>
    </w:p>
    <w:p w14:paraId="7F13140D" w14:textId="77777777" w:rsidR="006147C0" w:rsidRPr="006147C0" w:rsidRDefault="006147C0" w:rsidP="006147C0">
      <w:pPr>
        <w:pStyle w:val="ListParagraph"/>
        <w:numPr>
          <w:ilvl w:val="0"/>
          <w:numId w:val="8"/>
        </w:numPr>
        <w:spacing w:before="100" w:beforeAutospacing="1" w:after="100" w:afterAutospacing="1" w:line="240" w:lineRule="auto"/>
        <w:rPr>
          <w:rFonts w:eastAsia="Times New Roman"/>
        </w:rPr>
      </w:pPr>
      <w:r w:rsidRPr="006147C0">
        <w:rPr>
          <w:rFonts w:eastAsia="Times New Roman"/>
        </w:rPr>
        <w:t xml:space="preserve">Lahra MM, Ward A, </w:t>
      </w:r>
      <w:proofErr w:type="spellStart"/>
      <w:r w:rsidRPr="006147C0">
        <w:rPr>
          <w:rFonts w:eastAsia="Times New Roman"/>
        </w:rPr>
        <w:t>Trembizki</w:t>
      </w:r>
      <w:proofErr w:type="spellEnd"/>
      <w:r w:rsidRPr="006147C0">
        <w:rPr>
          <w:rFonts w:eastAsia="Times New Roman"/>
        </w:rPr>
        <w:t xml:space="preserve"> E, Hermanson J, Clements E, Lawrence A, et al. Treatment guidelines after an outbreak of azithromycin-resistant </w:t>
      </w:r>
      <w:r w:rsidRPr="00521BF8">
        <w:rPr>
          <w:rStyle w:val="Emphasis"/>
          <w:rFonts w:eastAsia="Times New Roman"/>
          <w:b w:val="0"/>
        </w:rPr>
        <w:t>Neisseria gonorrhoeae</w:t>
      </w:r>
      <w:r w:rsidRPr="006147C0">
        <w:rPr>
          <w:rFonts w:eastAsia="Times New Roman"/>
        </w:rPr>
        <w:t xml:space="preserve"> in South Australia. </w:t>
      </w:r>
      <w:r w:rsidRPr="00521BF8">
        <w:rPr>
          <w:rStyle w:val="Emphasis"/>
          <w:rFonts w:eastAsia="Times New Roman"/>
          <w:b w:val="0"/>
        </w:rPr>
        <w:t>Lancet Infect Dis</w:t>
      </w:r>
      <w:r w:rsidRPr="006147C0">
        <w:rPr>
          <w:rFonts w:eastAsia="Times New Roman"/>
        </w:rPr>
        <w:t>. 2017;17(2):133–4.</w:t>
      </w:r>
    </w:p>
    <w:p w14:paraId="19F537D4" w14:textId="77777777" w:rsidR="006147C0" w:rsidRPr="006147C0" w:rsidRDefault="006147C0" w:rsidP="006147C0">
      <w:pPr>
        <w:pStyle w:val="ListParagraph"/>
        <w:numPr>
          <w:ilvl w:val="0"/>
          <w:numId w:val="8"/>
        </w:numPr>
        <w:spacing w:before="100" w:beforeAutospacing="1" w:after="100" w:afterAutospacing="1" w:line="240" w:lineRule="auto"/>
        <w:rPr>
          <w:rFonts w:eastAsia="Times New Roman"/>
        </w:rPr>
      </w:pPr>
      <w:proofErr w:type="spellStart"/>
      <w:r w:rsidRPr="006147C0">
        <w:rPr>
          <w:rFonts w:eastAsia="Times New Roman"/>
        </w:rPr>
        <w:t>Unemo</w:t>
      </w:r>
      <w:proofErr w:type="spellEnd"/>
      <w:r w:rsidRPr="006147C0">
        <w:rPr>
          <w:rFonts w:eastAsia="Times New Roman"/>
        </w:rPr>
        <w:t xml:space="preserve"> M. Current and future antimicrobial treatment of gonorrhoea</w:t>
      </w:r>
      <w:r w:rsidR="00352157">
        <w:rPr>
          <w:rFonts w:eastAsia="Times New Roman"/>
        </w:rPr>
        <w:t>—</w:t>
      </w:r>
      <w:r w:rsidRPr="006147C0">
        <w:rPr>
          <w:rFonts w:eastAsia="Times New Roman"/>
        </w:rPr>
        <w:t xml:space="preserve">the rapidly evolving </w:t>
      </w:r>
      <w:r w:rsidRPr="00521BF8">
        <w:rPr>
          <w:rStyle w:val="Emphasis"/>
          <w:rFonts w:eastAsia="Times New Roman"/>
          <w:b w:val="0"/>
        </w:rPr>
        <w:t>Neisseria gonorrhoeae</w:t>
      </w:r>
      <w:r w:rsidRPr="006147C0">
        <w:rPr>
          <w:rFonts w:eastAsia="Times New Roman"/>
        </w:rPr>
        <w:t xml:space="preserve"> continues to challenge. </w:t>
      </w:r>
      <w:r w:rsidRPr="00521BF8">
        <w:rPr>
          <w:rStyle w:val="Emphasis"/>
          <w:rFonts w:eastAsia="Times New Roman"/>
          <w:b w:val="0"/>
        </w:rPr>
        <w:t>BMC Infect Dis</w:t>
      </w:r>
      <w:r w:rsidRPr="006147C0">
        <w:rPr>
          <w:rFonts w:eastAsia="Times New Roman"/>
        </w:rPr>
        <w:t>. 2015;15:364.</w:t>
      </w:r>
    </w:p>
    <w:p w14:paraId="6F6B724A" w14:textId="77777777" w:rsidR="008B5348" w:rsidRDefault="008B5348">
      <w:pPr>
        <w:rPr>
          <w:rStyle w:val="A10"/>
        </w:rPr>
      </w:pPr>
    </w:p>
    <w:p w14:paraId="080C7C85"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6211A2B3"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599BA98F"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3C4A871" w14:textId="77777777" w:rsidR="000A5F42" w:rsidRPr="000606CC" w:rsidRDefault="000A5F42" w:rsidP="000A5F42">
      <w:pPr>
        <w:pStyle w:val="NoSpacing"/>
        <w:rPr>
          <w:rStyle w:val="URI"/>
          <w:rFonts w:cstheme="minorHAnsi"/>
          <w:sz w:val="20"/>
          <w:szCs w:val="18"/>
        </w:rPr>
      </w:pPr>
    </w:p>
    <w:p w14:paraId="6A7EDA8E"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1F935BD2" w14:textId="77777777" w:rsidR="000A5F42" w:rsidRPr="000606CC" w:rsidRDefault="000A5F42" w:rsidP="000A5F42">
      <w:pPr>
        <w:pStyle w:val="NoSpacing"/>
        <w:rPr>
          <w:rStyle w:val="Strong"/>
          <w:rFonts w:cstheme="minorHAnsi"/>
          <w:sz w:val="20"/>
          <w:szCs w:val="18"/>
        </w:rPr>
      </w:pPr>
    </w:p>
    <w:p w14:paraId="73363FC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0339DA3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D751B83"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0AD5EE2"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461E0354" w14:textId="77777777" w:rsidR="000A5F42" w:rsidRPr="000606CC" w:rsidRDefault="000A5F42" w:rsidP="000A5F42">
      <w:pPr>
        <w:pStyle w:val="NoSpacing"/>
        <w:rPr>
          <w:rStyle w:val="Strong"/>
          <w:rFonts w:cstheme="minorHAnsi"/>
          <w:sz w:val="20"/>
          <w:szCs w:val="18"/>
        </w:rPr>
      </w:pPr>
    </w:p>
    <w:p w14:paraId="087297D8" w14:textId="31F3AF3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F37E348" w14:textId="77777777" w:rsidR="000A5F42" w:rsidRPr="000606CC" w:rsidRDefault="000A5F42" w:rsidP="000A5F42">
      <w:pPr>
        <w:pStyle w:val="NoSpacing"/>
        <w:rPr>
          <w:rStyle w:val="Strong"/>
          <w:rFonts w:cstheme="minorHAnsi"/>
          <w:sz w:val="20"/>
          <w:szCs w:val="18"/>
        </w:rPr>
      </w:pPr>
    </w:p>
    <w:p w14:paraId="0E17024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23BEE4FD" w14:textId="77777777" w:rsidR="000A5F42" w:rsidRPr="000606CC" w:rsidRDefault="000A5F42" w:rsidP="000A5F42">
      <w:pPr>
        <w:pStyle w:val="NoSpacing"/>
        <w:rPr>
          <w:rStyle w:val="Strong"/>
          <w:rFonts w:cstheme="minorHAnsi"/>
          <w:sz w:val="20"/>
          <w:szCs w:val="18"/>
        </w:rPr>
      </w:pPr>
    </w:p>
    <w:p w14:paraId="6D63822B" w14:textId="05A8195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D8597AC" w14:textId="77777777" w:rsidR="000A5F42" w:rsidRPr="000606CC" w:rsidRDefault="000A5F42" w:rsidP="000A5F42">
      <w:pPr>
        <w:pStyle w:val="NoSpacing"/>
        <w:rPr>
          <w:rStyle w:val="Strong"/>
          <w:rFonts w:cstheme="minorHAnsi"/>
          <w:sz w:val="20"/>
          <w:szCs w:val="18"/>
        </w:rPr>
      </w:pPr>
    </w:p>
    <w:p w14:paraId="29185244" w14:textId="1A24C22A"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518B7B2" w14:textId="52F7C453"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404BFBF5" w14:textId="77777777" w:rsidR="000A5F42" w:rsidRPr="000606CC" w:rsidRDefault="000A5F42" w:rsidP="000A5F42">
      <w:pPr>
        <w:pStyle w:val="NoSpacing"/>
        <w:pBdr>
          <w:bottom w:val="single" w:sz="6" w:space="1" w:color="auto"/>
        </w:pBdr>
        <w:rPr>
          <w:rStyle w:val="Strong"/>
          <w:rFonts w:cstheme="minorHAnsi"/>
          <w:sz w:val="12"/>
          <w:szCs w:val="18"/>
        </w:rPr>
      </w:pPr>
    </w:p>
    <w:p w14:paraId="3E0DCD1B" w14:textId="77777777" w:rsidR="000A5F42" w:rsidRPr="000606CC" w:rsidRDefault="000A5F42" w:rsidP="000A5F42">
      <w:pPr>
        <w:pStyle w:val="NoSpacing"/>
        <w:rPr>
          <w:rFonts w:cstheme="minorHAnsi"/>
          <w:sz w:val="20"/>
          <w:szCs w:val="18"/>
        </w:rPr>
      </w:pPr>
    </w:p>
    <w:p w14:paraId="32825C4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E19DC1D" w14:textId="77777777" w:rsidR="000A5F42" w:rsidRPr="000606CC" w:rsidRDefault="000A5F42" w:rsidP="000A5F42">
      <w:pPr>
        <w:pStyle w:val="NoSpacing"/>
        <w:rPr>
          <w:rFonts w:cstheme="minorHAnsi"/>
          <w:sz w:val="20"/>
          <w:szCs w:val="18"/>
        </w:rPr>
      </w:pPr>
    </w:p>
    <w:p w14:paraId="511E2EB5"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DF2BE5B"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347D726A" w14:textId="267D8082"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B9B1FAE" w14:textId="77777777" w:rsidR="000A5F42" w:rsidRPr="000606CC" w:rsidRDefault="000A5F42" w:rsidP="000A5F42">
      <w:pPr>
        <w:pStyle w:val="NoSpacing"/>
        <w:rPr>
          <w:rFonts w:cstheme="minorHAnsi"/>
          <w:sz w:val="20"/>
          <w:szCs w:val="18"/>
        </w:rPr>
      </w:pPr>
    </w:p>
    <w:p w14:paraId="191B218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40E18D7C" w14:textId="7CE664AF"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27FDA14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48218C8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4A188EB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B28493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438CAB8D" w14:textId="77777777" w:rsidR="000A5F42" w:rsidRPr="000606CC" w:rsidRDefault="000A5F42" w:rsidP="000A5F42">
      <w:pPr>
        <w:pStyle w:val="NoSpacing"/>
        <w:rPr>
          <w:rStyle w:val="Strong"/>
          <w:rFonts w:cstheme="minorHAnsi"/>
          <w:sz w:val="20"/>
          <w:szCs w:val="18"/>
        </w:rPr>
      </w:pPr>
    </w:p>
    <w:p w14:paraId="069E1665"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79CDCFD1" w14:textId="77777777" w:rsidR="000A5F42" w:rsidRPr="000606CC" w:rsidRDefault="000A5F42" w:rsidP="000A5F42">
      <w:pPr>
        <w:pStyle w:val="NoSpacing"/>
        <w:rPr>
          <w:rStyle w:val="Strong"/>
          <w:rFonts w:cstheme="minorHAnsi"/>
          <w:sz w:val="20"/>
          <w:szCs w:val="18"/>
        </w:rPr>
      </w:pPr>
    </w:p>
    <w:p w14:paraId="67AA8ECB" w14:textId="74F5C9F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534E3FB" w14:textId="77777777" w:rsidR="000A5F42" w:rsidRPr="000606CC" w:rsidRDefault="000A5F42" w:rsidP="000A5F42">
      <w:pPr>
        <w:pStyle w:val="NoSpacing"/>
        <w:rPr>
          <w:rStyle w:val="URI"/>
          <w:rFonts w:cstheme="minorHAnsi"/>
          <w:sz w:val="20"/>
          <w:szCs w:val="18"/>
        </w:rPr>
      </w:pPr>
    </w:p>
    <w:p w14:paraId="291ACCAE" w14:textId="4213DEFD"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042B0768"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F21D8" w14:textId="77777777" w:rsidR="00ED2387" w:rsidRDefault="00ED2387" w:rsidP="00E54DBA">
      <w:r>
        <w:separator/>
      </w:r>
    </w:p>
    <w:p w14:paraId="52122187" w14:textId="77777777" w:rsidR="00ED2387" w:rsidRDefault="00ED2387"/>
    <w:p w14:paraId="1C9D0B84" w14:textId="77777777" w:rsidR="00ED2387" w:rsidRDefault="00ED2387" w:rsidP="008714B0"/>
  </w:endnote>
  <w:endnote w:type="continuationSeparator" w:id="0">
    <w:p w14:paraId="6798489C" w14:textId="77777777" w:rsidR="00ED2387" w:rsidRDefault="00ED2387" w:rsidP="00E54DBA">
      <w:r>
        <w:continuationSeparator/>
      </w:r>
    </w:p>
    <w:p w14:paraId="582683C7" w14:textId="77777777" w:rsidR="00ED2387" w:rsidRDefault="00ED2387"/>
    <w:p w14:paraId="589A53D7" w14:textId="77777777" w:rsidR="00ED2387" w:rsidRDefault="00ED238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66BD"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D428A3">
      <w:rPr>
        <w:noProof/>
        <w:sz w:val="18"/>
      </w:rPr>
      <w:t>6</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D428A3">
      <w:rPr>
        <w:noProof/>
        <w:sz w:val="18"/>
      </w:rPr>
      <w:t>6</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521BF8">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6A2C83">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6A2C83">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C77130">
      <w:rPr>
        <w:sz w:val="18"/>
      </w:rPr>
      <w:t>https://doi.org/10.33321/cdi.2019.43.27</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C77130">
      <w:rPr>
        <w:sz w:val="18"/>
      </w:rPr>
      <w:t>17/06/2019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C9915"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D428A3">
      <w:rPr>
        <w:noProof/>
        <w:sz w:val="18"/>
      </w:rPr>
      <w:t>5</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D428A3">
      <w:rPr>
        <w:noProof/>
        <w:sz w:val="18"/>
      </w:rPr>
      <w:t>6</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521BF8">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6A2C83">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6A2C83">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C77130">
      <w:rPr>
        <w:sz w:val="18"/>
      </w:rPr>
      <w:t>https://doi.org/10.33321/cdi.2019.43.27</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C77130">
      <w:rPr>
        <w:sz w:val="18"/>
      </w:rPr>
      <w:t>17/06/2019</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7CC3E" w14:textId="77777777" w:rsidR="00ED2387" w:rsidRDefault="00ED2387" w:rsidP="00E54DBA">
      <w:r>
        <w:separator/>
      </w:r>
    </w:p>
    <w:p w14:paraId="68F3277C" w14:textId="77777777" w:rsidR="00ED2387" w:rsidRDefault="00ED2387"/>
    <w:p w14:paraId="533EAC65" w14:textId="77777777" w:rsidR="00ED2387" w:rsidRDefault="00ED2387" w:rsidP="008714B0"/>
  </w:footnote>
  <w:footnote w:type="continuationSeparator" w:id="0">
    <w:p w14:paraId="12579A66" w14:textId="77777777" w:rsidR="00ED2387" w:rsidRDefault="00ED2387" w:rsidP="00E54DBA">
      <w:r>
        <w:continuationSeparator/>
      </w:r>
    </w:p>
    <w:p w14:paraId="45CAF38D" w14:textId="77777777" w:rsidR="00ED2387" w:rsidRDefault="00ED2387"/>
    <w:p w14:paraId="15EE406B" w14:textId="77777777" w:rsidR="00ED2387" w:rsidRDefault="00ED2387"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9A31" w14:textId="77777777" w:rsidR="00257484" w:rsidRPr="00A153B6" w:rsidRDefault="0034538B"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A125CB">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4F13"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7C3A94D0"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4727"/>
    <w:multiLevelType w:val="hybridMultilevel"/>
    <w:tmpl w:val="D360AC7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46731B4"/>
    <w:multiLevelType w:val="multilevel"/>
    <w:tmpl w:val="EA461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0490063">
    <w:abstractNumId w:val="2"/>
  </w:num>
  <w:num w:numId="2" w16cid:durableId="1500542583">
    <w:abstractNumId w:val="3"/>
  </w:num>
  <w:num w:numId="3" w16cid:durableId="161746535">
    <w:abstractNumId w:val="4"/>
  </w:num>
  <w:num w:numId="4" w16cid:durableId="755437751">
    <w:abstractNumId w:val="1"/>
  </w:num>
  <w:num w:numId="5" w16cid:durableId="685182180">
    <w:abstractNumId w:val="6"/>
  </w:num>
  <w:num w:numId="6" w16cid:durableId="1781028067">
    <w:abstractNumId w:val="7"/>
  </w:num>
  <w:num w:numId="7" w16cid:durableId="971862961">
    <w:abstractNumId w:val="5"/>
  </w:num>
  <w:num w:numId="8" w16cid:durableId="72811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C83"/>
    <w:rsid w:val="00000B5B"/>
    <w:rsid w:val="00001611"/>
    <w:rsid w:val="000104A8"/>
    <w:rsid w:val="0001246E"/>
    <w:rsid w:val="000124B1"/>
    <w:rsid w:val="00014C1D"/>
    <w:rsid w:val="00016FE6"/>
    <w:rsid w:val="00025C63"/>
    <w:rsid w:val="00031064"/>
    <w:rsid w:val="00031692"/>
    <w:rsid w:val="00032531"/>
    <w:rsid w:val="0004182B"/>
    <w:rsid w:val="0004322C"/>
    <w:rsid w:val="000471BF"/>
    <w:rsid w:val="00047B68"/>
    <w:rsid w:val="00052600"/>
    <w:rsid w:val="0005643C"/>
    <w:rsid w:val="0006264A"/>
    <w:rsid w:val="00073D77"/>
    <w:rsid w:val="00080D26"/>
    <w:rsid w:val="00081655"/>
    <w:rsid w:val="000864E0"/>
    <w:rsid w:val="000969B3"/>
    <w:rsid w:val="00097EA5"/>
    <w:rsid w:val="000A5F42"/>
    <w:rsid w:val="000D4B4D"/>
    <w:rsid w:val="00113D58"/>
    <w:rsid w:val="001378A3"/>
    <w:rsid w:val="0014561B"/>
    <w:rsid w:val="00155582"/>
    <w:rsid w:val="00155FD5"/>
    <w:rsid w:val="00161590"/>
    <w:rsid w:val="00171CC0"/>
    <w:rsid w:val="00172FC7"/>
    <w:rsid w:val="0017323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11D9C"/>
    <w:rsid w:val="002276DC"/>
    <w:rsid w:val="00227E00"/>
    <w:rsid w:val="002307CB"/>
    <w:rsid w:val="00231046"/>
    <w:rsid w:val="00234F21"/>
    <w:rsid w:val="00242659"/>
    <w:rsid w:val="002428F7"/>
    <w:rsid w:val="0024315F"/>
    <w:rsid w:val="00252C9A"/>
    <w:rsid w:val="00256309"/>
    <w:rsid w:val="0025684D"/>
    <w:rsid w:val="00257484"/>
    <w:rsid w:val="00260636"/>
    <w:rsid w:val="00275C78"/>
    <w:rsid w:val="00280594"/>
    <w:rsid w:val="00281EE3"/>
    <w:rsid w:val="00284E4A"/>
    <w:rsid w:val="002A3799"/>
    <w:rsid w:val="002A3BCC"/>
    <w:rsid w:val="002A4516"/>
    <w:rsid w:val="002A569F"/>
    <w:rsid w:val="002A7066"/>
    <w:rsid w:val="002B001E"/>
    <w:rsid w:val="002B09B7"/>
    <w:rsid w:val="002B7027"/>
    <w:rsid w:val="002B75A9"/>
    <w:rsid w:val="002C21B0"/>
    <w:rsid w:val="002E1138"/>
    <w:rsid w:val="002E2FB3"/>
    <w:rsid w:val="002F327B"/>
    <w:rsid w:val="00301626"/>
    <w:rsid w:val="003059EC"/>
    <w:rsid w:val="00313633"/>
    <w:rsid w:val="00316CCD"/>
    <w:rsid w:val="00324F7E"/>
    <w:rsid w:val="003323BC"/>
    <w:rsid w:val="0034538B"/>
    <w:rsid w:val="00346D42"/>
    <w:rsid w:val="00346E11"/>
    <w:rsid w:val="00352157"/>
    <w:rsid w:val="003601C0"/>
    <w:rsid w:val="003635F5"/>
    <w:rsid w:val="00372A88"/>
    <w:rsid w:val="00381A0F"/>
    <w:rsid w:val="003842D1"/>
    <w:rsid w:val="00384C0B"/>
    <w:rsid w:val="003A1B3A"/>
    <w:rsid w:val="003A40F5"/>
    <w:rsid w:val="003B5B8C"/>
    <w:rsid w:val="003D79B1"/>
    <w:rsid w:val="003E74EE"/>
    <w:rsid w:val="003F0552"/>
    <w:rsid w:val="003F3BC2"/>
    <w:rsid w:val="00401ED1"/>
    <w:rsid w:val="0040224C"/>
    <w:rsid w:val="00413EE1"/>
    <w:rsid w:val="0041482F"/>
    <w:rsid w:val="004164BB"/>
    <w:rsid w:val="00421ECE"/>
    <w:rsid w:val="00422FEB"/>
    <w:rsid w:val="0042435E"/>
    <w:rsid w:val="004315F5"/>
    <w:rsid w:val="00433456"/>
    <w:rsid w:val="00433DFA"/>
    <w:rsid w:val="00435D67"/>
    <w:rsid w:val="00464A58"/>
    <w:rsid w:val="00473D2D"/>
    <w:rsid w:val="004944CA"/>
    <w:rsid w:val="004A2125"/>
    <w:rsid w:val="004A38F6"/>
    <w:rsid w:val="004B4EB6"/>
    <w:rsid w:val="004C48A0"/>
    <w:rsid w:val="004C67C6"/>
    <w:rsid w:val="004D29DE"/>
    <w:rsid w:val="004D738A"/>
    <w:rsid w:val="00510EAC"/>
    <w:rsid w:val="00521BF8"/>
    <w:rsid w:val="00542A57"/>
    <w:rsid w:val="005459AD"/>
    <w:rsid w:val="005732C0"/>
    <w:rsid w:val="0057336D"/>
    <w:rsid w:val="0057489A"/>
    <w:rsid w:val="00574ACF"/>
    <w:rsid w:val="00581588"/>
    <w:rsid w:val="00582A82"/>
    <w:rsid w:val="0058540B"/>
    <w:rsid w:val="00587C87"/>
    <w:rsid w:val="00590B80"/>
    <w:rsid w:val="00596E4F"/>
    <w:rsid w:val="005A1AFA"/>
    <w:rsid w:val="005B3134"/>
    <w:rsid w:val="005B4E61"/>
    <w:rsid w:val="005B595A"/>
    <w:rsid w:val="005B66C2"/>
    <w:rsid w:val="005D2465"/>
    <w:rsid w:val="005E4229"/>
    <w:rsid w:val="005E540E"/>
    <w:rsid w:val="005E55FB"/>
    <w:rsid w:val="005F16BB"/>
    <w:rsid w:val="00607115"/>
    <w:rsid w:val="006147C0"/>
    <w:rsid w:val="00620768"/>
    <w:rsid w:val="0062594B"/>
    <w:rsid w:val="00631406"/>
    <w:rsid w:val="006324FF"/>
    <w:rsid w:val="006351D6"/>
    <w:rsid w:val="00636E0D"/>
    <w:rsid w:val="0064142F"/>
    <w:rsid w:val="00643CB4"/>
    <w:rsid w:val="00656427"/>
    <w:rsid w:val="00660255"/>
    <w:rsid w:val="00673FCE"/>
    <w:rsid w:val="006971F3"/>
    <w:rsid w:val="006A2C83"/>
    <w:rsid w:val="006C74A3"/>
    <w:rsid w:val="006D1381"/>
    <w:rsid w:val="006D31BC"/>
    <w:rsid w:val="006E7943"/>
    <w:rsid w:val="006F24EA"/>
    <w:rsid w:val="00704CA9"/>
    <w:rsid w:val="0071048D"/>
    <w:rsid w:val="00710F86"/>
    <w:rsid w:val="007111A8"/>
    <w:rsid w:val="00727205"/>
    <w:rsid w:val="00731BC3"/>
    <w:rsid w:val="00741192"/>
    <w:rsid w:val="00743A33"/>
    <w:rsid w:val="00746080"/>
    <w:rsid w:val="0075144A"/>
    <w:rsid w:val="0075448A"/>
    <w:rsid w:val="0075590D"/>
    <w:rsid w:val="00786329"/>
    <w:rsid w:val="00792C7D"/>
    <w:rsid w:val="00794A4D"/>
    <w:rsid w:val="007A5234"/>
    <w:rsid w:val="007B7854"/>
    <w:rsid w:val="007C56A1"/>
    <w:rsid w:val="007C6454"/>
    <w:rsid w:val="007D536C"/>
    <w:rsid w:val="007E01E0"/>
    <w:rsid w:val="007E0E47"/>
    <w:rsid w:val="007F0B93"/>
    <w:rsid w:val="007F2ECA"/>
    <w:rsid w:val="00811708"/>
    <w:rsid w:val="00816B90"/>
    <w:rsid w:val="00817799"/>
    <w:rsid w:val="00822F5F"/>
    <w:rsid w:val="00824FD3"/>
    <w:rsid w:val="00826589"/>
    <w:rsid w:val="00834BCC"/>
    <w:rsid w:val="00850D54"/>
    <w:rsid w:val="008714B0"/>
    <w:rsid w:val="00876331"/>
    <w:rsid w:val="00880726"/>
    <w:rsid w:val="00881036"/>
    <w:rsid w:val="008A3544"/>
    <w:rsid w:val="008B3D79"/>
    <w:rsid w:val="008B48B8"/>
    <w:rsid w:val="008B5348"/>
    <w:rsid w:val="008B58F8"/>
    <w:rsid w:val="008C0712"/>
    <w:rsid w:val="008C4520"/>
    <w:rsid w:val="008C5F09"/>
    <w:rsid w:val="008D3011"/>
    <w:rsid w:val="008D470F"/>
    <w:rsid w:val="008E1F8F"/>
    <w:rsid w:val="008E4768"/>
    <w:rsid w:val="008E761E"/>
    <w:rsid w:val="008F77B3"/>
    <w:rsid w:val="009008F5"/>
    <w:rsid w:val="00904CC1"/>
    <w:rsid w:val="009066AF"/>
    <w:rsid w:val="00912050"/>
    <w:rsid w:val="00912E48"/>
    <w:rsid w:val="0091552B"/>
    <w:rsid w:val="0092746F"/>
    <w:rsid w:val="00935DC9"/>
    <w:rsid w:val="009446C0"/>
    <w:rsid w:val="00955A1E"/>
    <w:rsid w:val="00955A6A"/>
    <w:rsid w:val="0096082E"/>
    <w:rsid w:val="00961347"/>
    <w:rsid w:val="00967410"/>
    <w:rsid w:val="00967D73"/>
    <w:rsid w:val="00980C7B"/>
    <w:rsid w:val="0098119A"/>
    <w:rsid w:val="00984AAF"/>
    <w:rsid w:val="00991B09"/>
    <w:rsid w:val="00993CB2"/>
    <w:rsid w:val="009A3DCE"/>
    <w:rsid w:val="009A5166"/>
    <w:rsid w:val="009A76F8"/>
    <w:rsid w:val="009B2B83"/>
    <w:rsid w:val="009B740D"/>
    <w:rsid w:val="009B7F09"/>
    <w:rsid w:val="009C49F8"/>
    <w:rsid w:val="009C7303"/>
    <w:rsid w:val="009D77CC"/>
    <w:rsid w:val="009E2423"/>
    <w:rsid w:val="009E55D7"/>
    <w:rsid w:val="009F4150"/>
    <w:rsid w:val="009F5665"/>
    <w:rsid w:val="009F5DAD"/>
    <w:rsid w:val="009F6BF3"/>
    <w:rsid w:val="00A01BCA"/>
    <w:rsid w:val="00A10458"/>
    <w:rsid w:val="00A125CB"/>
    <w:rsid w:val="00A153B6"/>
    <w:rsid w:val="00A164D5"/>
    <w:rsid w:val="00A273C3"/>
    <w:rsid w:val="00A30C37"/>
    <w:rsid w:val="00A36C65"/>
    <w:rsid w:val="00A41BBE"/>
    <w:rsid w:val="00A45BDD"/>
    <w:rsid w:val="00A46A0A"/>
    <w:rsid w:val="00A553F8"/>
    <w:rsid w:val="00A60BB2"/>
    <w:rsid w:val="00A6708F"/>
    <w:rsid w:val="00A71BF6"/>
    <w:rsid w:val="00A86F9A"/>
    <w:rsid w:val="00AA35E6"/>
    <w:rsid w:val="00AA50B6"/>
    <w:rsid w:val="00AB3472"/>
    <w:rsid w:val="00AD0762"/>
    <w:rsid w:val="00AE4452"/>
    <w:rsid w:val="00AE7C38"/>
    <w:rsid w:val="00AF6673"/>
    <w:rsid w:val="00B01F99"/>
    <w:rsid w:val="00B02B37"/>
    <w:rsid w:val="00B05276"/>
    <w:rsid w:val="00B132DB"/>
    <w:rsid w:val="00B13B9B"/>
    <w:rsid w:val="00B16EAB"/>
    <w:rsid w:val="00B31427"/>
    <w:rsid w:val="00B33861"/>
    <w:rsid w:val="00B40DE2"/>
    <w:rsid w:val="00B50210"/>
    <w:rsid w:val="00B53955"/>
    <w:rsid w:val="00B6408A"/>
    <w:rsid w:val="00B714B8"/>
    <w:rsid w:val="00B82C2C"/>
    <w:rsid w:val="00B8720B"/>
    <w:rsid w:val="00B876EF"/>
    <w:rsid w:val="00B96F73"/>
    <w:rsid w:val="00BA00CD"/>
    <w:rsid w:val="00BA1671"/>
    <w:rsid w:val="00BA4697"/>
    <w:rsid w:val="00BB5378"/>
    <w:rsid w:val="00BC0BD3"/>
    <w:rsid w:val="00BD0107"/>
    <w:rsid w:val="00BE0C33"/>
    <w:rsid w:val="00BE262C"/>
    <w:rsid w:val="00BE6C3D"/>
    <w:rsid w:val="00C07606"/>
    <w:rsid w:val="00C105AD"/>
    <w:rsid w:val="00C12542"/>
    <w:rsid w:val="00C24725"/>
    <w:rsid w:val="00C30BA9"/>
    <w:rsid w:val="00C3541E"/>
    <w:rsid w:val="00C36A8F"/>
    <w:rsid w:val="00C42FFA"/>
    <w:rsid w:val="00C507D8"/>
    <w:rsid w:val="00C62EAC"/>
    <w:rsid w:val="00C63F9F"/>
    <w:rsid w:val="00C77130"/>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163A7"/>
    <w:rsid w:val="00D25896"/>
    <w:rsid w:val="00D373A1"/>
    <w:rsid w:val="00D37C0F"/>
    <w:rsid w:val="00D428A3"/>
    <w:rsid w:val="00D42B78"/>
    <w:rsid w:val="00D45661"/>
    <w:rsid w:val="00D45943"/>
    <w:rsid w:val="00D47D22"/>
    <w:rsid w:val="00D51865"/>
    <w:rsid w:val="00D51D0C"/>
    <w:rsid w:val="00D74140"/>
    <w:rsid w:val="00DA6E56"/>
    <w:rsid w:val="00DB31B9"/>
    <w:rsid w:val="00DC6705"/>
    <w:rsid w:val="00DD2DE8"/>
    <w:rsid w:val="00DE38B4"/>
    <w:rsid w:val="00DE5D02"/>
    <w:rsid w:val="00DF07D9"/>
    <w:rsid w:val="00E005A9"/>
    <w:rsid w:val="00E00E19"/>
    <w:rsid w:val="00E1166E"/>
    <w:rsid w:val="00E14F24"/>
    <w:rsid w:val="00E24DC0"/>
    <w:rsid w:val="00E2519C"/>
    <w:rsid w:val="00E25F2A"/>
    <w:rsid w:val="00E41455"/>
    <w:rsid w:val="00E42AD2"/>
    <w:rsid w:val="00E50856"/>
    <w:rsid w:val="00E53875"/>
    <w:rsid w:val="00E538CC"/>
    <w:rsid w:val="00E54DBA"/>
    <w:rsid w:val="00E63D7C"/>
    <w:rsid w:val="00E640D5"/>
    <w:rsid w:val="00E67691"/>
    <w:rsid w:val="00E92237"/>
    <w:rsid w:val="00E951EF"/>
    <w:rsid w:val="00E97DAE"/>
    <w:rsid w:val="00EA3D54"/>
    <w:rsid w:val="00EA56D9"/>
    <w:rsid w:val="00EA5CE3"/>
    <w:rsid w:val="00EB40BB"/>
    <w:rsid w:val="00EB51C1"/>
    <w:rsid w:val="00EB5AE1"/>
    <w:rsid w:val="00EB5E0B"/>
    <w:rsid w:val="00EC2171"/>
    <w:rsid w:val="00ED2387"/>
    <w:rsid w:val="00ED442D"/>
    <w:rsid w:val="00ED70C2"/>
    <w:rsid w:val="00EE18FF"/>
    <w:rsid w:val="00EE489F"/>
    <w:rsid w:val="00F0647F"/>
    <w:rsid w:val="00F10CE3"/>
    <w:rsid w:val="00F14F3B"/>
    <w:rsid w:val="00F16362"/>
    <w:rsid w:val="00F207C7"/>
    <w:rsid w:val="00F2267C"/>
    <w:rsid w:val="00F36B6D"/>
    <w:rsid w:val="00F43FA3"/>
    <w:rsid w:val="00F45B08"/>
    <w:rsid w:val="00F527A7"/>
    <w:rsid w:val="00F53784"/>
    <w:rsid w:val="00F55648"/>
    <w:rsid w:val="00F70046"/>
    <w:rsid w:val="00F748C2"/>
    <w:rsid w:val="00F76C5C"/>
    <w:rsid w:val="00F81EF3"/>
    <w:rsid w:val="00F84496"/>
    <w:rsid w:val="00F85DCB"/>
    <w:rsid w:val="00F86F9C"/>
    <w:rsid w:val="00F944EB"/>
    <w:rsid w:val="00FB2DB7"/>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D334B74"/>
  <w15:docId w15:val="{0A45F750-436B-4B40-8B9D-5CD2A577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CommentReference">
    <w:name w:val="annotation reference"/>
    <w:basedOn w:val="DefaultParagraphFont"/>
    <w:uiPriority w:val="99"/>
    <w:semiHidden/>
    <w:unhideWhenUsed/>
    <w:rsid w:val="00155FD5"/>
    <w:rPr>
      <w:sz w:val="16"/>
      <w:szCs w:val="16"/>
    </w:rPr>
  </w:style>
  <w:style w:type="paragraph" w:styleId="CommentText">
    <w:name w:val="annotation text"/>
    <w:basedOn w:val="Normal"/>
    <w:link w:val="CommentTextChar"/>
    <w:uiPriority w:val="99"/>
    <w:semiHidden/>
    <w:unhideWhenUsed/>
    <w:rsid w:val="00155FD5"/>
    <w:pPr>
      <w:spacing w:line="240" w:lineRule="auto"/>
    </w:pPr>
    <w:rPr>
      <w:sz w:val="20"/>
      <w:szCs w:val="20"/>
    </w:rPr>
  </w:style>
  <w:style w:type="character" w:customStyle="1" w:styleId="CommentTextChar">
    <w:name w:val="Comment Text Char"/>
    <w:basedOn w:val="DefaultParagraphFont"/>
    <w:link w:val="CommentText"/>
    <w:uiPriority w:val="99"/>
    <w:semiHidden/>
    <w:rsid w:val="00155FD5"/>
    <w:rPr>
      <w:sz w:val="20"/>
      <w:szCs w:val="20"/>
    </w:rPr>
  </w:style>
  <w:style w:type="paragraph" w:styleId="CommentSubject">
    <w:name w:val="annotation subject"/>
    <w:basedOn w:val="CommentText"/>
    <w:next w:val="CommentText"/>
    <w:link w:val="CommentSubjectChar"/>
    <w:uiPriority w:val="99"/>
    <w:semiHidden/>
    <w:unhideWhenUsed/>
    <w:rsid w:val="00155FD5"/>
    <w:rPr>
      <w:b/>
      <w:bCs/>
    </w:rPr>
  </w:style>
  <w:style w:type="character" w:customStyle="1" w:styleId="CommentSubjectChar">
    <w:name w:val="Comment Subject Char"/>
    <w:basedOn w:val="CommentTextChar"/>
    <w:link w:val="CommentSubject"/>
    <w:uiPriority w:val="99"/>
    <w:semiHidden/>
    <w:rsid w:val="00155F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FD56FD-3116-4455-9950-3810C4D2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1657</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Communicable Diseases Intelligence 2019 -  Australian Gonococcal Surveillance Programme, 1 January to 31 March 2018</vt:lpstr>
    </vt:vector>
  </TitlesOfParts>
  <Manager>Monica M Lahra and Rodney P Enriquez</Manager>
  <Company>Australian Government, Department of Health</Company>
  <LinksUpToDate>false</LinksUpToDate>
  <CharactersWithSpaces>11521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Australian Gonococcal Surveillance Programme, 1 January to 31 March 2018</dc:title>
  <dc:subject>The Australian National Neisseria Network (NNN) comprises reference laboratories in each state and territory that report data on sensitivity to an agreed group of antimicrobial agents for the Australian Gonococcal Surveillance Programme (AGSP).</dc:subject>
  <dc:creator>YOUSEFI, Kasra</dc:creator>
  <dc:description>© Commonwealth of Australia CC BY-NC-ND ISSN: 2209-6051 (Online)</dc:description>
  <cp:lastPrinted>2018-05-10T02:19:00Z</cp:lastPrinted>
  <dcterms:created xsi:type="dcterms:W3CDTF">2024-08-28T05:01:00Z</dcterms:created>
  <dcterms:modified xsi:type="dcterms:W3CDTF">2024-08-28T05:01:00Z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17/06/2019</vt:lpwstr>
  </property>
  <property fmtid="{D5CDD505-2E9C-101B-9397-08002B2CF9AE}" pid="5" name="DOI">
    <vt:lpwstr>https://doi.org/10.33321/cdi.2019.43.27</vt:lpwstr>
  </property>
</Properties>
</file>